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C83AF" w14:textId="222B6D86" w:rsidR="00EC6F8D" w:rsidRPr="003316FD" w:rsidRDefault="00EC6F8D" w:rsidP="00EC6F8D">
      <w:pPr>
        <w:spacing w:before="1440"/>
        <w:jc w:val="center"/>
        <w:rPr>
          <w:rFonts w:ascii="Arial" w:hAnsi="Arial" w:cs="Arial"/>
          <w:b/>
          <w:sz w:val="22"/>
          <w:szCs w:val="22"/>
          <w:lang w:val="en-GB"/>
        </w:rPr>
      </w:pPr>
      <w:r w:rsidRPr="003316FD">
        <w:rPr>
          <w:rFonts w:ascii="Arial" w:hAnsi="Arial" w:cs="Arial"/>
          <w:b/>
          <w:sz w:val="22"/>
          <w:szCs w:val="22"/>
          <w:lang w:val="en-GB"/>
        </w:rPr>
        <w:t>CONVENT</w:t>
      </w:r>
      <w:r w:rsidR="00B1435C">
        <w:rPr>
          <w:rFonts w:ascii="Arial" w:hAnsi="Arial" w:cs="Arial"/>
          <w:b/>
          <w:sz w:val="22"/>
          <w:szCs w:val="22"/>
          <w:lang w:val="en-GB"/>
        </w:rPr>
        <w:t>ION FOR THE SAFEGUARDING OF THE</w:t>
      </w:r>
      <w:r w:rsidRPr="003316FD">
        <w:rPr>
          <w:rFonts w:ascii="Arial" w:hAnsi="Arial" w:cs="Arial"/>
          <w:b/>
          <w:sz w:val="22"/>
          <w:szCs w:val="22"/>
          <w:lang w:val="en-GB"/>
        </w:rPr>
        <w:br/>
        <w:t>INTANGIBLE CULTURAL HERITAGE</w:t>
      </w:r>
    </w:p>
    <w:p w14:paraId="75E4A431" w14:textId="77777777" w:rsidR="00EC6F8D" w:rsidRPr="003316FD" w:rsidRDefault="00EC6F8D" w:rsidP="00EC6F8D">
      <w:pPr>
        <w:spacing w:before="1200"/>
        <w:jc w:val="center"/>
        <w:rPr>
          <w:rFonts w:ascii="Arial" w:hAnsi="Arial" w:cs="Arial"/>
          <w:b/>
          <w:sz w:val="22"/>
          <w:szCs w:val="22"/>
          <w:lang w:val="en-GB"/>
        </w:rPr>
      </w:pPr>
      <w:r w:rsidRPr="003316FD">
        <w:rPr>
          <w:rFonts w:ascii="Arial" w:hAnsi="Arial" w:cs="Arial"/>
          <w:b/>
          <w:sz w:val="22"/>
          <w:szCs w:val="22"/>
          <w:lang w:val="en-GB"/>
        </w:rPr>
        <w:t>INTERGOVERNMENTAL COMMITTEE FOR THE</w:t>
      </w:r>
      <w:r w:rsidRPr="003316FD">
        <w:rPr>
          <w:rFonts w:ascii="Arial" w:hAnsi="Arial" w:cs="Arial"/>
          <w:b/>
          <w:sz w:val="22"/>
          <w:szCs w:val="22"/>
          <w:lang w:val="en-GB"/>
        </w:rPr>
        <w:br/>
        <w:t>SAFEGUARDING OF THE INTANGIBLE CULTURAL HERITAGE</w:t>
      </w:r>
    </w:p>
    <w:p w14:paraId="5F7BE0EA" w14:textId="77777777" w:rsidR="00EC6F8D" w:rsidRPr="003316FD" w:rsidRDefault="00CB0542" w:rsidP="00EC6F8D">
      <w:pPr>
        <w:spacing w:before="840"/>
        <w:jc w:val="center"/>
        <w:rPr>
          <w:rFonts w:ascii="Arial" w:hAnsi="Arial" w:cs="Arial"/>
          <w:b/>
          <w:sz w:val="22"/>
          <w:szCs w:val="22"/>
          <w:lang w:val="en-GB"/>
        </w:rPr>
      </w:pPr>
      <w:r w:rsidRPr="003316FD">
        <w:rPr>
          <w:rFonts w:ascii="Arial" w:hAnsi="Arial" w:cs="Arial"/>
          <w:b/>
          <w:sz w:val="22"/>
          <w:szCs w:val="22"/>
          <w:lang w:val="en-GB"/>
        </w:rPr>
        <w:t>Eleventh</w:t>
      </w:r>
      <w:r w:rsidR="00EC6F8D" w:rsidRPr="003316FD">
        <w:rPr>
          <w:rFonts w:ascii="Arial" w:hAnsi="Arial" w:cs="Arial"/>
          <w:b/>
          <w:sz w:val="22"/>
          <w:szCs w:val="22"/>
          <w:lang w:val="en-GB"/>
        </w:rPr>
        <w:t xml:space="preserve"> session</w:t>
      </w:r>
    </w:p>
    <w:p w14:paraId="2E704740" w14:textId="0DAF8581" w:rsidR="009D5428" w:rsidRPr="00B1435C" w:rsidRDefault="00B1435C" w:rsidP="005E7074">
      <w:pPr>
        <w:jc w:val="center"/>
        <w:rPr>
          <w:rFonts w:ascii="Arial" w:eastAsia="Malgun Gothic" w:hAnsi="Arial" w:cs="Arial"/>
          <w:b/>
          <w:sz w:val="22"/>
          <w:szCs w:val="22"/>
          <w:lang w:val="en-GB" w:eastAsia="ko-KR"/>
        </w:rPr>
      </w:pPr>
      <w:r>
        <w:rPr>
          <w:rFonts w:ascii="Arial" w:hAnsi="Arial" w:cs="Arial"/>
          <w:b/>
          <w:sz w:val="22"/>
          <w:szCs w:val="22"/>
          <w:lang w:val="en-GB"/>
        </w:rPr>
        <w:t>Addis Ababa, Ethiopia</w:t>
      </w:r>
    </w:p>
    <w:p w14:paraId="246A3EB7" w14:textId="77777777" w:rsidR="00EC6F8D" w:rsidRPr="003316FD" w:rsidRDefault="00CB0542" w:rsidP="00EC6F8D">
      <w:pPr>
        <w:jc w:val="center"/>
        <w:rPr>
          <w:rFonts w:ascii="Arial" w:hAnsi="Arial" w:cs="Arial"/>
          <w:b/>
          <w:sz w:val="22"/>
          <w:szCs w:val="22"/>
          <w:lang w:val="en-GB"/>
        </w:rPr>
      </w:pPr>
      <w:r w:rsidRPr="003316FD">
        <w:rPr>
          <w:rFonts w:ascii="Arial" w:hAnsi="Arial" w:cs="Arial"/>
          <w:b/>
          <w:sz w:val="22"/>
          <w:szCs w:val="22"/>
          <w:lang w:val="en-GB"/>
        </w:rPr>
        <w:t>28</w:t>
      </w:r>
      <w:r w:rsidR="00D8250F" w:rsidRPr="003316FD">
        <w:rPr>
          <w:rFonts w:ascii="Arial" w:hAnsi="Arial" w:cs="Arial"/>
          <w:b/>
          <w:sz w:val="22"/>
          <w:szCs w:val="22"/>
          <w:lang w:val="en-GB"/>
        </w:rPr>
        <w:t xml:space="preserve"> November</w:t>
      </w:r>
      <w:r w:rsidR="00EC6F8D" w:rsidRPr="003316FD">
        <w:rPr>
          <w:rFonts w:ascii="Arial" w:hAnsi="Arial" w:cs="Arial"/>
          <w:b/>
          <w:sz w:val="22"/>
          <w:szCs w:val="22"/>
          <w:lang w:val="en-GB"/>
        </w:rPr>
        <w:t xml:space="preserve"> to </w:t>
      </w:r>
      <w:r w:rsidRPr="003316FD">
        <w:rPr>
          <w:rFonts w:ascii="Arial" w:hAnsi="Arial" w:cs="Arial"/>
          <w:b/>
          <w:sz w:val="22"/>
          <w:szCs w:val="22"/>
          <w:lang w:val="en-GB"/>
        </w:rPr>
        <w:t>2 December 2016</w:t>
      </w:r>
    </w:p>
    <w:p w14:paraId="1AF4AB81" w14:textId="77777777" w:rsidR="00EC6F8D" w:rsidRPr="003316FD" w:rsidRDefault="00EC6F8D" w:rsidP="00EC6F8D">
      <w:pPr>
        <w:pStyle w:val="Sansinterligne2"/>
        <w:spacing w:before="1200"/>
        <w:jc w:val="center"/>
        <w:rPr>
          <w:rFonts w:ascii="Arial" w:hAnsi="Arial" w:cs="Arial"/>
          <w:b/>
          <w:sz w:val="22"/>
          <w:szCs w:val="22"/>
          <w:lang w:val="en-GB"/>
        </w:rPr>
      </w:pPr>
      <w:r w:rsidRPr="003316FD">
        <w:rPr>
          <w:rFonts w:ascii="Arial" w:hAnsi="Arial" w:cs="Arial"/>
          <w:b/>
          <w:sz w:val="22"/>
          <w:szCs w:val="22"/>
          <w:u w:val="single"/>
          <w:lang w:val="en-GB"/>
        </w:rPr>
        <w:t xml:space="preserve">Item </w:t>
      </w:r>
      <w:r w:rsidR="000951C7" w:rsidRPr="003316FD">
        <w:rPr>
          <w:rFonts w:ascii="Arial" w:hAnsi="Arial" w:cs="Arial"/>
          <w:b/>
          <w:sz w:val="22"/>
          <w:szCs w:val="22"/>
          <w:u w:val="single"/>
          <w:lang w:val="en-GB"/>
        </w:rPr>
        <w:t>9.c</w:t>
      </w:r>
      <w:r w:rsidRPr="003316FD">
        <w:rPr>
          <w:rFonts w:ascii="Arial" w:hAnsi="Arial" w:cs="Arial"/>
          <w:b/>
          <w:sz w:val="22"/>
          <w:szCs w:val="22"/>
          <w:u w:val="single"/>
          <w:lang w:val="en-GB"/>
        </w:rPr>
        <w:t xml:space="preserve"> of the Provisional Agenda</w:t>
      </w:r>
      <w:r w:rsidRPr="003316FD">
        <w:rPr>
          <w:rFonts w:ascii="Arial" w:hAnsi="Arial" w:cs="Arial"/>
          <w:b/>
          <w:sz w:val="22"/>
          <w:szCs w:val="22"/>
          <w:lang w:val="en-GB"/>
        </w:rPr>
        <w:t>:</w:t>
      </w:r>
    </w:p>
    <w:p w14:paraId="3764301B" w14:textId="401C484B" w:rsidR="00EC6F8D" w:rsidRPr="003316FD" w:rsidRDefault="000951C7" w:rsidP="00EC6F8D">
      <w:pPr>
        <w:pStyle w:val="Sansinterligne2"/>
        <w:spacing w:after="1200"/>
        <w:jc w:val="center"/>
        <w:rPr>
          <w:rFonts w:ascii="Arial" w:hAnsi="Arial" w:cs="Arial"/>
          <w:b/>
          <w:sz w:val="22"/>
          <w:szCs w:val="22"/>
          <w:lang w:val="en-GB"/>
        </w:rPr>
      </w:pPr>
      <w:r w:rsidRPr="003316FD">
        <w:rPr>
          <w:rFonts w:ascii="Arial" w:hAnsi="Arial" w:cs="Arial"/>
          <w:b/>
          <w:sz w:val="22"/>
          <w:szCs w:val="22"/>
          <w:lang w:val="en-GB"/>
        </w:rPr>
        <w:t xml:space="preserve">Reports of States Parties on the use of </w:t>
      </w:r>
      <w:r w:rsidR="002F07D9">
        <w:rPr>
          <w:rFonts w:ascii="Arial" w:hAnsi="Arial" w:cs="Arial"/>
          <w:b/>
          <w:sz w:val="22"/>
          <w:szCs w:val="22"/>
          <w:lang w:val="en-GB"/>
        </w:rPr>
        <w:t>International Assistance</w:t>
      </w:r>
      <w:r w:rsidRPr="003316FD">
        <w:rPr>
          <w:rFonts w:ascii="Arial" w:hAnsi="Arial" w:cs="Arial"/>
          <w:b/>
          <w:sz w:val="22"/>
          <w:szCs w:val="22"/>
          <w:lang w:val="en-GB"/>
        </w:rPr>
        <w:br/>
        <w:t>from the Intangible Cultural Heritage Fund</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3316FD" w14:paraId="6ACEDBE5" w14:textId="77777777" w:rsidTr="00EC6F8D">
        <w:trPr>
          <w:jc w:val="center"/>
        </w:trPr>
        <w:tc>
          <w:tcPr>
            <w:tcW w:w="5670" w:type="dxa"/>
            <w:vAlign w:val="center"/>
          </w:tcPr>
          <w:p w14:paraId="19965726" w14:textId="77777777" w:rsidR="00EC6F8D" w:rsidRPr="003316FD" w:rsidRDefault="00EC6F8D" w:rsidP="00CA56BB">
            <w:pPr>
              <w:pStyle w:val="Sansinterligne1"/>
              <w:spacing w:before="200" w:after="200"/>
              <w:jc w:val="center"/>
              <w:rPr>
                <w:rFonts w:ascii="Arial" w:hAnsi="Arial" w:cs="Arial"/>
                <w:b/>
                <w:sz w:val="22"/>
                <w:szCs w:val="22"/>
                <w:lang w:val="en-GB"/>
              </w:rPr>
            </w:pPr>
            <w:r w:rsidRPr="003316FD">
              <w:rPr>
                <w:rFonts w:ascii="Arial" w:hAnsi="Arial" w:cs="Arial"/>
                <w:b/>
                <w:sz w:val="22"/>
                <w:szCs w:val="22"/>
                <w:lang w:val="en-GB"/>
              </w:rPr>
              <w:t>Summary</w:t>
            </w:r>
          </w:p>
          <w:p w14:paraId="4CA6E6CC" w14:textId="145A2B88" w:rsidR="009353CF" w:rsidRPr="003316FD" w:rsidRDefault="005029C7" w:rsidP="009353CF">
            <w:pPr>
              <w:pStyle w:val="Sansinterligne2"/>
              <w:spacing w:before="200" w:after="200"/>
              <w:jc w:val="both"/>
              <w:rPr>
                <w:rFonts w:ascii="Arial" w:hAnsi="Arial" w:cs="Arial"/>
                <w:iCs/>
                <w:sz w:val="22"/>
                <w:szCs w:val="22"/>
                <w:lang w:val="en-GB"/>
              </w:rPr>
            </w:pPr>
            <w:r w:rsidRPr="003316FD">
              <w:rPr>
                <w:rFonts w:ascii="Arial" w:hAnsi="Arial" w:cs="Arial"/>
                <w:iCs/>
                <w:sz w:val="22"/>
                <w:szCs w:val="22"/>
                <w:lang w:val="en-GB"/>
              </w:rPr>
              <w:t>Article</w:t>
            </w:r>
            <w:r>
              <w:rPr>
                <w:rFonts w:ascii="Arial" w:hAnsi="Arial" w:cs="Arial"/>
                <w:iCs/>
                <w:sz w:val="22"/>
                <w:szCs w:val="22"/>
                <w:lang w:val="en-GB"/>
              </w:rPr>
              <w:t> </w:t>
            </w:r>
            <w:r w:rsidR="009353CF" w:rsidRPr="003316FD">
              <w:rPr>
                <w:rFonts w:ascii="Arial" w:hAnsi="Arial" w:cs="Arial"/>
                <w:iCs/>
                <w:sz w:val="22"/>
                <w:szCs w:val="22"/>
                <w:lang w:val="en-GB"/>
              </w:rPr>
              <w:t xml:space="preserve">24.3 of the Convention provides that </w:t>
            </w:r>
            <w:r w:rsidR="009353CF" w:rsidRPr="003316FD">
              <w:rPr>
                <w:rFonts w:ascii="Arial" w:hAnsi="Arial" w:cs="Arial"/>
                <w:sz w:val="22"/>
                <w:szCs w:val="22"/>
                <w:lang w:val="en-GB"/>
              </w:rPr>
              <w:t xml:space="preserve">‘The </w:t>
            </w:r>
            <w:r w:rsidR="009353CF" w:rsidRPr="003316FD">
              <w:rPr>
                <w:rFonts w:ascii="Arial" w:hAnsi="Arial" w:cs="Arial"/>
                <w:iCs/>
                <w:sz w:val="22"/>
                <w:szCs w:val="22"/>
                <w:lang w:val="en-GB"/>
              </w:rPr>
              <w:t>beneficiary State Party shall submit to the Committee a report on the use made of the assistance provided for the safeguarding of the intangible cultural heritage</w:t>
            </w:r>
            <w:r w:rsidR="009353CF" w:rsidRPr="003316FD">
              <w:rPr>
                <w:rFonts w:ascii="Arial" w:hAnsi="Arial" w:cs="Arial"/>
                <w:sz w:val="22"/>
                <w:szCs w:val="22"/>
                <w:lang w:val="en-GB"/>
              </w:rPr>
              <w:t>’</w:t>
            </w:r>
            <w:r w:rsidR="009353CF" w:rsidRPr="003316FD">
              <w:rPr>
                <w:rFonts w:ascii="Arial" w:hAnsi="Arial" w:cs="Arial"/>
                <w:iCs/>
                <w:sz w:val="22"/>
                <w:szCs w:val="22"/>
                <w:lang w:val="en-GB"/>
              </w:rPr>
              <w:t>. This document covers the reports submitted by States Parties during the period from 1 </w:t>
            </w:r>
            <w:r w:rsidR="00DF6962">
              <w:rPr>
                <w:rFonts w:ascii="Arial" w:hAnsi="Arial" w:cs="Arial"/>
                <w:iCs/>
                <w:sz w:val="22"/>
                <w:szCs w:val="22"/>
                <w:lang w:val="en-GB"/>
              </w:rPr>
              <w:t>October</w:t>
            </w:r>
            <w:r w:rsidR="00DF6962" w:rsidRPr="003316FD">
              <w:rPr>
                <w:rFonts w:ascii="Arial" w:hAnsi="Arial" w:cs="Arial"/>
                <w:iCs/>
                <w:sz w:val="22"/>
                <w:szCs w:val="22"/>
                <w:lang w:val="en-GB"/>
              </w:rPr>
              <w:t> </w:t>
            </w:r>
            <w:r w:rsidR="009353CF" w:rsidRPr="003316FD">
              <w:rPr>
                <w:rFonts w:ascii="Arial" w:hAnsi="Arial" w:cs="Arial"/>
                <w:iCs/>
                <w:sz w:val="22"/>
                <w:szCs w:val="22"/>
                <w:lang w:val="en-GB"/>
              </w:rPr>
              <w:t xml:space="preserve">2015 to 30 June 2016, including an overview of the use of the </w:t>
            </w:r>
            <w:r w:rsidR="002F07D9">
              <w:rPr>
                <w:rFonts w:ascii="Arial" w:hAnsi="Arial" w:cs="Arial"/>
                <w:iCs/>
                <w:sz w:val="22"/>
                <w:szCs w:val="22"/>
                <w:lang w:val="en-GB"/>
              </w:rPr>
              <w:t>International Assistance</w:t>
            </w:r>
            <w:r w:rsidR="00D74162">
              <w:rPr>
                <w:rFonts w:ascii="Arial" w:hAnsi="Arial" w:cs="Arial"/>
                <w:iCs/>
                <w:sz w:val="22"/>
                <w:szCs w:val="22"/>
                <w:lang w:val="en-GB"/>
              </w:rPr>
              <w:t xml:space="preserve"> </w:t>
            </w:r>
            <w:r w:rsidR="009353CF" w:rsidRPr="003316FD">
              <w:rPr>
                <w:rFonts w:ascii="Arial" w:hAnsi="Arial" w:cs="Arial"/>
                <w:iCs/>
                <w:sz w:val="22"/>
                <w:szCs w:val="22"/>
                <w:lang w:val="en-GB"/>
              </w:rPr>
              <w:t>mechanism since its establishment.</w:t>
            </w:r>
          </w:p>
          <w:p w14:paraId="2C73A006" w14:textId="6CD9545E" w:rsidR="00EC6F8D" w:rsidRPr="003316FD" w:rsidRDefault="00EC6F8D" w:rsidP="009353CF">
            <w:pPr>
              <w:pStyle w:val="Sansinterligne2"/>
              <w:spacing w:before="200" w:after="200"/>
              <w:jc w:val="both"/>
              <w:rPr>
                <w:rFonts w:ascii="Arial" w:hAnsi="Arial" w:cs="Arial"/>
                <w:b/>
                <w:sz w:val="22"/>
                <w:szCs w:val="22"/>
                <w:lang w:val="en-GB"/>
              </w:rPr>
            </w:pPr>
            <w:r w:rsidRPr="005029C7">
              <w:rPr>
                <w:rFonts w:ascii="Arial" w:hAnsi="Arial" w:cs="Arial"/>
                <w:b/>
                <w:sz w:val="22"/>
                <w:szCs w:val="22"/>
                <w:lang w:val="en-GB"/>
              </w:rPr>
              <w:t xml:space="preserve">Decision required: </w:t>
            </w:r>
            <w:r w:rsidR="009353CF" w:rsidRPr="005029C7">
              <w:rPr>
                <w:rFonts w:ascii="Arial" w:hAnsi="Arial" w:cs="Arial"/>
                <w:bCs/>
                <w:sz w:val="22"/>
                <w:szCs w:val="22"/>
                <w:lang w:val="en-GB"/>
              </w:rPr>
              <w:t>paragraph </w:t>
            </w:r>
            <w:r w:rsidR="000766AD" w:rsidRPr="00F6750E">
              <w:rPr>
                <w:rFonts w:ascii="Arial" w:hAnsi="Arial" w:cs="Arial"/>
                <w:bCs/>
                <w:sz w:val="22"/>
                <w:szCs w:val="22"/>
                <w:lang w:val="en-GB"/>
              </w:rPr>
              <w:t>11</w:t>
            </w:r>
          </w:p>
        </w:tc>
      </w:tr>
    </w:tbl>
    <w:p w14:paraId="1CD6D89B" w14:textId="77777777" w:rsidR="00CD34C3" w:rsidRPr="003316FD" w:rsidRDefault="00655736" w:rsidP="0027466B">
      <w:pPr>
        <w:pStyle w:val="COMPara"/>
        <w:jc w:val="both"/>
      </w:pPr>
      <w:r w:rsidRPr="003316FD">
        <w:br w:type="page"/>
      </w:r>
    </w:p>
    <w:p w14:paraId="431F295D" w14:textId="64BA3F1D" w:rsidR="00FD20CD" w:rsidRPr="00F6750E" w:rsidRDefault="00FD20CD" w:rsidP="008F1881">
      <w:pPr>
        <w:pStyle w:val="COMTitleDecision"/>
        <w:numPr>
          <w:ilvl w:val="4"/>
          <w:numId w:val="25"/>
        </w:numPr>
        <w:ind w:left="567" w:hanging="567"/>
      </w:pPr>
      <w:r w:rsidRPr="00F6750E">
        <w:lastRenderedPageBreak/>
        <w:t>Overview of reports</w:t>
      </w:r>
    </w:p>
    <w:p w14:paraId="794061E3" w14:textId="5FD726BF" w:rsidR="000951C7" w:rsidRPr="003316FD" w:rsidRDefault="000951C7" w:rsidP="000951C7">
      <w:pPr>
        <w:pStyle w:val="COMPara"/>
        <w:numPr>
          <w:ilvl w:val="0"/>
          <w:numId w:val="15"/>
        </w:numPr>
        <w:ind w:left="567" w:hanging="567"/>
        <w:jc w:val="both"/>
      </w:pPr>
      <w:r w:rsidRPr="003316FD">
        <w:t xml:space="preserve">Article 24.3 of the Convention provides that ‘The beneficiary State Party shall submit to the Committee a report on the use made of the assistance provided for the safeguarding of the intangible cultural heritage.’ Such international financial assistance from the Intangible Cultural Heritage Fund is described in Chapter V of the Convention and Chapters I.4 and I.14 of the Operational Directives. This document presents all reports received </w:t>
      </w:r>
      <w:r w:rsidR="0050686E">
        <w:t xml:space="preserve">after the reporting period for </w:t>
      </w:r>
      <w:r w:rsidRPr="003316FD">
        <w:t xml:space="preserve">the </w:t>
      </w:r>
      <w:r w:rsidR="005D106B" w:rsidRPr="003316FD">
        <w:t>tenth</w:t>
      </w:r>
      <w:r w:rsidRPr="003316FD">
        <w:t xml:space="preserve"> session of the Commi</w:t>
      </w:r>
      <w:r w:rsidR="00CA1DC6">
        <w:t>ttee</w:t>
      </w:r>
      <w:r w:rsidR="00CA6A22">
        <w:t>,</w:t>
      </w:r>
      <w:r w:rsidR="00CA1DC6">
        <w:t xml:space="preserve"> </w:t>
      </w:r>
      <w:r w:rsidR="00096632" w:rsidRPr="00CA1DC6">
        <w:t>1 </w:t>
      </w:r>
      <w:r w:rsidR="00DF6962" w:rsidRPr="00CA1DC6">
        <w:t xml:space="preserve">October </w:t>
      </w:r>
      <w:r w:rsidR="00CA1DC6" w:rsidRPr="00CA1DC6">
        <w:t>2015</w:t>
      </w:r>
      <w:r w:rsidRPr="00CA1DC6">
        <w:t xml:space="preserve"> </w:t>
      </w:r>
      <w:r w:rsidR="0050686E" w:rsidRPr="00CA1DC6">
        <w:t>up to</w:t>
      </w:r>
      <w:r w:rsidRPr="00CA1DC6">
        <w:t xml:space="preserve"> </w:t>
      </w:r>
      <w:r w:rsidR="00096632" w:rsidRPr="00CA1DC6">
        <w:t>30 </w:t>
      </w:r>
      <w:r w:rsidRPr="00CA1DC6">
        <w:t>June 2016.</w:t>
      </w:r>
      <w:r w:rsidRPr="003316FD">
        <w:t xml:space="preserve"> However, since the </w:t>
      </w:r>
      <w:r w:rsidR="005D106B" w:rsidRPr="003316FD">
        <w:t xml:space="preserve">time of </w:t>
      </w:r>
      <w:r w:rsidRPr="003316FD">
        <w:t xml:space="preserve">submission of </w:t>
      </w:r>
      <w:r w:rsidR="005D106B" w:rsidRPr="003316FD">
        <w:t>progress</w:t>
      </w:r>
      <w:r w:rsidRPr="003316FD">
        <w:t xml:space="preserve"> and final reports depends on the specific dates for each project</w:t>
      </w:r>
      <w:r w:rsidR="00A263C6" w:rsidRPr="003316FD">
        <w:t>,</w:t>
      </w:r>
      <w:r w:rsidRPr="003316FD">
        <w:t xml:space="preserve"> </w:t>
      </w:r>
      <w:r w:rsidR="005D106B" w:rsidRPr="003316FD">
        <w:t>as agreed</w:t>
      </w:r>
      <w:r w:rsidRPr="003316FD">
        <w:t xml:space="preserve"> between the beneficiary State and UNESCO at the time of </w:t>
      </w:r>
      <w:r w:rsidR="005D106B" w:rsidRPr="003316FD">
        <w:t>establishing</w:t>
      </w:r>
      <w:r w:rsidRPr="003316FD">
        <w:t xml:space="preserve"> the contract </w:t>
      </w:r>
      <w:r w:rsidR="00150F97" w:rsidRPr="003316FD">
        <w:t>governing</w:t>
      </w:r>
      <w:r w:rsidRPr="003316FD">
        <w:t xml:space="preserve"> </w:t>
      </w:r>
      <w:r w:rsidR="005D106B" w:rsidRPr="003316FD">
        <w:t xml:space="preserve">the assistance, </w:t>
      </w:r>
      <w:r w:rsidRPr="003316FD">
        <w:t>the period covered by each report varies from one report to another.</w:t>
      </w:r>
    </w:p>
    <w:p w14:paraId="35F8286B" w14:textId="143BEAA8" w:rsidR="004B1D30" w:rsidRPr="00CA1DC6" w:rsidRDefault="005F6620" w:rsidP="005F6620">
      <w:pPr>
        <w:pStyle w:val="COMPara"/>
        <w:numPr>
          <w:ilvl w:val="0"/>
          <w:numId w:val="15"/>
        </w:numPr>
        <w:ind w:left="567" w:hanging="567"/>
        <w:jc w:val="both"/>
      </w:pPr>
      <w:r w:rsidRPr="00CA1DC6">
        <w:t xml:space="preserve">During the reporting period, </w:t>
      </w:r>
      <w:r w:rsidR="001508A0" w:rsidRPr="00CA1DC6">
        <w:t>twenty</w:t>
      </w:r>
      <w:r w:rsidR="004B1D30" w:rsidRPr="00CA1DC6">
        <w:t xml:space="preserve"> </w:t>
      </w:r>
      <w:r w:rsidRPr="00CA1DC6">
        <w:t xml:space="preserve">projects supported with </w:t>
      </w:r>
      <w:r w:rsidR="002F07D9">
        <w:t>International Assistance</w:t>
      </w:r>
      <w:r w:rsidRPr="00CA1DC6">
        <w:t xml:space="preserve"> were </w:t>
      </w:r>
      <w:r w:rsidR="004B1D30" w:rsidRPr="00CA1DC6">
        <w:t>active</w:t>
      </w:r>
      <w:r w:rsidR="00096632" w:rsidRPr="00CA1DC6">
        <w:rPr>
          <w:rStyle w:val="FootnoteReference"/>
        </w:rPr>
        <w:footnoteReference w:id="1"/>
      </w:r>
      <w:r w:rsidR="004B1D30" w:rsidRPr="00CA1DC6">
        <w:t xml:space="preserve"> </w:t>
      </w:r>
      <w:r w:rsidRPr="00CA1DC6">
        <w:t>for a total amount of US$</w:t>
      </w:r>
      <w:r w:rsidRPr="00CA1DC6">
        <w:rPr>
          <w:rFonts w:cs="Times New Roman"/>
          <w:szCs w:val="24"/>
        </w:rPr>
        <w:t>1,684,455.20</w:t>
      </w:r>
      <w:r w:rsidR="00CA6A22">
        <w:t>. The present document</w:t>
      </w:r>
      <w:r w:rsidRPr="00CA1DC6">
        <w:t xml:space="preserve"> </w:t>
      </w:r>
      <w:r w:rsidR="00CA6A22" w:rsidRPr="00CA1DC6">
        <w:t>include</w:t>
      </w:r>
      <w:r w:rsidR="00CA6A22">
        <w:t>s</w:t>
      </w:r>
      <w:r w:rsidRPr="00CA1DC6">
        <w:t xml:space="preserve"> nine reports submitted by beneficiary States between 1 </w:t>
      </w:r>
      <w:r w:rsidR="0050686E" w:rsidRPr="00CA1DC6">
        <w:t>October </w:t>
      </w:r>
      <w:r w:rsidRPr="00CA1DC6">
        <w:t xml:space="preserve">2015 and 30 June 2016. </w:t>
      </w:r>
      <w:r w:rsidR="004B1D30" w:rsidRPr="00CA1DC6">
        <w:t xml:space="preserve">Reports on each of </w:t>
      </w:r>
      <w:r w:rsidR="00096632" w:rsidRPr="00CA1DC6">
        <w:t>the</w:t>
      </w:r>
      <w:r w:rsidR="004B1D30" w:rsidRPr="00CA1DC6">
        <w:t xml:space="preserve"> </w:t>
      </w:r>
      <w:r w:rsidRPr="00CA1DC6">
        <w:t>nine</w:t>
      </w:r>
      <w:r w:rsidR="004B1D30" w:rsidRPr="00CA1DC6">
        <w:t xml:space="preserve"> </w:t>
      </w:r>
      <w:r w:rsidR="00096632" w:rsidRPr="00CA1DC6">
        <w:t xml:space="preserve">concerned </w:t>
      </w:r>
      <w:r w:rsidR="004B1D30" w:rsidRPr="00CA1DC6">
        <w:t>projects are available to download in the language in which they were submitted at the links</w:t>
      </w:r>
      <w:r w:rsidR="00814DA4" w:rsidRPr="00CA1DC6">
        <w:t xml:space="preserve"> indicated below:</w:t>
      </w:r>
    </w:p>
    <w:tbl>
      <w:tblPr>
        <w:tblW w:w="929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0"/>
        <w:gridCol w:w="1418"/>
        <w:gridCol w:w="1130"/>
        <w:gridCol w:w="1560"/>
        <w:gridCol w:w="2378"/>
      </w:tblGrid>
      <w:tr w:rsidR="004B1D30" w:rsidRPr="008729D6" w14:paraId="12BF022B" w14:textId="77777777" w:rsidTr="002B41B5">
        <w:trPr>
          <w:cantSplit/>
        </w:trPr>
        <w:tc>
          <w:tcPr>
            <w:tcW w:w="2810" w:type="dxa"/>
            <w:shd w:val="clear" w:color="auto" w:fill="D9D9D9"/>
            <w:vAlign w:val="center"/>
          </w:tcPr>
          <w:p w14:paraId="0C335A87" w14:textId="77777777" w:rsidR="004B1D30" w:rsidRPr="008729D6" w:rsidRDefault="004B1D30" w:rsidP="004B1D30">
            <w:pPr>
              <w:pStyle w:val="Marge"/>
              <w:spacing w:before="120" w:after="120"/>
              <w:jc w:val="center"/>
              <w:rPr>
                <w:rFonts w:cs="Arial"/>
                <w:b/>
                <w:bCs/>
                <w:sz w:val="18"/>
                <w:szCs w:val="18"/>
                <w:lang w:val="en-GB"/>
              </w:rPr>
            </w:pPr>
            <w:r w:rsidRPr="008729D6">
              <w:rPr>
                <w:rFonts w:cs="Arial"/>
                <w:b/>
                <w:bCs/>
                <w:sz w:val="18"/>
                <w:szCs w:val="18"/>
                <w:lang w:val="en-GB"/>
              </w:rPr>
              <w:t>Project</w:t>
            </w:r>
          </w:p>
        </w:tc>
        <w:tc>
          <w:tcPr>
            <w:tcW w:w="1418" w:type="dxa"/>
            <w:shd w:val="clear" w:color="auto" w:fill="D9D9D9"/>
            <w:vAlign w:val="center"/>
          </w:tcPr>
          <w:p w14:paraId="2924B5BA" w14:textId="6DD32861" w:rsidR="00125EC0" w:rsidRPr="008729D6" w:rsidRDefault="004B1D30">
            <w:pPr>
              <w:pStyle w:val="Marge"/>
              <w:spacing w:before="120" w:after="120"/>
              <w:jc w:val="center"/>
              <w:rPr>
                <w:rFonts w:cs="Arial"/>
                <w:b/>
                <w:bCs/>
                <w:sz w:val="18"/>
                <w:szCs w:val="18"/>
                <w:lang w:val="en-GB"/>
              </w:rPr>
            </w:pPr>
            <w:r w:rsidRPr="008729D6">
              <w:rPr>
                <w:rFonts w:cs="Arial"/>
                <w:b/>
                <w:bCs/>
                <w:sz w:val="18"/>
                <w:szCs w:val="18"/>
                <w:lang w:val="en-GB"/>
              </w:rPr>
              <w:t>Beneficiary</w:t>
            </w:r>
            <w:r w:rsidR="00475503" w:rsidRPr="008729D6">
              <w:rPr>
                <w:rFonts w:cs="Arial"/>
                <w:b/>
                <w:bCs/>
                <w:sz w:val="18"/>
                <w:szCs w:val="18"/>
                <w:lang w:val="en-GB"/>
              </w:rPr>
              <w:br/>
            </w:r>
            <w:r w:rsidR="00125EC0" w:rsidRPr="008729D6">
              <w:rPr>
                <w:rFonts w:cs="Arial"/>
                <w:b/>
                <w:bCs/>
                <w:sz w:val="18"/>
                <w:szCs w:val="18"/>
                <w:lang w:val="en-GB"/>
              </w:rPr>
              <w:t>country</w:t>
            </w:r>
          </w:p>
        </w:tc>
        <w:tc>
          <w:tcPr>
            <w:tcW w:w="1130" w:type="dxa"/>
            <w:shd w:val="clear" w:color="auto" w:fill="D9D9D9"/>
            <w:vAlign w:val="center"/>
          </w:tcPr>
          <w:p w14:paraId="005C5B65" w14:textId="77777777" w:rsidR="004B1D30" w:rsidRPr="008729D6" w:rsidRDefault="004B1D30" w:rsidP="004B1D30">
            <w:pPr>
              <w:pStyle w:val="Marge"/>
              <w:spacing w:before="120" w:after="120"/>
              <w:jc w:val="center"/>
              <w:rPr>
                <w:rFonts w:cs="Arial"/>
                <w:b/>
                <w:bCs/>
                <w:sz w:val="18"/>
                <w:szCs w:val="18"/>
                <w:lang w:val="en-GB"/>
              </w:rPr>
            </w:pPr>
            <w:r w:rsidRPr="008729D6">
              <w:rPr>
                <w:rFonts w:cs="Arial"/>
                <w:b/>
                <w:bCs/>
                <w:sz w:val="18"/>
                <w:szCs w:val="18"/>
                <w:lang w:val="en-GB"/>
              </w:rPr>
              <w:t>Amount</w:t>
            </w:r>
            <w:r w:rsidRPr="008729D6">
              <w:rPr>
                <w:rFonts w:cs="Arial"/>
                <w:b/>
                <w:bCs/>
                <w:sz w:val="18"/>
                <w:szCs w:val="18"/>
                <w:lang w:val="en-GB"/>
              </w:rPr>
              <w:br/>
              <w:t>(</w:t>
            </w:r>
            <w:r w:rsidRPr="008729D6">
              <w:rPr>
                <w:rFonts w:cs="Arial"/>
                <w:b/>
                <w:snapToGrid/>
                <w:sz w:val="18"/>
                <w:szCs w:val="18"/>
                <w:lang w:val="en-GB" w:eastAsia="fr-FR"/>
              </w:rPr>
              <w:t>US$)</w:t>
            </w:r>
          </w:p>
        </w:tc>
        <w:tc>
          <w:tcPr>
            <w:tcW w:w="1560" w:type="dxa"/>
            <w:shd w:val="clear" w:color="auto" w:fill="D9D9D9"/>
            <w:vAlign w:val="center"/>
          </w:tcPr>
          <w:p w14:paraId="722AD55B" w14:textId="77777777" w:rsidR="004B1D30" w:rsidRPr="008729D6" w:rsidRDefault="004B1D30" w:rsidP="004B1D30">
            <w:pPr>
              <w:pStyle w:val="Marge"/>
              <w:spacing w:before="120" w:after="120"/>
              <w:jc w:val="center"/>
              <w:rPr>
                <w:rFonts w:cs="Arial"/>
                <w:b/>
                <w:bCs/>
                <w:sz w:val="18"/>
                <w:szCs w:val="18"/>
                <w:lang w:val="en-GB"/>
              </w:rPr>
            </w:pPr>
            <w:r w:rsidRPr="008729D6">
              <w:rPr>
                <w:rFonts w:cs="Arial"/>
                <w:b/>
                <w:bCs/>
                <w:sz w:val="18"/>
                <w:szCs w:val="18"/>
                <w:lang w:val="en-GB"/>
              </w:rPr>
              <w:t>Period</w:t>
            </w:r>
          </w:p>
        </w:tc>
        <w:tc>
          <w:tcPr>
            <w:tcW w:w="2378" w:type="dxa"/>
            <w:shd w:val="clear" w:color="auto" w:fill="D9D9D9"/>
            <w:vAlign w:val="center"/>
          </w:tcPr>
          <w:p w14:paraId="7047EF94" w14:textId="77777777" w:rsidR="004B1D30" w:rsidRPr="008729D6" w:rsidRDefault="004B1D30" w:rsidP="004B1D30">
            <w:pPr>
              <w:pStyle w:val="Marge"/>
              <w:spacing w:before="120" w:after="120"/>
              <w:jc w:val="center"/>
              <w:rPr>
                <w:rFonts w:cs="Arial"/>
                <w:b/>
                <w:bCs/>
                <w:sz w:val="18"/>
                <w:szCs w:val="18"/>
                <w:lang w:val="en-GB"/>
              </w:rPr>
            </w:pPr>
            <w:r w:rsidRPr="008729D6">
              <w:rPr>
                <w:rFonts w:cs="Arial"/>
                <w:b/>
                <w:bCs/>
                <w:sz w:val="18"/>
                <w:szCs w:val="18"/>
                <w:lang w:val="en-GB"/>
              </w:rPr>
              <w:t>Report</w:t>
            </w:r>
          </w:p>
        </w:tc>
      </w:tr>
      <w:tr w:rsidR="004B1D30" w:rsidRPr="00D06268" w14:paraId="4BCDE5D7" w14:textId="77777777" w:rsidTr="002B41B5">
        <w:trPr>
          <w:cantSplit/>
        </w:trPr>
        <w:tc>
          <w:tcPr>
            <w:tcW w:w="2810" w:type="dxa"/>
            <w:shd w:val="clear" w:color="auto" w:fill="auto"/>
          </w:tcPr>
          <w:p w14:paraId="44C2F9C5" w14:textId="77777777" w:rsidR="004B1D30" w:rsidRPr="008729D6" w:rsidRDefault="004B1D30" w:rsidP="00F02F65">
            <w:pPr>
              <w:pStyle w:val="Marge"/>
              <w:spacing w:before="120" w:after="120"/>
              <w:jc w:val="left"/>
              <w:rPr>
                <w:rFonts w:cs="Arial"/>
                <w:bCs/>
                <w:sz w:val="18"/>
                <w:szCs w:val="18"/>
                <w:lang w:val="en-GB"/>
              </w:rPr>
            </w:pPr>
            <w:r w:rsidRPr="008729D6">
              <w:rPr>
                <w:rFonts w:cs="Arial"/>
                <w:bCs/>
                <w:sz w:val="18"/>
                <w:szCs w:val="18"/>
                <w:lang w:val="en-GB"/>
              </w:rPr>
              <w:t>Traditions and practices associated with the Kayas in the sacred forests of the Mijikenda (No. 00326)</w:t>
            </w:r>
          </w:p>
        </w:tc>
        <w:tc>
          <w:tcPr>
            <w:tcW w:w="1418" w:type="dxa"/>
            <w:shd w:val="clear" w:color="auto" w:fill="auto"/>
          </w:tcPr>
          <w:p w14:paraId="06F4E5B8" w14:textId="77777777" w:rsidR="004B1D30" w:rsidRPr="008729D6" w:rsidRDefault="004B1D30" w:rsidP="00F02F65">
            <w:pPr>
              <w:pStyle w:val="Marge"/>
              <w:spacing w:before="120" w:after="120"/>
              <w:jc w:val="left"/>
              <w:rPr>
                <w:rFonts w:cs="Arial"/>
                <w:bCs/>
                <w:sz w:val="18"/>
                <w:szCs w:val="18"/>
                <w:lang w:val="en-GB"/>
              </w:rPr>
            </w:pPr>
            <w:r w:rsidRPr="008729D6">
              <w:rPr>
                <w:rFonts w:cs="Arial"/>
                <w:bCs/>
                <w:sz w:val="18"/>
                <w:szCs w:val="18"/>
                <w:lang w:val="en-GB"/>
              </w:rPr>
              <w:t>Kenya</w:t>
            </w:r>
          </w:p>
        </w:tc>
        <w:tc>
          <w:tcPr>
            <w:tcW w:w="1130" w:type="dxa"/>
            <w:shd w:val="clear" w:color="auto" w:fill="auto"/>
          </w:tcPr>
          <w:p w14:paraId="7C1D6D93" w14:textId="7EAE8F1A" w:rsidR="004B1D30" w:rsidRPr="008729D6" w:rsidRDefault="004B1D30">
            <w:pPr>
              <w:pStyle w:val="Marge"/>
              <w:spacing w:before="120" w:after="120"/>
              <w:jc w:val="right"/>
              <w:rPr>
                <w:rFonts w:cs="Arial"/>
                <w:bCs/>
                <w:sz w:val="18"/>
                <w:szCs w:val="18"/>
                <w:lang w:val="en-GB"/>
              </w:rPr>
            </w:pPr>
            <w:r w:rsidRPr="008729D6">
              <w:rPr>
                <w:rFonts w:cs="Arial"/>
                <w:bCs/>
                <w:sz w:val="18"/>
                <w:szCs w:val="18"/>
                <w:lang w:val="en-GB"/>
              </w:rPr>
              <w:t>126,580</w:t>
            </w:r>
            <w:r w:rsidR="002B41B5">
              <w:rPr>
                <w:rFonts w:cs="Arial"/>
                <w:bCs/>
                <w:sz w:val="18"/>
                <w:szCs w:val="18"/>
                <w:lang w:val="en-GB"/>
              </w:rPr>
              <w:t>.00</w:t>
            </w:r>
          </w:p>
        </w:tc>
        <w:tc>
          <w:tcPr>
            <w:tcW w:w="1560" w:type="dxa"/>
            <w:shd w:val="clear" w:color="auto" w:fill="auto"/>
          </w:tcPr>
          <w:p w14:paraId="1001A747" w14:textId="74E0F1DF" w:rsidR="004B1D30" w:rsidRPr="008729D6" w:rsidRDefault="004B1D30">
            <w:pPr>
              <w:pStyle w:val="Marge"/>
              <w:spacing w:before="120" w:after="120"/>
              <w:jc w:val="center"/>
              <w:rPr>
                <w:rFonts w:cs="Arial"/>
                <w:bCs/>
                <w:sz w:val="18"/>
                <w:szCs w:val="18"/>
                <w:lang w:val="en-GB"/>
              </w:rPr>
            </w:pPr>
            <w:r w:rsidRPr="008729D6">
              <w:rPr>
                <w:rFonts w:cs="Arial"/>
                <w:bCs/>
                <w:sz w:val="18"/>
                <w:szCs w:val="18"/>
                <w:lang w:val="en-GB"/>
              </w:rPr>
              <w:t>01/07/2011</w:t>
            </w:r>
            <w:r w:rsidR="00A93BAB" w:rsidRPr="008729D6">
              <w:rPr>
                <w:rFonts w:cs="Arial"/>
                <w:bCs/>
                <w:sz w:val="18"/>
                <w:szCs w:val="18"/>
                <w:lang w:val="en-GB"/>
              </w:rPr>
              <w:br/>
            </w:r>
            <w:r w:rsidRPr="008729D6">
              <w:rPr>
                <w:rFonts w:cs="Arial"/>
                <w:bCs/>
                <w:sz w:val="18"/>
                <w:szCs w:val="18"/>
                <w:lang w:val="en-GB"/>
              </w:rPr>
              <w:t>19/12/2014</w:t>
            </w:r>
            <w:r w:rsidR="005F6620" w:rsidRPr="008729D6">
              <w:rPr>
                <w:rStyle w:val="FootnoteReference"/>
                <w:rFonts w:cs="Arial"/>
                <w:bCs/>
                <w:sz w:val="18"/>
                <w:szCs w:val="18"/>
                <w:lang w:val="en-GB"/>
              </w:rPr>
              <w:footnoteReference w:id="2"/>
            </w:r>
          </w:p>
        </w:tc>
        <w:tc>
          <w:tcPr>
            <w:tcW w:w="2378" w:type="dxa"/>
            <w:shd w:val="clear" w:color="auto" w:fill="auto"/>
          </w:tcPr>
          <w:p w14:paraId="2BC6E985" w14:textId="040A51C4" w:rsidR="00125EC0" w:rsidRPr="00A02FDA" w:rsidRDefault="004B1D30" w:rsidP="00F02F65">
            <w:pPr>
              <w:pStyle w:val="Marge"/>
              <w:spacing w:before="120" w:after="120"/>
              <w:jc w:val="left"/>
              <w:rPr>
                <w:rFonts w:cs="Arial"/>
                <w:bCs/>
                <w:sz w:val="18"/>
                <w:szCs w:val="18"/>
                <w:lang w:val="en-GB"/>
              </w:rPr>
            </w:pPr>
            <w:r w:rsidRPr="00A02FDA">
              <w:rPr>
                <w:rFonts w:cs="Arial"/>
                <w:bCs/>
                <w:sz w:val="18"/>
                <w:szCs w:val="18"/>
                <w:lang w:val="en-GB"/>
              </w:rPr>
              <w:t>Final report:</w:t>
            </w:r>
            <w:r w:rsidR="00125EC0" w:rsidRPr="00A02FDA">
              <w:rPr>
                <w:rFonts w:cs="Arial"/>
                <w:bCs/>
                <w:sz w:val="18"/>
                <w:szCs w:val="18"/>
                <w:lang w:val="en-GB"/>
              </w:rPr>
              <w:t xml:space="preserve"> </w:t>
            </w:r>
            <w:hyperlink r:id="rId9" w:history="1">
              <w:r w:rsidRPr="00A02FDA">
                <w:rPr>
                  <w:rStyle w:val="Hyperlink"/>
                  <w:rFonts w:cs="Arial"/>
                  <w:bCs/>
                  <w:sz w:val="18"/>
                  <w:szCs w:val="18"/>
                  <w:lang w:val="en-GB"/>
                </w:rPr>
                <w:t>English</w:t>
              </w:r>
            </w:hyperlink>
          </w:p>
          <w:p w14:paraId="2A7B0079" w14:textId="7F162827" w:rsidR="00125EC0" w:rsidRPr="00A02FDA" w:rsidRDefault="00D06268" w:rsidP="00F02F65">
            <w:pPr>
              <w:pStyle w:val="Marge"/>
              <w:spacing w:before="120" w:after="120"/>
              <w:jc w:val="left"/>
              <w:rPr>
                <w:rFonts w:cs="Arial"/>
                <w:bCs/>
                <w:sz w:val="18"/>
                <w:szCs w:val="18"/>
                <w:lang w:val="en-GB"/>
              </w:rPr>
            </w:pPr>
            <w:hyperlink r:id="rId10" w:history="1">
              <w:r w:rsidR="00125EC0" w:rsidRPr="00A02FDA">
                <w:rPr>
                  <w:rStyle w:val="Hyperlink"/>
                  <w:rFonts w:cs="Arial"/>
                  <w:bCs/>
                  <w:sz w:val="18"/>
                  <w:szCs w:val="18"/>
                  <w:lang w:val="en-GB"/>
                </w:rPr>
                <w:t>Dedicated webpage</w:t>
              </w:r>
            </w:hyperlink>
          </w:p>
        </w:tc>
      </w:tr>
      <w:tr w:rsidR="004B1D30" w:rsidRPr="00D06268" w14:paraId="0F2B1207" w14:textId="77777777" w:rsidTr="002B41B5">
        <w:trPr>
          <w:cantSplit/>
        </w:trPr>
        <w:tc>
          <w:tcPr>
            <w:tcW w:w="2810" w:type="dxa"/>
            <w:shd w:val="clear" w:color="auto" w:fill="auto"/>
          </w:tcPr>
          <w:p w14:paraId="440A9B85" w14:textId="4799118E" w:rsidR="004B1D30" w:rsidRPr="008729D6" w:rsidRDefault="00096632" w:rsidP="00F02F65">
            <w:pPr>
              <w:pStyle w:val="Marge"/>
              <w:spacing w:before="120" w:after="120"/>
              <w:jc w:val="left"/>
              <w:rPr>
                <w:rFonts w:cs="Arial"/>
                <w:bCs/>
                <w:sz w:val="18"/>
                <w:szCs w:val="18"/>
                <w:lang w:val="en-GB"/>
              </w:rPr>
            </w:pPr>
            <w:r w:rsidRPr="008729D6">
              <w:rPr>
                <w:rFonts w:cs="Arial"/>
                <w:bCs/>
                <w:sz w:val="18"/>
                <w:szCs w:val="18"/>
                <w:lang w:val="en-GB"/>
              </w:rPr>
              <w:t>Inventory and promotion of intangible cultural heritage in Burkina Faso (No. 006</w:t>
            </w:r>
            <w:r w:rsidR="008A19A1" w:rsidRPr="008729D6">
              <w:rPr>
                <w:rFonts w:cs="Arial"/>
                <w:bCs/>
                <w:sz w:val="18"/>
                <w:szCs w:val="18"/>
                <w:lang w:val="en-GB"/>
              </w:rPr>
              <w:t>7</w:t>
            </w:r>
            <w:r w:rsidRPr="008729D6">
              <w:rPr>
                <w:rFonts w:cs="Arial"/>
                <w:bCs/>
                <w:sz w:val="18"/>
                <w:szCs w:val="18"/>
                <w:lang w:val="en-GB"/>
              </w:rPr>
              <w:t>8)</w:t>
            </w:r>
          </w:p>
        </w:tc>
        <w:tc>
          <w:tcPr>
            <w:tcW w:w="1418" w:type="dxa"/>
            <w:shd w:val="clear" w:color="auto" w:fill="auto"/>
          </w:tcPr>
          <w:p w14:paraId="65FD2311" w14:textId="77777777" w:rsidR="004B1D30" w:rsidRPr="008729D6" w:rsidRDefault="00096632" w:rsidP="00F02F65">
            <w:pPr>
              <w:pStyle w:val="Marge"/>
              <w:spacing w:before="120" w:after="120"/>
              <w:jc w:val="left"/>
              <w:rPr>
                <w:rFonts w:cs="Arial"/>
                <w:bCs/>
                <w:sz w:val="18"/>
                <w:szCs w:val="18"/>
                <w:lang w:val="en-GB"/>
              </w:rPr>
            </w:pPr>
            <w:r w:rsidRPr="008729D6">
              <w:rPr>
                <w:rFonts w:cs="Arial"/>
                <w:bCs/>
                <w:sz w:val="18"/>
                <w:szCs w:val="18"/>
                <w:lang w:val="en-GB"/>
              </w:rPr>
              <w:t xml:space="preserve">Burkina Faso </w:t>
            </w:r>
          </w:p>
        </w:tc>
        <w:tc>
          <w:tcPr>
            <w:tcW w:w="1130" w:type="dxa"/>
            <w:shd w:val="clear" w:color="auto" w:fill="auto"/>
          </w:tcPr>
          <w:p w14:paraId="3B3736A4" w14:textId="72B8B913" w:rsidR="004B1D30" w:rsidRPr="008729D6" w:rsidRDefault="00096632">
            <w:pPr>
              <w:pStyle w:val="Marge"/>
              <w:spacing w:before="120" w:after="120"/>
              <w:jc w:val="right"/>
              <w:rPr>
                <w:rFonts w:cs="Arial"/>
                <w:bCs/>
                <w:sz w:val="18"/>
                <w:szCs w:val="18"/>
                <w:lang w:val="en-GB"/>
              </w:rPr>
            </w:pPr>
            <w:r w:rsidRPr="008729D6">
              <w:rPr>
                <w:rFonts w:cs="Arial"/>
                <w:bCs/>
                <w:sz w:val="18"/>
                <w:szCs w:val="18"/>
                <w:lang w:val="en-GB"/>
              </w:rPr>
              <w:t>262,080</w:t>
            </w:r>
            <w:r w:rsidR="002B41B5">
              <w:rPr>
                <w:rFonts w:cs="Arial"/>
                <w:bCs/>
                <w:sz w:val="18"/>
                <w:szCs w:val="18"/>
                <w:lang w:val="en-GB"/>
              </w:rPr>
              <w:t>.00</w:t>
            </w:r>
          </w:p>
        </w:tc>
        <w:tc>
          <w:tcPr>
            <w:tcW w:w="1560" w:type="dxa"/>
            <w:shd w:val="clear" w:color="auto" w:fill="auto"/>
          </w:tcPr>
          <w:p w14:paraId="503807E5" w14:textId="02899CBD" w:rsidR="004B1D30" w:rsidRPr="008729D6" w:rsidRDefault="00096632">
            <w:pPr>
              <w:pStyle w:val="Marge"/>
              <w:spacing w:before="120" w:after="120"/>
              <w:jc w:val="center"/>
              <w:rPr>
                <w:rFonts w:cs="Arial"/>
                <w:bCs/>
                <w:sz w:val="18"/>
                <w:szCs w:val="18"/>
                <w:lang w:val="en-GB"/>
              </w:rPr>
            </w:pPr>
            <w:r w:rsidRPr="008729D6">
              <w:rPr>
                <w:rFonts w:cs="Arial"/>
                <w:bCs/>
                <w:sz w:val="18"/>
                <w:szCs w:val="18"/>
                <w:lang w:val="en-GB"/>
              </w:rPr>
              <w:t>29/03/2013</w:t>
            </w:r>
            <w:r w:rsidR="00A93BAB" w:rsidRPr="008729D6">
              <w:rPr>
                <w:rFonts w:cs="Arial"/>
                <w:bCs/>
                <w:sz w:val="18"/>
                <w:szCs w:val="18"/>
                <w:lang w:val="en-GB"/>
              </w:rPr>
              <w:br/>
            </w:r>
            <w:r w:rsidRPr="008729D6">
              <w:rPr>
                <w:rFonts w:cs="Arial"/>
                <w:bCs/>
                <w:sz w:val="18"/>
                <w:szCs w:val="18"/>
                <w:lang w:val="en-GB"/>
              </w:rPr>
              <w:t>01/07/2016</w:t>
            </w:r>
          </w:p>
        </w:tc>
        <w:tc>
          <w:tcPr>
            <w:tcW w:w="2378" w:type="dxa"/>
            <w:shd w:val="clear" w:color="auto" w:fill="auto"/>
          </w:tcPr>
          <w:p w14:paraId="71AD6393" w14:textId="744E9EF4" w:rsidR="004B1D30" w:rsidRPr="00A02FDA" w:rsidRDefault="00096632" w:rsidP="00F02F65">
            <w:pPr>
              <w:pStyle w:val="Marge"/>
              <w:spacing w:before="120" w:after="120"/>
              <w:jc w:val="left"/>
              <w:rPr>
                <w:rFonts w:cs="Arial"/>
                <w:bCs/>
                <w:sz w:val="18"/>
                <w:szCs w:val="18"/>
                <w:lang w:val="en-GB"/>
              </w:rPr>
            </w:pPr>
            <w:r w:rsidRPr="00A02FDA">
              <w:rPr>
                <w:rFonts w:cs="Arial"/>
                <w:bCs/>
                <w:sz w:val="18"/>
                <w:szCs w:val="18"/>
                <w:lang w:val="en-GB"/>
              </w:rPr>
              <w:t>Pre-final report:</w:t>
            </w:r>
            <w:r w:rsidR="00A93BAB" w:rsidRPr="00A02FDA">
              <w:rPr>
                <w:rFonts w:cs="Arial"/>
                <w:bCs/>
                <w:sz w:val="18"/>
                <w:szCs w:val="18"/>
                <w:lang w:val="en-GB"/>
              </w:rPr>
              <w:t xml:space="preserve"> </w:t>
            </w:r>
            <w:hyperlink r:id="rId11" w:history="1">
              <w:r w:rsidRPr="00A02FDA">
                <w:rPr>
                  <w:rStyle w:val="Hyperlink"/>
                  <w:rFonts w:cs="Arial"/>
                  <w:sz w:val="18"/>
                  <w:szCs w:val="18"/>
                  <w:lang w:val="en-US"/>
                </w:rPr>
                <w:t>French</w:t>
              </w:r>
            </w:hyperlink>
          </w:p>
          <w:p w14:paraId="1093BFA0" w14:textId="078337A6" w:rsidR="009726D2" w:rsidRPr="00A02FDA" w:rsidRDefault="00D06268" w:rsidP="00F02F65">
            <w:pPr>
              <w:pStyle w:val="Marge"/>
              <w:spacing w:before="120" w:after="120"/>
              <w:jc w:val="left"/>
              <w:rPr>
                <w:rFonts w:cs="Arial"/>
                <w:bCs/>
                <w:sz w:val="18"/>
                <w:szCs w:val="18"/>
                <w:lang w:val="en-GB"/>
              </w:rPr>
            </w:pPr>
            <w:hyperlink r:id="rId12" w:history="1">
              <w:r w:rsidR="009726D2" w:rsidRPr="00A02FDA">
                <w:rPr>
                  <w:rStyle w:val="Hyperlink"/>
                  <w:rFonts w:cs="Arial"/>
                  <w:sz w:val="18"/>
                  <w:szCs w:val="18"/>
                  <w:lang w:val="en-US"/>
                </w:rPr>
                <w:t>Dedicated webpage</w:t>
              </w:r>
            </w:hyperlink>
          </w:p>
        </w:tc>
      </w:tr>
      <w:tr w:rsidR="00E55910" w:rsidRPr="00D06268" w14:paraId="0DD4687A" w14:textId="77777777" w:rsidTr="002B41B5">
        <w:trPr>
          <w:cantSplit/>
        </w:trPr>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11109751"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Safeguarding and revitalizing the Mongolian traditional epic (No. 00549)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489BBB8"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Mongolia</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72F34BA5" w14:textId="23457AE8" w:rsidR="00E55910" w:rsidRPr="008729D6" w:rsidRDefault="00E55910" w:rsidP="00E55910">
            <w:pPr>
              <w:pStyle w:val="Marge"/>
              <w:spacing w:before="120" w:after="120"/>
              <w:jc w:val="right"/>
              <w:rPr>
                <w:rFonts w:cs="Arial"/>
                <w:bCs/>
                <w:sz w:val="18"/>
                <w:szCs w:val="18"/>
                <w:lang w:val="en-GB"/>
              </w:rPr>
            </w:pPr>
            <w:r w:rsidRPr="008729D6">
              <w:rPr>
                <w:rFonts w:cs="Arial"/>
                <w:bCs/>
                <w:sz w:val="18"/>
                <w:szCs w:val="18"/>
                <w:lang w:val="en-GB"/>
              </w:rPr>
              <w:t>89,700</w:t>
            </w:r>
            <w:r w:rsidR="002B41B5">
              <w:rPr>
                <w:rFonts w:cs="Arial"/>
                <w:bCs/>
                <w:sz w:val="18"/>
                <w:szCs w:val="18"/>
                <w:lang w:val="en-GB"/>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AA9F5EB" w14:textId="77777777" w:rsidR="00E55910" w:rsidRPr="008729D6" w:rsidRDefault="00E55910" w:rsidP="00E55910">
            <w:pPr>
              <w:pStyle w:val="Marge"/>
              <w:spacing w:before="120" w:after="120"/>
              <w:jc w:val="center"/>
              <w:rPr>
                <w:rFonts w:cs="Arial"/>
                <w:bCs/>
                <w:sz w:val="18"/>
                <w:szCs w:val="18"/>
                <w:lang w:val="en-GB"/>
              </w:rPr>
            </w:pPr>
            <w:r w:rsidRPr="008729D6">
              <w:rPr>
                <w:rFonts w:cs="Arial"/>
                <w:bCs/>
                <w:sz w:val="18"/>
                <w:szCs w:val="18"/>
                <w:lang w:val="en-GB"/>
              </w:rPr>
              <w:t>30/09/2013</w:t>
            </w:r>
            <w:r w:rsidRPr="008729D6">
              <w:rPr>
                <w:rFonts w:cs="Arial"/>
                <w:bCs/>
                <w:sz w:val="18"/>
                <w:szCs w:val="18"/>
                <w:lang w:val="en-GB"/>
              </w:rPr>
              <w:br/>
              <w:t>30/06/2016</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14:paraId="654C37AC" w14:textId="77777777" w:rsidR="00E55910" w:rsidRPr="00A02FDA" w:rsidRDefault="00E55910" w:rsidP="00E55910">
            <w:pPr>
              <w:pStyle w:val="Marge"/>
              <w:spacing w:before="120" w:after="120"/>
              <w:jc w:val="left"/>
              <w:rPr>
                <w:rFonts w:cs="Arial"/>
                <w:bCs/>
                <w:sz w:val="18"/>
                <w:szCs w:val="18"/>
                <w:lang w:val="en-GB"/>
              </w:rPr>
            </w:pPr>
            <w:r w:rsidRPr="00A02FDA">
              <w:rPr>
                <w:rFonts w:cs="Arial"/>
                <w:bCs/>
                <w:sz w:val="18"/>
                <w:szCs w:val="18"/>
                <w:lang w:val="en-GB"/>
              </w:rPr>
              <w:t xml:space="preserve">Final report: </w:t>
            </w:r>
            <w:hyperlink r:id="rId13" w:history="1">
              <w:r w:rsidRPr="00A02FDA">
                <w:rPr>
                  <w:rStyle w:val="Hyperlink"/>
                  <w:rFonts w:cs="Arial"/>
                  <w:bCs/>
                  <w:sz w:val="18"/>
                  <w:szCs w:val="18"/>
                  <w:lang w:val="en-GB"/>
                </w:rPr>
                <w:t>English</w:t>
              </w:r>
            </w:hyperlink>
          </w:p>
          <w:p w14:paraId="3800B2B4" w14:textId="77777777" w:rsidR="00E55910" w:rsidRPr="00A02FDA" w:rsidRDefault="00D06268" w:rsidP="00E55910">
            <w:pPr>
              <w:pStyle w:val="Marge"/>
              <w:spacing w:before="120" w:after="120"/>
              <w:jc w:val="left"/>
              <w:rPr>
                <w:rFonts w:cs="Arial"/>
                <w:bCs/>
                <w:sz w:val="18"/>
                <w:szCs w:val="18"/>
                <w:lang w:val="en-GB"/>
              </w:rPr>
            </w:pPr>
            <w:hyperlink r:id="rId14" w:history="1">
              <w:r w:rsidR="00E55910" w:rsidRPr="00A02FDA">
                <w:rPr>
                  <w:rStyle w:val="Hyperlink"/>
                  <w:rFonts w:cs="Arial"/>
                  <w:bCs/>
                  <w:sz w:val="18"/>
                  <w:szCs w:val="18"/>
                  <w:lang w:val="en-GB"/>
                </w:rPr>
                <w:t>Dedicated webpage</w:t>
              </w:r>
            </w:hyperlink>
          </w:p>
        </w:tc>
      </w:tr>
      <w:tr w:rsidR="00E55910" w:rsidRPr="008729D6" w14:paraId="417B9A15" w14:textId="77777777" w:rsidTr="002B41B5">
        <w:trPr>
          <w:cantSplit/>
        </w:trPr>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1A77EDD2" w14:textId="77777777" w:rsidR="00E55910" w:rsidRPr="008729D6" w:rsidRDefault="00E55910" w:rsidP="00E55910">
            <w:pPr>
              <w:pStyle w:val="Marge"/>
              <w:spacing w:before="120" w:after="120"/>
              <w:jc w:val="left"/>
              <w:rPr>
                <w:rFonts w:cs="Arial"/>
                <w:bCs/>
                <w:sz w:val="18"/>
                <w:szCs w:val="18"/>
                <w:lang w:val="en-GB"/>
              </w:rPr>
            </w:pPr>
            <w:proofErr w:type="spellStart"/>
            <w:r w:rsidRPr="008729D6">
              <w:rPr>
                <w:rFonts w:cs="Arial"/>
                <w:bCs/>
                <w:sz w:val="18"/>
                <w:szCs w:val="18"/>
                <w:lang w:val="en-GB"/>
              </w:rPr>
              <w:t>Taskiwine</w:t>
            </w:r>
            <w:proofErr w:type="spellEnd"/>
            <w:r w:rsidRPr="008729D6">
              <w:rPr>
                <w:rFonts w:cs="Arial"/>
                <w:bCs/>
                <w:sz w:val="18"/>
                <w:szCs w:val="18"/>
                <w:lang w:val="en-GB"/>
              </w:rPr>
              <w:t>, Amazigh dance and songs of the western High Atlas (No. 01052)</w:t>
            </w:r>
          </w:p>
          <w:p w14:paraId="05EB4512"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Preparatory Assistance - USL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DC5645C"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Morocco</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08A7E655" w14:textId="4EDEB026" w:rsidR="00E55910" w:rsidRPr="008729D6" w:rsidRDefault="00E55910" w:rsidP="00E55910">
            <w:pPr>
              <w:pStyle w:val="Marge"/>
              <w:spacing w:before="120" w:after="120"/>
              <w:jc w:val="right"/>
              <w:rPr>
                <w:rFonts w:cs="Arial"/>
                <w:bCs/>
                <w:sz w:val="18"/>
                <w:szCs w:val="18"/>
                <w:lang w:val="en-GB"/>
              </w:rPr>
            </w:pPr>
            <w:r w:rsidRPr="008729D6">
              <w:rPr>
                <w:rFonts w:cs="Arial"/>
                <w:bCs/>
                <w:sz w:val="18"/>
                <w:szCs w:val="18"/>
                <w:lang w:val="en-GB"/>
              </w:rPr>
              <w:t>14,100</w:t>
            </w:r>
            <w:r w:rsidR="002B41B5">
              <w:rPr>
                <w:rFonts w:cs="Arial"/>
                <w:bCs/>
                <w:sz w:val="18"/>
                <w:szCs w:val="18"/>
                <w:lang w:val="en-GB"/>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C3BF43E" w14:textId="77777777" w:rsidR="00E55910" w:rsidRPr="008729D6" w:rsidRDefault="00E55910" w:rsidP="00E55910">
            <w:pPr>
              <w:pStyle w:val="Marge"/>
              <w:spacing w:before="120" w:after="120"/>
              <w:jc w:val="center"/>
              <w:rPr>
                <w:rFonts w:cs="Arial"/>
                <w:bCs/>
                <w:sz w:val="18"/>
                <w:szCs w:val="18"/>
                <w:lang w:val="en-GB"/>
              </w:rPr>
            </w:pPr>
            <w:r w:rsidRPr="008729D6">
              <w:rPr>
                <w:rFonts w:cs="Arial"/>
                <w:bCs/>
                <w:sz w:val="18"/>
                <w:szCs w:val="18"/>
                <w:lang w:val="en-GB"/>
              </w:rPr>
              <w:t>15/12/2014</w:t>
            </w:r>
            <w:r w:rsidRPr="008729D6">
              <w:rPr>
                <w:rFonts w:cs="Arial"/>
                <w:bCs/>
                <w:sz w:val="18"/>
                <w:szCs w:val="18"/>
                <w:lang w:val="en-GB"/>
              </w:rPr>
              <w:br/>
              <w:t>30/04/2016</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14:paraId="1315AC31" w14:textId="494218F5" w:rsidR="00E55910" w:rsidRPr="00A02FDA" w:rsidRDefault="00E55910" w:rsidP="004D183B">
            <w:pPr>
              <w:pStyle w:val="Marge"/>
              <w:spacing w:before="120" w:after="120"/>
              <w:jc w:val="left"/>
              <w:rPr>
                <w:rFonts w:cs="Arial"/>
                <w:bCs/>
                <w:sz w:val="18"/>
                <w:szCs w:val="18"/>
                <w:lang w:val="en-GB"/>
              </w:rPr>
            </w:pPr>
            <w:r w:rsidRPr="00A02FDA">
              <w:rPr>
                <w:rFonts w:cs="Arial"/>
                <w:bCs/>
                <w:sz w:val="18"/>
                <w:szCs w:val="18"/>
                <w:lang w:val="en-GB"/>
              </w:rPr>
              <w:t xml:space="preserve">Final report: </w:t>
            </w:r>
            <w:hyperlink r:id="rId15" w:history="1">
              <w:r w:rsidR="004D183B" w:rsidRPr="00A02FDA">
                <w:rPr>
                  <w:rStyle w:val="Hyperlink"/>
                  <w:rFonts w:cs="Arial"/>
                  <w:bCs/>
                  <w:sz w:val="18"/>
                  <w:szCs w:val="18"/>
                  <w:lang w:val="en-GB"/>
                </w:rPr>
                <w:t>French</w:t>
              </w:r>
            </w:hyperlink>
          </w:p>
        </w:tc>
      </w:tr>
      <w:tr w:rsidR="00096632" w:rsidRPr="00D06268" w14:paraId="5D84E686" w14:textId="77777777" w:rsidTr="002B41B5">
        <w:trPr>
          <w:cantSplit/>
        </w:trPr>
        <w:tc>
          <w:tcPr>
            <w:tcW w:w="2810" w:type="dxa"/>
            <w:shd w:val="clear" w:color="auto" w:fill="auto"/>
          </w:tcPr>
          <w:p w14:paraId="025F532A" w14:textId="77777777" w:rsidR="00096632" w:rsidRPr="00527154" w:rsidRDefault="00096632" w:rsidP="00F02F65">
            <w:pPr>
              <w:pStyle w:val="Marge"/>
              <w:spacing w:before="120" w:after="120"/>
              <w:jc w:val="left"/>
              <w:rPr>
                <w:rFonts w:cs="Arial"/>
                <w:bCs/>
                <w:sz w:val="18"/>
                <w:szCs w:val="18"/>
                <w:lang w:val="en-GB"/>
              </w:rPr>
            </w:pPr>
            <w:r w:rsidRPr="00527154">
              <w:rPr>
                <w:rFonts w:cs="Arial"/>
                <w:bCs/>
                <w:sz w:val="18"/>
                <w:szCs w:val="18"/>
                <w:lang w:val="en-GB"/>
              </w:rPr>
              <w:t>Improving the capacities of intangible cultural heritage related NGOs in Mongolia (No. 00910)</w:t>
            </w:r>
          </w:p>
        </w:tc>
        <w:tc>
          <w:tcPr>
            <w:tcW w:w="1418" w:type="dxa"/>
            <w:shd w:val="clear" w:color="auto" w:fill="auto"/>
          </w:tcPr>
          <w:p w14:paraId="1E0623B6" w14:textId="77777777" w:rsidR="00096632" w:rsidRPr="00D25A80" w:rsidRDefault="00096632" w:rsidP="00F02F65">
            <w:pPr>
              <w:pStyle w:val="Marge"/>
              <w:spacing w:before="120" w:after="120"/>
              <w:jc w:val="left"/>
              <w:rPr>
                <w:rFonts w:cs="Arial"/>
                <w:bCs/>
                <w:sz w:val="18"/>
                <w:szCs w:val="18"/>
                <w:lang w:val="en-GB"/>
              </w:rPr>
            </w:pPr>
            <w:r w:rsidRPr="00D25A80">
              <w:rPr>
                <w:rFonts w:cs="Arial"/>
                <w:bCs/>
                <w:sz w:val="18"/>
                <w:szCs w:val="18"/>
                <w:lang w:val="en-GB"/>
              </w:rPr>
              <w:t>Mongolia</w:t>
            </w:r>
          </w:p>
        </w:tc>
        <w:tc>
          <w:tcPr>
            <w:tcW w:w="1130" w:type="dxa"/>
            <w:shd w:val="clear" w:color="auto" w:fill="auto"/>
          </w:tcPr>
          <w:p w14:paraId="6C94D276" w14:textId="00AA0784" w:rsidR="00096632" w:rsidRPr="00D25A80" w:rsidRDefault="00096632">
            <w:pPr>
              <w:pStyle w:val="Marge"/>
              <w:spacing w:before="120" w:after="120"/>
              <w:jc w:val="right"/>
              <w:rPr>
                <w:rFonts w:cs="Arial"/>
                <w:bCs/>
                <w:sz w:val="18"/>
                <w:szCs w:val="18"/>
                <w:lang w:val="en-GB"/>
              </w:rPr>
            </w:pPr>
            <w:r w:rsidRPr="00D25A80">
              <w:rPr>
                <w:rFonts w:cs="Arial"/>
                <w:bCs/>
                <w:sz w:val="18"/>
                <w:szCs w:val="18"/>
                <w:lang w:val="en-GB"/>
              </w:rPr>
              <w:t>24,900</w:t>
            </w:r>
            <w:r w:rsidR="002B41B5">
              <w:rPr>
                <w:rFonts w:cs="Arial"/>
                <w:bCs/>
                <w:sz w:val="18"/>
                <w:szCs w:val="18"/>
                <w:lang w:val="en-GB"/>
              </w:rPr>
              <w:t>.00</w:t>
            </w:r>
          </w:p>
        </w:tc>
        <w:tc>
          <w:tcPr>
            <w:tcW w:w="1560" w:type="dxa"/>
            <w:shd w:val="clear" w:color="auto" w:fill="auto"/>
          </w:tcPr>
          <w:p w14:paraId="245AE571" w14:textId="11D5746D" w:rsidR="00096632" w:rsidRPr="00D25A80" w:rsidRDefault="00096632">
            <w:pPr>
              <w:pStyle w:val="Marge"/>
              <w:spacing w:before="120" w:after="120"/>
              <w:jc w:val="center"/>
              <w:rPr>
                <w:rFonts w:cs="Arial"/>
                <w:bCs/>
                <w:sz w:val="18"/>
                <w:szCs w:val="18"/>
                <w:lang w:val="en-GB"/>
              </w:rPr>
            </w:pPr>
            <w:r w:rsidRPr="00D25A80">
              <w:rPr>
                <w:rFonts w:cs="Arial"/>
                <w:bCs/>
                <w:sz w:val="18"/>
                <w:szCs w:val="18"/>
                <w:lang w:val="en-GB"/>
              </w:rPr>
              <w:t>17/04/2015</w:t>
            </w:r>
            <w:r w:rsidR="00A93BAB" w:rsidRPr="00D25A80">
              <w:rPr>
                <w:rFonts w:cs="Arial"/>
                <w:bCs/>
                <w:sz w:val="18"/>
                <w:szCs w:val="18"/>
                <w:lang w:val="en-GB"/>
              </w:rPr>
              <w:br/>
            </w:r>
            <w:r w:rsidRPr="00D25A80">
              <w:rPr>
                <w:rFonts w:cs="Arial"/>
                <w:bCs/>
                <w:sz w:val="18"/>
                <w:szCs w:val="18"/>
                <w:lang w:val="en-GB"/>
              </w:rPr>
              <w:t>31/12/2015</w:t>
            </w:r>
          </w:p>
        </w:tc>
        <w:tc>
          <w:tcPr>
            <w:tcW w:w="2378" w:type="dxa"/>
            <w:shd w:val="clear" w:color="auto" w:fill="auto"/>
          </w:tcPr>
          <w:p w14:paraId="45F6E1F6" w14:textId="44E0328B" w:rsidR="00096632" w:rsidRPr="00A02FDA" w:rsidRDefault="00096632" w:rsidP="00F02F65">
            <w:pPr>
              <w:pStyle w:val="Marge"/>
              <w:spacing w:before="120" w:after="120"/>
              <w:jc w:val="left"/>
              <w:rPr>
                <w:rFonts w:cs="Arial"/>
                <w:bCs/>
                <w:sz w:val="18"/>
                <w:szCs w:val="18"/>
                <w:lang w:val="en-GB"/>
              </w:rPr>
            </w:pPr>
            <w:r w:rsidRPr="00A02FDA">
              <w:rPr>
                <w:rFonts w:cs="Arial"/>
                <w:bCs/>
                <w:sz w:val="18"/>
                <w:szCs w:val="18"/>
                <w:lang w:val="en-GB"/>
              </w:rPr>
              <w:t>Final report:</w:t>
            </w:r>
            <w:r w:rsidR="00F116A7" w:rsidRPr="00A02FDA">
              <w:rPr>
                <w:rFonts w:cs="Arial"/>
                <w:bCs/>
                <w:sz w:val="18"/>
                <w:szCs w:val="18"/>
                <w:lang w:val="en-GB"/>
              </w:rPr>
              <w:t xml:space="preserve"> </w:t>
            </w:r>
            <w:hyperlink r:id="rId16" w:history="1">
              <w:r w:rsidRPr="00A02FDA">
                <w:rPr>
                  <w:rStyle w:val="Hyperlink"/>
                  <w:sz w:val="18"/>
                  <w:szCs w:val="18"/>
                  <w:lang w:val="en-US"/>
                </w:rPr>
                <w:t>English</w:t>
              </w:r>
            </w:hyperlink>
          </w:p>
          <w:p w14:paraId="4E20DB2B" w14:textId="6D423CA0" w:rsidR="009726D2" w:rsidRPr="00A02FDA" w:rsidRDefault="00D06268" w:rsidP="00F02F65">
            <w:pPr>
              <w:pStyle w:val="Marge"/>
              <w:spacing w:before="120" w:after="120"/>
              <w:jc w:val="left"/>
              <w:rPr>
                <w:rFonts w:cs="Arial"/>
                <w:bCs/>
                <w:sz w:val="18"/>
                <w:szCs w:val="18"/>
                <w:lang w:val="en-GB"/>
              </w:rPr>
            </w:pPr>
            <w:hyperlink r:id="rId17" w:history="1">
              <w:r w:rsidR="009726D2" w:rsidRPr="00A02FDA">
                <w:rPr>
                  <w:rStyle w:val="Hyperlink"/>
                  <w:sz w:val="18"/>
                  <w:szCs w:val="18"/>
                  <w:lang w:val="en-US"/>
                </w:rPr>
                <w:t>Dedicated webpage</w:t>
              </w:r>
            </w:hyperlink>
          </w:p>
        </w:tc>
      </w:tr>
      <w:tr w:rsidR="00E55910" w:rsidRPr="00D06268" w14:paraId="2894C511" w14:textId="77777777" w:rsidTr="002B41B5">
        <w:trPr>
          <w:cantSplit/>
        </w:trPr>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29DF4B1E"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 xml:space="preserve">Safeguarding the oral traditions and expressions of the </w:t>
            </w:r>
            <w:proofErr w:type="spellStart"/>
            <w:r w:rsidRPr="008729D6">
              <w:rPr>
                <w:rFonts w:cs="Arial"/>
                <w:bCs/>
                <w:sz w:val="18"/>
                <w:szCs w:val="18"/>
                <w:lang w:val="en-GB"/>
              </w:rPr>
              <w:t>Dzao</w:t>
            </w:r>
            <w:proofErr w:type="spellEnd"/>
            <w:r w:rsidRPr="008729D6">
              <w:rPr>
                <w:rFonts w:cs="Arial"/>
                <w:bCs/>
                <w:sz w:val="18"/>
                <w:szCs w:val="18"/>
                <w:lang w:val="en-GB"/>
              </w:rPr>
              <w:t xml:space="preserve"> people of Lao </w:t>
            </w:r>
            <w:proofErr w:type="spellStart"/>
            <w:r w:rsidRPr="008729D6">
              <w:rPr>
                <w:rFonts w:cs="Arial"/>
                <w:bCs/>
                <w:sz w:val="18"/>
                <w:szCs w:val="18"/>
                <w:lang w:val="en-GB"/>
              </w:rPr>
              <w:t>Cai</w:t>
            </w:r>
            <w:proofErr w:type="spellEnd"/>
            <w:r w:rsidRPr="008729D6">
              <w:rPr>
                <w:rFonts w:cs="Arial"/>
                <w:bCs/>
                <w:sz w:val="18"/>
                <w:szCs w:val="18"/>
                <w:lang w:val="en-GB"/>
              </w:rPr>
              <w:t xml:space="preserve"> and Lai Chau Provinces of Viet Nam (No. 00599)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6517CC3"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Viet Nam</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2F2C2DE4" w14:textId="367B7CDD" w:rsidR="00E55910" w:rsidRPr="008729D6" w:rsidRDefault="00E55910" w:rsidP="00E55910">
            <w:pPr>
              <w:pStyle w:val="Marge"/>
              <w:spacing w:before="120" w:after="120"/>
              <w:jc w:val="right"/>
              <w:rPr>
                <w:rFonts w:cs="Arial"/>
                <w:bCs/>
                <w:sz w:val="18"/>
                <w:szCs w:val="18"/>
                <w:lang w:val="en-GB"/>
              </w:rPr>
            </w:pPr>
            <w:r w:rsidRPr="008729D6">
              <w:rPr>
                <w:rFonts w:cs="Arial"/>
                <w:bCs/>
                <w:sz w:val="18"/>
                <w:szCs w:val="18"/>
                <w:lang w:val="en-GB"/>
              </w:rPr>
              <w:t>24,350</w:t>
            </w:r>
            <w:r w:rsidR="002B41B5">
              <w:rPr>
                <w:rFonts w:cs="Arial"/>
                <w:bCs/>
                <w:sz w:val="18"/>
                <w:szCs w:val="18"/>
                <w:lang w:val="en-GB"/>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CE950C7" w14:textId="77777777" w:rsidR="00E55910" w:rsidRPr="008729D6" w:rsidRDefault="00E55910" w:rsidP="00E55910">
            <w:pPr>
              <w:pStyle w:val="Marge"/>
              <w:spacing w:before="120" w:after="120"/>
              <w:jc w:val="center"/>
              <w:rPr>
                <w:rFonts w:cs="Arial"/>
                <w:bCs/>
                <w:sz w:val="18"/>
                <w:szCs w:val="18"/>
                <w:lang w:val="en-GB"/>
              </w:rPr>
            </w:pPr>
            <w:r w:rsidRPr="008729D6">
              <w:rPr>
                <w:rFonts w:cs="Arial"/>
                <w:bCs/>
                <w:sz w:val="18"/>
                <w:szCs w:val="18"/>
                <w:lang w:val="en-GB"/>
              </w:rPr>
              <w:t>08/07/2015</w:t>
            </w:r>
            <w:r w:rsidRPr="008729D6">
              <w:rPr>
                <w:rFonts w:cs="Arial"/>
                <w:bCs/>
                <w:sz w:val="18"/>
                <w:szCs w:val="18"/>
                <w:lang w:val="en-GB"/>
              </w:rPr>
              <w:br/>
              <w:t>30/06/2016</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14:paraId="2DCCD10A" w14:textId="204F1C38" w:rsidR="00E55910" w:rsidRPr="00A02FDA" w:rsidRDefault="00E55910" w:rsidP="00E55910">
            <w:pPr>
              <w:pStyle w:val="Marge"/>
              <w:spacing w:before="120" w:after="120"/>
              <w:jc w:val="left"/>
              <w:rPr>
                <w:rFonts w:cs="Arial"/>
                <w:bCs/>
                <w:sz w:val="18"/>
                <w:szCs w:val="18"/>
                <w:lang w:val="en-GB"/>
              </w:rPr>
            </w:pPr>
            <w:r w:rsidRPr="00A02FDA">
              <w:rPr>
                <w:rFonts w:cs="Arial"/>
                <w:bCs/>
                <w:sz w:val="18"/>
                <w:szCs w:val="18"/>
                <w:lang w:val="en-GB"/>
              </w:rPr>
              <w:t xml:space="preserve">Final report: </w:t>
            </w:r>
            <w:hyperlink r:id="rId18" w:history="1">
              <w:r w:rsidRPr="00A02FDA">
                <w:rPr>
                  <w:rStyle w:val="Hyperlink"/>
                  <w:sz w:val="18"/>
                  <w:szCs w:val="18"/>
                  <w:lang w:val="en-US"/>
                </w:rPr>
                <w:t>English</w:t>
              </w:r>
            </w:hyperlink>
          </w:p>
          <w:p w14:paraId="257C31F2" w14:textId="77777777" w:rsidR="00E55910" w:rsidRPr="00A02FDA" w:rsidRDefault="00D06268" w:rsidP="00E55910">
            <w:pPr>
              <w:pStyle w:val="Marge"/>
              <w:spacing w:before="120" w:after="120"/>
              <w:jc w:val="left"/>
              <w:rPr>
                <w:rFonts w:cs="Arial"/>
                <w:bCs/>
                <w:sz w:val="18"/>
                <w:szCs w:val="18"/>
                <w:lang w:val="en-GB"/>
              </w:rPr>
            </w:pPr>
            <w:hyperlink r:id="rId19" w:history="1">
              <w:r w:rsidR="00E55910" w:rsidRPr="00A02FDA">
                <w:rPr>
                  <w:rStyle w:val="Hyperlink"/>
                  <w:rFonts w:cs="Arial"/>
                  <w:bCs/>
                  <w:sz w:val="18"/>
                  <w:szCs w:val="18"/>
                  <w:lang w:val="en-GB"/>
                </w:rPr>
                <w:t>Dedicated webpage</w:t>
              </w:r>
            </w:hyperlink>
          </w:p>
        </w:tc>
      </w:tr>
      <w:tr w:rsidR="00E55910" w:rsidRPr="00D06268" w14:paraId="7D8A7C56" w14:textId="77777777" w:rsidTr="002B41B5">
        <w:trPr>
          <w:cantSplit/>
        </w:trPr>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47D3AF1E"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Safeguarding indigenous vernacular architecture and building knowledge in Vanuatu (No. 01214)</w:t>
            </w:r>
          </w:p>
          <w:p w14:paraId="1EF1EB24"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Emergency Assistance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D6845E"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Vanuatu</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5DA0DE24" w14:textId="69204C6B" w:rsidR="00E55910" w:rsidRPr="008729D6" w:rsidRDefault="00E55910" w:rsidP="00E55910">
            <w:pPr>
              <w:pStyle w:val="Marge"/>
              <w:spacing w:before="120" w:after="120"/>
              <w:jc w:val="right"/>
              <w:rPr>
                <w:rFonts w:cs="Arial"/>
                <w:bCs/>
                <w:sz w:val="18"/>
                <w:szCs w:val="18"/>
                <w:lang w:val="en-GB"/>
              </w:rPr>
            </w:pPr>
            <w:r w:rsidRPr="008729D6">
              <w:rPr>
                <w:rFonts w:cs="Arial"/>
                <w:bCs/>
                <w:sz w:val="18"/>
                <w:szCs w:val="18"/>
                <w:lang w:val="en-GB"/>
              </w:rPr>
              <w:t>23,908</w:t>
            </w:r>
            <w:r w:rsidR="002B41B5">
              <w:rPr>
                <w:rFonts w:cs="Arial"/>
                <w:bCs/>
                <w:sz w:val="18"/>
                <w:szCs w:val="18"/>
                <w:lang w:val="en-GB"/>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F76FCAA" w14:textId="77777777" w:rsidR="00E55910" w:rsidRPr="008729D6" w:rsidRDefault="00E55910" w:rsidP="00E55910">
            <w:pPr>
              <w:pStyle w:val="Marge"/>
              <w:spacing w:before="120" w:after="120"/>
              <w:jc w:val="center"/>
              <w:rPr>
                <w:rFonts w:cs="Arial"/>
                <w:bCs/>
                <w:sz w:val="18"/>
                <w:szCs w:val="18"/>
                <w:lang w:val="en-GB"/>
              </w:rPr>
            </w:pPr>
            <w:r w:rsidRPr="008729D6">
              <w:rPr>
                <w:rFonts w:cs="Arial"/>
                <w:bCs/>
                <w:sz w:val="18"/>
                <w:szCs w:val="18"/>
                <w:lang w:val="en-GB"/>
              </w:rPr>
              <w:t>10/08/2015</w:t>
            </w:r>
            <w:r w:rsidRPr="008729D6">
              <w:rPr>
                <w:rFonts w:cs="Arial"/>
                <w:bCs/>
                <w:sz w:val="18"/>
                <w:szCs w:val="18"/>
                <w:lang w:val="en-GB"/>
              </w:rPr>
              <w:br/>
              <w:t>15/12/2015</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14:paraId="12C8140D" w14:textId="7D5F9570"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Final report:</w:t>
            </w:r>
            <w:r w:rsidR="000E1B3E">
              <w:rPr>
                <w:rFonts w:cs="Arial"/>
                <w:bCs/>
                <w:sz w:val="18"/>
                <w:szCs w:val="18"/>
                <w:lang w:val="en-GB"/>
              </w:rPr>
              <w:t xml:space="preserve"> </w:t>
            </w:r>
            <w:hyperlink r:id="rId20" w:history="1">
              <w:r w:rsidRPr="00E55910">
                <w:rPr>
                  <w:rStyle w:val="Hyperlink"/>
                  <w:rFonts w:cs="Arial"/>
                  <w:bCs/>
                  <w:sz w:val="18"/>
                  <w:szCs w:val="18"/>
                  <w:lang w:val="en-GB"/>
                </w:rPr>
                <w:t>English</w:t>
              </w:r>
            </w:hyperlink>
          </w:p>
          <w:p w14:paraId="20B5E7CE" w14:textId="77777777" w:rsidR="00E55910" w:rsidRPr="005E1904" w:rsidRDefault="00D06268" w:rsidP="00E55910">
            <w:pPr>
              <w:pStyle w:val="Marge"/>
              <w:spacing w:before="120" w:after="120"/>
              <w:jc w:val="left"/>
              <w:rPr>
                <w:rFonts w:cs="Arial"/>
                <w:bCs/>
                <w:sz w:val="18"/>
                <w:szCs w:val="18"/>
                <w:lang w:val="en-GB"/>
              </w:rPr>
            </w:pPr>
            <w:hyperlink r:id="rId21" w:history="1">
              <w:r w:rsidR="00E55910" w:rsidRPr="00E55910">
                <w:rPr>
                  <w:rStyle w:val="Hyperlink"/>
                  <w:rFonts w:cs="Arial"/>
                  <w:bCs/>
                  <w:sz w:val="18"/>
                  <w:szCs w:val="18"/>
                  <w:lang w:val="en-GB"/>
                </w:rPr>
                <w:t>Dedicated webpage</w:t>
              </w:r>
            </w:hyperlink>
            <w:r w:rsidR="00E55910" w:rsidRPr="005E1904">
              <w:rPr>
                <w:rFonts w:cs="Arial"/>
                <w:bCs/>
                <w:sz w:val="18"/>
                <w:szCs w:val="18"/>
                <w:lang w:val="en-GB"/>
              </w:rPr>
              <w:t xml:space="preserve"> </w:t>
            </w:r>
          </w:p>
        </w:tc>
      </w:tr>
      <w:tr w:rsidR="00096632" w:rsidRPr="00D06268" w14:paraId="5E6893FB" w14:textId="77777777" w:rsidTr="002B41B5">
        <w:trPr>
          <w:cantSplit/>
        </w:trPr>
        <w:tc>
          <w:tcPr>
            <w:tcW w:w="2810" w:type="dxa"/>
            <w:shd w:val="clear" w:color="auto" w:fill="auto"/>
          </w:tcPr>
          <w:p w14:paraId="4E8C7DB8" w14:textId="77777777" w:rsidR="00096632" w:rsidRPr="008729D6" w:rsidRDefault="00096632" w:rsidP="00F02F65">
            <w:pPr>
              <w:pStyle w:val="Marge"/>
              <w:spacing w:before="120" w:after="120"/>
              <w:jc w:val="left"/>
              <w:rPr>
                <w:rFonts w:cs="Arial"/>
                <w:bCs/>
                <w:sz w:val="18"/>
                <w:szCs w:val="18"/>
                <w:lang w:val="en-GB"/>
              </w:rPr>
            </w:pPr>
            <w:r w:rsidRPr="008729D6">
              <w:rPr>
                <w:rFonts w:cs="Arial"/>
                <w:bCs/>
                <w:sz w:val="18"/>
                <w:szCs w:val="18"/>
                <w:lang w:val="en-GB"/>
              </w:rPr>
              <w:lastRenderedPageBreak/>
              <w:t xml:space="preserve">Safeguarding and promotion of </w:t>
            </w:r>
            <w:proofErr w:type="spellStart"/>
            <w:r w:rsidRPr="008729D6">
              <w:rPr>
                <w:rFonts w:cs="Arial"/>
                <w:bCs/>
                <w:sz w:val="18"/>
                <w:szCs w:val="18"/>
                <w:lang w:val="en-GB"/>
              </w:rPr>
              <w:t>Bigwala</w:t>
            </w:r>
            <w:proofErr w:type="spellEnd"/>
            <w:r w:rsidRPr="008729D6">
              <w:rPr>
                <w:rFonts w:cs="Arial"/>
                <w:bCs/>
                <w:sz w:val="18"/>
                <w:szCs w:val="18"/>
                <w:lang w:val="en-GB"/>
              </w:rPr>
              <w:t>, gourd trumpet music and dance of Busoga Kingdom in Uganda (No. 00979)</w:t>
            </w:r>
          </w:p>
        </w:tc>
        <w:tc>
          <w:tcPr>
            <w:tcW w:w="1418" w:type="dxa"/>
            <w:shd w:val="clear" w:color="auto" w:fill="auto"/>
          </w:tcPr>
          <w:p w14:paraId="1EB2208D" w14:textId="1B0B1F90" w:rsidR="00096632" w:rsidRPr="008729D6" w:rsidRDefault="005F6620" w:rsidP="00F02F65">
            <w:pPr>
              <w:pStyle w:val="Marge"/>
              <w:spacing w:before="120" w:after="120"/>
              <w:jc w:val="left"/>
              <w:rPr>
                <w:rFonts w:cs="Arial"/>
                <w:bCs/>
                <w:sz w:val="18"/>
                <w:szCs w:val="18"/>
                <w:lang w:val="en-GB"/>
              </w:rPr>
            </w:pPr>
            <w:r w:rsidRPr="008729D6">
              <w:rPr>
                <w:rFonts w:cs="Arial"/>
                <w:bCs/>
                <w:sz w:val="18"/>
                <w:szCs w:val="18"/>
                <w:lang w:val="en-GB"/>
              </w:rPr>
              <w:t>Uganda</w:t>
            </w:r>
          </w:p>
        </w:tc>
        <w:tc>
          <w:tcPr>
            <w:tcW w:w="1130" w:type="dxa"/>
            <w:shd w:val="clear" w:color="auto" w:fill="auto"/>
          </w:tcPr>
          <w:p w14:paraId="32979585" w14:textId="263C8F83" w:rsidR="00096632" w:rsidRPr="008729D6" w:rsidRDefault="00096632">
            <w:pPr>
              <w:pStyle w:val="Marge"/>
              <w:spacing w:before="120" w:after="120"/>
              <w:jc w:val="right"/>
              <w:rPr>
                <w:rFonts w:cs="Arial"/>
                <w:bCs/>
                <w:sz w:val="18"/>
                <w:szCs w:val="18"/>
                <w:lang w:val="en-GB"/>
              </w:rPr>
            </w:pPr>
            <w:r w:rsidRPr="008729D6">
              <w:rPr>
                <w:rFonts w:cs="Arial"/>
                <w:bCs/>
                <w:sz w:val="18"/>
                <w:szCs w:val="18"/>
                <w:lang w:val="en-GB"/>
              </w:rPr>
              <w:t>24,990</w:t>
            </w:r>
            <w:r w:rsidR="002B41B5">
              <w:rPr>
                <w:rFonts w:cs="Arial"/>
                <w:bCs/>
                <w:sz w:val="18"/>
                <w:szCs w:val="18"/>
                <w:lang w:val="en-GB"/>
              </w:rPr>
              <w:t>.00</w:t>
            </w:r>
          </w:p>
        </w:tc>
        <w:tc>
          <w:tcPr>
            <w:tcW w:w="1560" w:type="dxa"/>
            <w:shd w:val="clear" w:color="auto" w:fill="auto"/>
          </w:tcPr>
          <w:p w14:paraId="7C4FD00D" w14:textId="5D6029CF" w:rsidR="00096632" w:rsidRPr="008729D6" w:rsidRDefault="00096632">
            <w:pPr>
              <w:pStyle w:val="Marge"/>
              <w:spacing w:before="120" w:after="120"/>
              <w:jc w:val="center"/>
              <w:rPr>
                <w:rFonts w:cs="Arial"/>
                <w:bCs/>
                <w:sz w:val="18"/>
                <w:szCs w:val="18"/>
                <w:lang w:val="en-GB"/>
              </w:rPr>
            </w:pPr>
            <w:r w:rsidRPr="008729D6">
              <w:rPr>
                <w:rFonts w:cs="Arial"/>
                <w:bCs/>
                <w:sz w:val="18"/>
                <w:szCs w:val="18"/>
                <w:lang w:val="en-GB"/>
              </w:rPr>
              <w:t>01/09/2015</w:t>
            </w:r>
            <w:r w:rsidR="00A93BAB" w:rsidRPr="008729D6">
              <w:rPr>
                <w:rFonts w:cs="Arial"/>
                <w:bCs/>
                <w:sz w:val="18"/>
                <w:szCs w:val="18"/>
                <w:lang w:val="en-GB"/>
              </w:rPr>
              <w:br/>
            </w:r>
            <w:r w:rsidRPr="008729D6">
              <w:rPr>
                <w:rFonts w:cs="Arial"/>
                <w:bCs/>
                <w:sz w:val="18"/>
                <w:szCs w:val="18"/>
                <w:lang w:val="en-GB"/>
              </w:rPr>
              <w:t>31/08/2017</w:t>
            </w:r>
          </w:p>
        </w:tc>
        <w:tc>
          <w:tcPr>
            <w:tcW w:w="2378" w:type="dxa"/>
            <w:shd w:val="clear" w:color="auto" w:fill="auto"/>
          </w:tcPr>
          <w:p w14:paraId="6E591166" w14:textId="4D30D3C6" w:rsidR="00096632" w:rsidRPr="00A02FDA" w:rsidRDefault="00096632" w:rsidP="00F02F65">
            <w:pPr>
              <w:pStyle w:val="Marge"/>
              <w:spacing w:before="120" w:after="120"/>
              <w:jc w:val="left"/>
              <w:rPr>
                <w:rFonts w:cs="Arial"/>
                <w:bCs/>
                <w:sz w:val="18"/>
                <w:szCs w:val="18"/>
                <w:lang w:val="en-GB"/>
              </w:rPr>
            </w:pPr>
            <w:r w:rsidRPr="00A02FDA">
              <w:rPr>
                <w:rFonts w:cs="Arial"/>
                <w:bCs/>
                <w:sz w:val="18"/>
                <w:szCs w:val="18"/>
                <w:lang w:val="en-GB"/>
              </w:rPr>
              <w:t>Progress report:</w:t>
            </w:r>
            <w:r w:rsidR="008739FA" w:rsidRPr="00A02FDA">
              <w:rPr>
                <w:rFonts w:cs="Arial"/>
                <w:bCs/>
                <w:sz w:val="18"/>
                <w:szCs w:val="18"/>
                <w:lang w:val="en-GB"/>
              </w:rPr>
              <w:t xml:space="preserve"> </w:t>
            </w:r>
            <w:hyperlink r:id="rId22" w:history="1">
              <w:r w:rsidR="001B4CE8" w:rsidRPr="00A02FDA">
                <w:rPr>
                  <w:rStyle w:val="Hyperlink"/>
                  <w:sz w:val="18"/>
                  <w:szCs w:val="18"/>
                  <w:lang w:val="en-US"/>
                </w:rPr>
                <w:t>English</w:t>
              </w:r>
            </w:hyperlink>
          </w:p>
          <w:p w14:paraId="1CED8088" w14:textId="0B5AD7FE" w:rsidR="009726D2" w:rsidRPr="00A02FDA" w:rsidRDefault="00D06268" w:rsidP="00F02F65">
            <w:pPr>
              <w:pStyle w:val="Marge"/>
              <w:spacing w:before="120" w:after="120"/>
              <w:jc w:val="left"/>
              <w:rPr>
                <w:rFonts w:cs="Arial"/>
                <w:bCs/>
                <w:sz w:val="18"/>
                <w:szCs w:val="18"/>
                <w:lang w:val="en-GB"/>
              </w:rPr>
            </w:pPr>
            <w:hyperlink r:id="rId23" w:history="1">
              <w:r w:rsidR="009726D2" w:rsidRPr="00A02FDA">
                <w:rPr>
                  <w:rStyle w:val="Hyperlink"/>
                  <w:rFonts w:cs="Arial"/>
                  <w:bCs/>
                  <w:sz w:val="18"/>
                  <w:szCs w:val="18"/>
                  <w:lang w:val="en-GB"/>
                </w:rPr>
                <w:t>Dedicated webpage</w:t>
              </w:r>
            </w:hyperlink>
          </w:p>
        </w:tc>
      </w:tr>
      <w:tr w:rsidR="00096632" w:rsidRPr="00D06268" w14:paraId="06A72E71" w14:textId="77777777" w:rsidTr="002B41B5">
        <w:trPr>
          <w:cantSplit/>
        </w:trPr>
        <w:tc>
          <w:tcPr>
            <w:tcW w:w="2810" w:type="dxa"/>
            <w:shd w:val="clear" w:color="auto" w:fill="auto"/>
          </w:tcPr>
          <w:p w14:paraId="6D01F553" w14:textId="2327E836" w:rsidR="00096632" w:rsidRPr="008729D6" w:rsidRDefault="001B4CE8" w:rsidP="005F6620">
            <w:pPr>
              <w:pStyle w:val="Marge"/>
              <w:spacing w:before="120" w:after="120"/>
              <w:jc w:val="left"/>
              <w:rPr>
                <w:rFonts w:cs="Arial"/>
                <w:bCs/>
                <w:sz w:val="18"/>
                <w:szCs w:val="18"/>
                <w:lang w:val="en-GB"/>
              </w:rPr>
            </w:pPr>
            <w:r w:rsidRPr="008729D6">
              <w:rPr>
                <w:rFonts w:cs="Arial"/>
                <w:bCs/>
                <w:sz w:val="18"/>
                <w:szCs w:val="18"/>
                <w:lang w:val="en-GB"/>
              </w:rPr>
              <w:t xml:space="preserve">Documenting and inventorying intangible cultural heritage of the pastoralist Samburu community in northern Kenya: a focus on the region of Mount </w:t>
            </w:r>
            <w:proofErr w:type="spellStart"/>
            <w:r w:rsidRPr="008729D6">
              <w:rPr>
                <w:rFonts w:cs="Arial"/>
                <w:bCs/>
                <w:sz w:val="18"/>
                <w:szCs w:val="18"/>
                <w:lang w:val="en-GB"/>
              </w:rPr>
              <w:t>Kulal</w:t>
            </w:r>
            <w:proofErr w:type="spellEnd"/>
            <w:r w:rsidRPr="008729D6">
              <w:rPr>
                <w:rFonts w:cs="Arial"/>
                <w:bCs/>
                <w:sz w:val="18"/>
                <w:szCs w:val="18"/>
                <w:lang w:val="en-GB"/>
              </w:rPr>
              <w:t xml:space="preserve"> biosphere reserve</w:t>
            </w:r>
            <w:r w:rsidR="00A25AF9" w:rsidRPr="008729D6">
              <w:rPr>
                <w:rFonts w:cs="Arial"/>
                <w:bCs/>
                <w:sz w:val="18"/>
                <w:szCs w:val="18"/>
                <w:lang w:val="en-GB"/>
              </w:rPr>
              <w:t xml:space="preserve"> (No. </w:t>
            </w:r>
            <w:r w:rsidRPr="008729D6">
              <w:rPr>
                <w:rFonts w:cs="Arial"/>
                <w:bCs/>
                <w:sz w:val="18"/>
                <w:szCs w:val="18"/>
                <w:lang w:val="en-GB"/>
              </w:rPr>
              <w:t>0</w:t>
            </w:r>
            <w:r w:rsidR="005F6620" w:rsidRPr="008729D6">
              <w:rPr>
                <w:rFonts w:cs="Arial"/>
                <w:bCs/>
                <w:sz w:val="18"/>
                <w:szCs w:val="18"/>
                <w:lang w:val="en-GB"/>
              </w:rPr>
              <w:t>1024</w:t>
            </w:r>
            <w:r w:rsidRPr="008729D6">
              <w:rPr>
                <w:rFonts w:cs="Arial"/>
                <w:bCs/>
                <w:sz w:val="18"/>
                <w:szCs w:val="18"/>
                <w:lang w:val="en-GB"/>
              </w:rPr>
              <w:t>)</w:t>
            </w:r>
          </w:p>
        </w:tc>
        <w:tc>
          <w:tcPr>
            <w:tcW w:w="1418" w:type="dxa"/>
            <w:shd w:val="clear" w:color="auto" w:fill="auto"/>
          </w:tcPr>
          <w:p w14:paraId="093AF1A9" w14:textId="0F2D327A" w:rsidR="001B4CE8" w:rsidRPr="008729D6" w:rsidRDefault="001B4CE8" w:rsidP="00F02F65">
            <w:pPr>
              <w:pStyle w:val="Marge"/>
              <w:spacing w:before="120" w:after="120"/>
              <w:jc w:val="left"/>
              <w:rPr>
                <w:rFonts w:cs="Arial"/>
                <w:bCs/>
                <w:sz w:val="18"/>
                <w:szCs w:val="18"/>
                <w:lang w:val="en-GB"/>
              </w:rPr>
            </w:pPr>
            <w:r w:rsidRPr="008729D6">
              <w:rPr>
                <w:rFonts w:cs="Arial"/>
                <w:bCs/>
                <w:sz w:val="18"/>
                <w:szCs w:val="18"/>
                <w:lang w:val="en-GB"/>
              </w:rPr>
              <w:t>Kenya</w:t>
            </w:r>
          </w:p>
        </w:tc>
        <w:tc>
          <w:tcPr>
            <w:tcW w:w="1130" w:type="dxa"/>
            <w:shd w:val="clear" w:color="auto" w:fill="auto"/>
          </w:tcPr>
          <w:p w14:paraId="355590B9" w14:textId="1EF21B5F" w:rsidR="00096632" w:rsidRPr="008729D6" w:rsidRDefault="001B4CE8">
            <w:pPr>
              <w:pStyle w:val="Marge"/>
              <w:spacing w:before="120" w:after="120"/>
              <w:jc w:val="right"/>
              <w:rPr>
                <w:rFonts w:cs="Arial"/>
                <w:bCs/>
                <w:sz w:val="18"/>
                <w:szCs w:val="18"/>
                <w:lang w:val="en-GB"/>
              </w:rPr>
            </w:pPr>
            <w:r w:rsidRPr="008729D6">
              <w:rPr>
                <w:rFonts w:cs="Arial"/>
                <w:bCs/>
                <w:sz w:val="18"/>
                <w:szCs w:val="18"/>
                <w:lang w:val="en-GB"/>
              </w:rPr>
              <w:t>24</w:t>
            </w:r>
            <w:r w:rsidR="00A25AF9" w:rsidRPr="008729D6">
              <w:rPr>
                <w:rFonts w:cs="Arial"/>
                <w:bCs/>
                <w:sz w:val="18"/>
                <w:szCs w:val="18"/>
                <w:lang w:val="en-GB"/>
              </w:rPr>
              <w:t>,</w:t>
            </w:r>
            <w:r w:rsidRPr="008729D6">
              <w:rPr>
                <w:rFonts w:cs="Arial"/>
                <w:bCs/>
                <w:sz w:val="18"/>
                <w:szCs w:val="18"/>
                <w:lang w:val="en-GB"/>
              </w:rPr>
              <w:t>038</w:t>
            </w:r>
            <w:r w:rsidR="002B41B5">
              <w:rPr>
                <w:rFonts w:cs="Arial"/>
                <w:bCs/>
                <w:sz w:val="18"/>
                <w:szCs w:val="18"/>
                <w:lang w:val="en-GB"/>
              </w:rPr>
              <w:t>.00</w:t>
            </w:r>
          </w:p>
        </w:tc>
        <w:tc>
          <w:tcPr>
            <w:tcW w:w="1560" w:type="dxa"/>
            <w:shd w:val="clear" w:color="auto" w:fill="auto"/>
          </w:tcPr>
          <w:p w14:paraId="2E9DE91E" w14:textId="5D12B7C3" w:rsidR="00096632" w:rsidRPr="008729D6" w:rsidRDefault="001B4CE8">
            <w:pPr>
              <w:pStyle w:val="Marge"/>
              <w:spacing w:before="120" w:after="120"/>
              <w:jc w:val="center"/>
              <w:rPr>
                <w:rFonts w:cs="Arial"/>
                <w:bCs/>
                <w:sz w:val="18"/>
                <w:szCs w:val="18"/>
                <w:lang w:val="en-GB"/>
              </w:rPr>
            </w:pPr>
            <w:r w:rsidRPr="008729D6">
              <w:rPr>
                <w:rFonts w:cs="Arial"/>
                <w:bCs/>
                <w:sz w:val="18"/>
                <w:szCs w:val="18"/>
                <w:lang w:val="en-GB"/>
              </w:rPr>
              <w:t>04/12/2015</w:t>
            </w:r>
            <w:r w:rsidR="00A93BAB" w:rsidRPr="008729D6">
              <w:rPr>
                <w:rFonts w:cs="Arial"/>
                <w:bCs/>
                <w:sz w:val="18"/>
                <w:szCs w:val="18"/>
                <w:lang w:val="en-GB"/>
              </w:rPr>
              <w:br/>
            </w:r>
            <w:r w:rsidRPr="008729D6">
              <w:rPr>
                <w:rFonts w:cs="Arial"/>
                <w:bCs/>
                <w:sz w:val="18"/>
                <w:szCs w:val="18"/>
                <w:lang w:val="en-GB"/>
              </w:rPr>
              <w:t>31/05/2016</w:t>
            </w:r>
          </w:p>
        </w:tc>
        <w:tc>
          <w:tcPr>
            <w:tcW w:w="2378" w:type="dxa"/>
            <w:shd w:val="clear" w:color="auto" w:fill="auto"/>
          </w:tcPr>
          <w:p w14:paraId="39E58836" w14:textId="2A350C5A" w:rsidR="00096632" w:rsidRPr="00A02FDA" w:rsidRDefault="001B4CE8" w:rsidP="00F02F65">
            <w:pPr>
              <w:pStyle w:val="Marge"/>
              <w:spacing w:before="120" w:after="120"/>
              <w:jc w:val="left"/>
              <w:rPr>
                <w:rFonts w:cs="Arial"/>
                <w:bCs/>
                <w:sz w:val="18"/>
                <w:szCs w:val="18"/>
                <w:lang w:val="en-GB"/>
              </w:rPr>
            </w:pPr>
            <w:r w:rsidRPr="00A02FDA">
              <w:rPr>
                <w:rFonts w:cs="Arial"/>
                <w:bCs/>
                <w:sz w:val="18"/>
                <w:szCs w:val="18"/>
                <w:lang w:val="en-GB"/>
              </w:rPr>
              <w:t>Final report:</w:t>
            </w:r>
            <w:hyperlink r:id="rId24" w:history="1">
              <w:r w:rsidRPr="00A02FDA">
                <w:rPr>
                  <w:rStyle w:val="Hyperlink"/>
                  <w:sz w:val="18"/>
                  <w:szCs w:val="18"/>
                  <w:lang w:val="en-US"/>
                </w:rPr>
                <w:t>English</w:t>
              </w:r>
            </w:hyperlink>
          </w:p>
          <w:p w14:paraId="7B04EA8D" w14:textId="4614C2E9" w:rsidR="009726D2" w:rsidRPr="00A02FDA" w:rsidRDefault="00D06268" w:rsidP="00F02F65">
            <w:pPr>
              <w:pStyle w:val="Marge"/>
              <w:spacing w:before="120" w:after="120"/>
              <w:jc w:val="left"/>
              <w:rPr>
                <w:rFonts w:cs="Arial"/>
                <w:bCs/>
                <w:sz w:val="18"/>
                <w:szCs w:val="18"/>
                <w:lang w:val="en-GB"/>
              </w:rPr>
            </w:pPr>
            <w:hyperlink r:id="rId25" w:history="1">
              <w:r w:rsidR="009726D2" w:rsidRPr="00A02FDA">
                <w:rPr>
                  <w:rStyle w:val="Hyperlink"/>
                  <w:sz w:val="18"/>
                  <w:szCs w:val="18"/>
                  <w:lang w:val="en-US"/>
                </w:rPr>
                <w:t>Dedicated webpage</w:t>
              </w:r>
            </w:hyperlink>
          </w:p>
        </w:tc>
      </w:tr>
    </w:tbl>
    <w:p w14:paraId="06F081E7" w14:textId="7022DC85" w:rsidR="0008569D" w:rsidRPr="003316FD" w:rsidRDefault="0050686E" w:rsidP="00BA5D6E">
      <w:pPr>
        <w:pStyle w:val="COMPara"/>
        <w:numPr>
          <w:ilvl w:val="0"/>
          <w:numId w:val="15"/>
        </w:numPr>
        <w:spacing w:before="120"/>
        <w:ind w:left="567" w:hanging="567"/>
        <w:jc w:val="both"/>
      </w:pPr>
      <w:r>
        <w:t>All</w:t>
      </w:r>
      <w:r w:rsidR="0008569D" w:rsidRPr="003316FD">
        <w:t xml:space="preserve"> reports </w:t>
      </w:r>
      <w:r w:rsidR="00BA5D6E" w:rsidRPr="003316FD">
        <w:t xml:space="preserve">were </w:t>
      </w:r>
      <w:r w:rsidR="0008569D" w:rsidRPr="003316FD">
        <w:t xml:space="preserve">prepared and submitted using the </w:t>
      </w:r>
      <w:hyperlink r:id="rId26" w:history="1">
        <w:r w:rsidR="0008569D" w:rsidRPr="003316FD">
          <w:rPr>
            <w:rStyle w:val="Hyperlink"/>
          </w:rPr>
          <w:t>ICH-04-Report Form</w:t>
        </w:r>
      </w:hyperlink>
      <w:r w:rsidR="0008569D" w:rsidRPr="003316FD">
        <w:rPr>
          <w:rStyle w:val="FootnoteReference"/>
        </w:rPr>
        <w:footnoteReference w:id="3"/>
      </w:r>
      <w:r>
        <w:t xml:space="preserve"> which gave a basis for preparing </w:t>
      </w:r>
      <w:r w:rsidR="00CD68E2" w:rsidRPr="003316FD">
        <w:t>the information included in the annex to this document.</w:t>
      </w:r>
    </w:p>
    <w:p w14:paraId="51235C53" w14:textId="7A004231" w:rsidR="00814DA4" w:rsidRPr="003316FD" w:rsidRDefault="002B41B5" w:rsidP="00CD68E2">
      <w:pPr>
        <w:pStyle w:val="COMPara"/>
        <w:numPr>
          <w:ilvl w:val="0"/>
          <w:numId w:val="15"/>
        </w:numPr>
        <w:ind w:left="567" w:hanging="567"/>
        <w:jc w:val="both"/>
      </w:pPr>
      <w:r>
        <w:t>Eleven</w:t>
      </w:r>
      <w:r w:rsidR="00814DA4" w:rsidRPr="003316FD">
        <w:t xml:space="preserve"> </w:t>
      </w:r>
      <w:r w:rsidR="00150F97" w:rsidRPr="003316FD">
        <w:t xml:space="preserve">other projects are </w:t>
      </w:r>
      <w:r w:rsidR="00BA5D6E" w:rsidRPr="003316FD">
        <w:t xml:space="preserve">‘active’ </w:t>
      </w:r>
      <w:r w:rsidR="00150F97" w:rsidRPr="003316FD">
        <w:t>although</w:t>
      </w:r>
      <w:r w:rsidR="00814DA4" w:rsidRPr="003316FD">
        <w:t xml:space="preserve"> no report was due during the reporting period. </w:t>
      </w:r>
      <w:r w:rsidR="00150F97" w:rsidRPr="003316FD">
        <w:t>The table below provides an overview of these projects, including information on reports</w:t>
      </w:r>
      <w:r w:rsidR="00B1435C">
        <w:t xml:space="preserve"> to be submitted in the future.</w:t>
      </w:r>
    </w:p>
    <w:tbl>
      <w:tblPr>
        <w:tblW w:w="915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418"/>
        <w:gridCol w:w="1130"/>
        <w:gridCol w:w="1418"/>
        <w:gridCol w:w="2378"/>
      </w:tblGrid>
      <w:tr w:rsidR="00814DA4" w:rsidRPr="008729D6" w14:paraId="4EA8715E" w14:textId="77777777" w:rsidTr="008F1881">
        <w:trPr>
          <w:cantSplit/>
        </w:trPr>
        <w:tc>
          <w:tcPr>
            <w:tcW w:w="2810" w:type="dxa"/>
            <w:shd w:val="clear" w:color="auto" w:fill="D9D9D9"/>
            <w:vAlign w:val="center"/>
          </w:tcPr>
          <w:p w14:paraId="715EBDC0" w14:textId="77777777" w:rsidR="00814DA4" w:rsidRPr="008729D6" w:rsidRDefault="00814DA4" w:rsidP="00F02F65">
            <w:pPr>
              <w:pStyle w:val="Marge"/>
              <w:spacing w:before="120" w:after="120"/>
              <w:jc w:val="center"/>
              <w:rPr>
                <w:rFonts w:cs="Arial"/>
                <w:b/>
                <w:bCs/>
                <w:sz w:val="18"/>
                <w:szCs w:val="18"/>
                <w:lang w:val="en-GB"/>
              </w:rPr>
            </w:pPr>
            <w:r w:rsidRPr="008729D6">
              <w:rPr>
                <w:rFonts w:cs="Arial"/>
                <w:b/>
                <w:bCs/>
                <w:sz w:val="18"/>
                <w:szCs w:val="18"/>
                <w:lang w:val="en-GB"/>
              </w:rPr>
              <w:t>Project</w:t>
            </w:r>
          </w:p>
        </w:tc>
        <w:tc>
          <w:tcPr>
            <w:tcW w:w="1418" w:type="dxa"/>
            <w:shd w:val="clear" w:color="auto" w:fill="D9D9D9"/>
            <w:vAlign w:val="center"/>
          </w:tcPr>
          <w:p w14:paraId="5AA26DD4" w14:textId="5027AC9D" w:rsidR="00814DA4" w:rsidRPr="008729D6" w:rsidRDefault="00475503" w:rsidP="00F02F65">
            <w:pPr>
              <w:pStyle w:val="Marge"/>
              <w:spacing w:before="120" w:after="120"/>
              <w:jc w:val="center"/>
              <w:rPr>
                <w:rFonts w:cs="Arial"/>
                <w:b/>
                <w:bCs/>
                <w:sz w:val="18"/>
                <w:szCs w:val="18"/>
                <w:lang w:val="en-GB"/>
              </w:rPr>
            </w:pPr>
            <w:r w:rsidRPr="008729D6">
              <w:rPr>
                <w:rFonts w:cs="Arial"/>
                <w:b/>
                <w:bCs/>
                <w:sz w:val="18"/>
                <w:szCs w:val="18"/>
                <w:lang w:val="en-GB"/>
              </w:rPr>
              <w:t>Beneficiary</w:t>
            </w:r>
            <w:r w:rsidRPr="008729D6">
              <w:rPr>
                <w:rFonts w:cs="Arial"/>
                <w:b/>
                <w:bCs/>
                <w:sz w:val="18"/>
                <w:szCs w:val="18"/>
                <w:lang w:val="en-GB"/>
              </w:rPr>
              <w:br/>
              <w:t>country</w:t>
            </w:r>
          </w:p>
        </w:tc>
        <w:tc>
          <w:tcPr>
            <w:tcW w:w="1130" w:type="dxa"/>
            <w:shd w:val="clear" w:color="auto" w:fill="D9D9D9"/>
            <w:vAlign w:val="center"/>
          </w:tcPr>
          <w:p w14:paraId="245C3A41" w14:textId="77777777" w:rsidR="00814DA4" w:rsidRPr="008729D6" w:rsidRDefault="00814DA4" w:rsidP="00F02F65">
            <w:pPr>
              <w:pStyle w:val="Marge"/>
              <w:spacing w:before="120" w:after="120"/>
              <w:jc w:val="center"/>
              <w:rPr>
                <w:rFonts w:cs="Arial"/>
                <w:b/>
                <w:bCs/>
                <w:sz w:val="18"/>
                <w:szCs w:val="18"/>
                <w:lang w:val="en-GB"/>
              </w:rPr>
            </w:pPr>
            <w:r w:rsidRPr="008729D6">
              <w:rPr>
                <w:rFonts w:cs="Arial"/>
                <w:b/>
                <w:bCs/>
                <w:sz w:val="18"/>
                <w:szCs w:val="18"/>
                <w:lang w:val="en-GB"/>
              </w:rPr>
              <w:t>Amount</w:t>
            </w:r>
            <w:r w:rsidRPr="008729D6">
              <w:rPr>
                <w:rFonts w:cs="Arial"/>
                <w:b/>
                <w:bCs/>
                <w:sz w:val="18"/>
                <w:szCs w:val="18"/>
                <w:lang w:val="en-GB"/>
              </w:rPr>
              <w:br/>
              <w:t>(</w:t>
            </w:r>
            <w:r w:rsidRPr="008729D6">
              <w:rPr>
                <w:rFonts w:cs="Arial"/>
                <w:b/>
                <w:snapToGrid/>
                <w:sz w:val="18"/>
                <w:szCs w:val="18"/>
                <w:lang w:val="en-GB" w:eastAsia="fr-FR"/>
              </w:rPr>
              <w:t>US$)</w:t>
            </w:r>
          </w:p>
        </w:tc>
        <w:tc>
          <w:tcPr>
            <w:tcW w:w="1418" w:type="dxa"/>
            <w:shd w:val="clear" w:color="auto" w:fill="D9D9D9"/>
            <w:vAlign w:val="center"/>
          </w:tcPr>
          <w:p w14:paraId="01339A19" w14:textId="77777777" w:rsidR="00814DA4" w:rsidRPr="008729D6" w:rsidRDefault="00814DA4" w:rsidP="00F02F65">
            <w:pPr>
              <w:pStyle w:val="Marge"/>
              <w:spacing w:before="120" w:after="120"/>
              <w:jc w:val="center"/>
              <w:rPr>
                <w:rFonts w:cs="Arial"/>
                <w:b/>
                <w:bCs/>
                <w:sz w:val="18"/>
                <w:szCs w:val="18"/>
                <w:lang w:val="en-GB"/>
              </w:rPr>
            </w:pPr>
            <w:r w:rsidRPr="008729D6">
              <w:rPr>
                <w:rFonts w:cs="Arial"/>
                <w:b/>
                <w:bCs/>
                <w:sz w:val="18"/>
                <w:szCs w:val="18"/>
                <w:lang w:val="en-GB"/>
              </w:rPr>
              <w:t>Period</w:t>
            </w:r>
          </w:p>
        </w:tc>
        <w:tc>
          <w:tcPr>
            <w:tcW w:w="2378" w:type="dxa"/>
            <w:shd w:val="clear" w:color="auto" w:fill="D9D9D9"/>
            <w:vAlign w:val="center"/>
          </w:tcPr>
          <w:p w14:paraId="33AB5353" w14:textId="3F8D1430" w:rsidR="00814DA4" w:rsidRPr="008729D6" w:rsidRDefault="00814DA4" w:rsidP="00F02F65">
            <w:pPr>
              <w:pStyle w:val="Marge"/>
              <w:spacing w:before="120" w:after="120"/>
              <w:jc w:val="center"/>
              <w:rPr>
                <w:rFonts w:cs="Arial"/>
                <w:b/>
                <w:bCs/>
                <w:sz w:val="18"/>
                <w:szCs w:val="18"/>
                <w:lang w:val="en-GB"/>
              </w:rPr>
            </w:pPr>
            <w:r w:rsidRPr="008729D6">
              <w:rPr>
                <w:rFonts w:cs="Arial"/>
                <w:b/>
                <w:bCs/>
                <w:sz w:val="18"/>
                <w:szCs w:val="18"/>
                <w:lang w:val="en-GB"/>
              </w:rPr>
              <w:t>Reporting status</w:t>
            </w:r>
          </w:p>
        </w:tc>
      </w:tr>
      <w:tr w:rsidR="00E55910" w:rsidRPr="008729D6" w14:paraId="13348668" w14:textId="77777777" w:rsidTr="008F1881">
        <w:trPr>
          <w:cantSplit/>
        </w:trPr>
        <w:tc>
          <w:tcPr>
            <w:tcW w:w="2810" w:type="dxa"/>
            <w:shd w:val="clear" w:color="auto" w:fill="auto"/>
          </w:tcPr>
          <w:p w14:paraId="7B11794B"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Inventory of intangible cultural heritage in Mali with a view to its urgent safeguarding (No. 01026)</w:t>
            </w:r>
          </w:p>
          <w:p w14:paraId="686721F6"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Emergency Assistance</w:t>
            </w:r>
          </w:p>
        </w:tc>
        <w:tc>
          <w:tcPr>
            <w:tcW w:w="1418" w:type="dxa"/>
            <w:shd w:val="clear" w:color="auto" w:fill="auto"/>
          </w:tcPr>
          <w:p w14:paraId="578ED3FA"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Mali</w:t>
            </w:r>
          </w:p>
        </w:tc>
        <w:tc>
          <w:tcPr>
            <w:tcW w:w="1130" w:type="dxa"/>
            <w:shd w:val="clear" w:color="auto" w:fill="auto"/>
          </w:tcPr>
          <w:p w14:paraId="1D66F018" w14:textId="7682EEEE" w:rsidR="00E55910" w:rsidRPr="008729D6" w:rsidRDefault="00E55910" w:rsidP="00E55910">
            <w:pPr>
              <w:pStyle w:val="Marge"/>
              <w:spacing w:before="120" w:after="120"/>
              <w:jc w:val="right"/>
              <w:rPr>
                <w:rFonts w:cs="Arial"/>
                <w:bCs/>
                <w:sz w:val="18"/>
                <w:szCs w:val="18"/>
                <w:lang w:val="en-GB"/>
              </w:rPr>
            </w:pPr>
            <w:r w:rsidRPr="008729D6">
              <w:rPr>
                <w:rFonts w:cs="Arial"/>
                <w:bCs/>
                <w:sz w:val="18"/>
                <w:szCs w:val="18"/>
                <w:lang w:val="en-GB"/>
              </w:rPr>
              <w:t>307,307</w:t>
            </w:r>
            <w:r w:rsidR="002B41B5">
              <w:rPr>
                <w:rFonts w:cs="Arial"/>
                <w:bCs/>
                <w:sz w:val="18"/>
                <w:szCs w:val="18"/>
                <w:lang w:val="en-GB"/>
              </w:rPr>
              <w:t>.00</w:t>
            </w:r>
          </w:p>
        </w:tc>
        <w:tc>
          <w:tcPr>
            <w:tcW w:w="1418" w:type="dxa"/>
            <w:shd w:val="clear" w:color="auto" w:fill="auto"/>
          </w:tcPr>
          <w:p w14:paraId="11158D22" w14:textId="77777777" w:rsidR="00E55910" w:rsidRPr="008729D6" w:rsidRDefault="00E55910" w:rsidP="00E55910">
            <w:pPr>
              <w:pStyle w:val="Marge"/>
              <w:spacing w:before="120" w:after="120"/>
              <w:jc w:val="center"/>
              <w:rPr>
                <w:rFonts w:cs="Arial"/>
                <w:bCs/>
                <w:sz w:val="18"/>
                <w:szCs w:val="18"/>
                <w:lang w:val="en-GB"/>
              </w:rPr>
            </w:pPr>
            <w:r w:rsidRPr="008729D6">
              <w:rPr>
                <w:rFonts w:cs="Arial"/>
                <w:bCs/>
                <w:sz w:val="18"/>
                <w:szCs w:val="18"/>
                <w:lang w:val="en-GB"/>
              </w:rPr>
              <w:t>06/12/2013</w:t>
            </w:r>
            <w:r w:rsidRPr="008729D6">
              <w:rPr>
                <w:rFonts w:cs="Arial"/>
                <w:bCs/>
                <w:sz w:val="18"/>
                <w:szCs w:val="18"/>
                <w:lang w:val="en-GB"/>
              </w:rPr>
              <w:br/>
              <w:t>02/11/2016</w:t>
            </w:r>
          </w:p>
        </w:tc>
        <w:tc>
          <w:tcPr>
            <w:tcW w:w="2378" w:type="dxa"/>
            <w:shd w:val="clear" w:color="auto" w:fill="auto"/>
          </w:tcPr>
          <w:p w14:paraId="02D3FE9D" w14:textId="77777777" w:rsidR="00E55910" w:rsidRPr="00A02FDA" w:rsidRDefault="00E55910" w:rsidP="00E55910">
            <w:pPr>
              <w:pStyle w:val="Marge"/>
              <w:spacing w:before="120" w:after="120"/>
              <w:jc w:val="left"/>
              <w:rPr>
                <w:rFonts w:cs="Arial"/>
                <w:bCs/>
                <w:sz w:val="18"/>
                <w:szCs w:val="18"/>
                <w:lang w:val="en-GB"/>
              </w:rPr>
            </w:pPr>
            <w:r w:rsidRPr="00A02FDA">
              <w:rPr>
                <w:rFonts w:cs="Arial"/>
                <w:bCs/>
                <w:sz w:val="18"/>
                <w:szCs w:val="18"/>
                <w:lang w:val="en-GB"/>
              </w:rPr>
              <w:t>Final report due in November 2016</w:t>
            </w:r>
          </w:p>
          <w:p w14:paraId="19DB756D" w14:textId="77777777" w:rsidR="00E55910" w:rsidRPr="00A02FDA" w:rsidRDefault="00D06268" w:rsidP="00E55910">
            <w:pPr>
              <w:pStyle w:val="Marge"/>
              <w:spacing w:before="120" w:after="120"/>
              <w:jc w:val="left"/>
              <w:rPr>
                <w:rFonts w:cs="Arial"/>
                <w:bCs/>
                <w:sz w:val="18"/>
                <w:szCs w:val="18"/>
                <w:lang w:val="en-GB"/>
              </w:rPr>
            </w:pPr>
            <w:hyperlink r:id="rId27" w:history="1">
              <w:r w:rsidR="00E55910" w:rsidRPr="00A02FDA">
                <w:rPr>
                  <w:rStyle w:val="Hyperlink"/>
                  <w:rFonts w:cs="Arial"/>
                  <w:bCs/>
                  <w:sz w:val="18"/>
                  <w:szCs w:val="18"/>
                  <w:lang w:val="en-GB"/>
                </w:rPr>
                <w:t>Dedicated webpage</w:t>
              </w:r>
            </w:hyperlink>
          </w:p>
        </w:tc>
      </w:tr>
      <w:tr w:rsidR="00E55910" w:rsidRPr="008729D6" w14:paraId="3D956DDA" w14:textId="77777777" w:rsidTr="008F1881">
        <w:trPr>
          <w:cantSplit/>
        </w:trPr>
        <w:tc>
          <w:tcPr>
            <w:tcW w:w="2810" w:type="dxa"/>
            <w:shd w:val="clear" w:color="auto" w:fill="auto"/>
          </w:tcPr>
          <w:p w14:paraId="06D3D535"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Inventory and promotion of the intangible cultural heritage of the Pygmy populations of Gabon (No. 00949)</w:t>
            </w:r>
          </w:p>
        </w:tc>
        <w:tc>
          <w:tcPr>
            <w:tcW w:w="1418" w:type="dxa"/>
            <w:shd w:val="clear" w:color="auto" w:fill="auto"/>
          </w:tcPr>
          <w:p w14:paraId="07A7152B"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Gabon</w:t>
            </w:r>
          </w:p>
        </w:tc>
        <w:tc>
          <w:tcPr>
            <w:tcW w:w="1130" w:type="dxa"/>
            <w:shd w:val="clear" w:color="auto" w:fill="auto"/>
          </w:tcPr>
          <w:p w14:paraId="2FE3CDF7" w14:textId="488C4FF9" w:rsidR="00E55910" w:rsidRPr="008729D6" w:rsidRDefault="00E55910" w:rsidP="00E55910">
            <w:pPr>
              <w:pStyle w:val="Marge"/>
              <w:spacing w:before="120" w:after="120"/>
              <w:jc w:val="right"/>
              <w:rPr>
                <w:rFonts w:cs="Arial"/>
                <w:bCs/>
                <w:sz w:val="18"/>
                <w:szCs w:val="18"/>
                <w:lang w:val="en-GB"/>
              </w:rPr>
            </w:pPr>
            <w:r w:rsidRPr="008729D6">
              <w:rPr>
                <w:rFonts w:cs="Arial"/>
                <w:bCs/>
                <w:sz w:val="18"/>
                <w:szCs w:val="18"/>
                <w:lang w:val="en-GB"/>
              </w:rPr>
              <w:t>24,560</w:t>
            </w:r>
            <w:r w:rsidR="002B41B5">
              <w:rPr>
                <w:rFonts w:cs="Arial"/>
                <w:bCs/>
                <w:sz w:val="18"/>
                <w:szCs w:val="18"/>
                <w:lang w:val="en-GB"/>
              </w:rPr>
              <w:t>.00</w:t>
            </w:r>
          </w:p>
        </w:tc>
        <w:tc>
          <w:tcPr>
            <w:tcW w:w="1418" w:type="dxa"/>
            <w:shd w:val="clear" w:color="auto" w:fill="auto"/>
          </w:tcPr>
          <w:p w14:paraId="5161512D" w14:textId="77777777" w:rsidR="00E55910" w:rsidRPr="008729D6" w:rsidRDefault="00E55910" w:rsidP="00E55910">
            <w:pPr>
              <w:pStyle w:val="Marge"/>
              <w:spacing w:before="120" w:after="120"/>
              <w:jc w:val="center"/>
              <w:rPr>
                <w:rFonts w:cs="Arial"/>
                <w:bCs/>
                <w:sz w:val="18"/>
                <w:szCs w:val="18"/>
                <w:lang w:val="en-GB"/>
              </w:rPr>
            </w:pPr>
            <w:r w:rsidRPr="008729D6">
              <w:rPr>
                <w:rFonts w:cs="Arial"/>
                <w:bCs/>
                <w:sz w:val="18"/>
                <w:szCs w:val="18"/>
                <w:lang w:val="en-GB"/>
              </w:rPr>
              <w:t>01/09/2015</w:t>
            </w:r>
            <w:r w:rsidRPr="008729D6">
              <w:rPr>
                <w:rFonts w:cs="Arial"/>
                <w:bCs/>
                <w:sz w:val="18"/>
                <w:szCs w:val="18"/>
                <w:lang w:val="en-GB"/>
              </w:rPr>
              <w:br/>
              <w:t>28/04/2017</w:t>
            </w:r>
          </w:p>
        </w:tc>
        <w:tc>
          <w:tcPr>
            <w:tcW w:w="2378" w:type="dxa"/>
            <w:shd w:val="clear" w:color="auto" w:fill="auto"/>
          </w:tcPr>
          <w:p w14:paraId="1D73FA06" w14:textId="77777777" w:rsidR="00E55910" w:rsidRPr="00A02FDA" w:rsidRDefault="00E55910" w:rsidP="00E55910">
            <w:pPr>
              <w:pStyle w:val="Marge"/>
              <w:spacing w:before="120" w:after="120"/>
              <w:jc w:val="left"/>
              <w:rPr>
                <w:rFonts w:cs="Arial"/>
                <w:bCs/>
                <w:sz w:val="18"/>
                <w:szCs w:val="18"/>
                <w:lang w:val="en-GB"/>
              </w:rPr>
            </w:pPr>
            <w:r w:rsidRPr="00A02FDA">
              <w:rPr>
                <w:rFonts w:cs="Arial"/>
                <w:bCs/>
                <w:sz w:val="18"/>
                <w:szCs w:val="18"/>
                <w:lang w:val="en-GB"/>
              </w:rPr>
              <w:t>Final report due in April 2017</w:t>
            </w:r>
          </w:p>
          <w:p w14:paraId="054B8762" w14:textId="77777777" w:rsidR="00E55910" w:rsidRPr="00A02FDA" w:rsidRDefault="00D06268" w:rsidP="00E55910">
            <w:pPr>
              <w:pStyle w:val="Marge"/>
              <w:spacing w:before="120" w:after="120"/>
              <w:jc w:val="left"/>
              <w:rPr>
                <w:rFonts w:cs="Arial"/>
                <w:bCs/>
                <w:sz w:val="18"/>
                <w:szCs w:val="18"/>
                <w:lang w:val="en-GB"/>
              </w:rPr>
            </w:pPr>
            <w:hyperlink r:id="rId28" w:history="1">
              <w:r w:rsidR="00E55910" w:rsidRPr="00A02FDA">
                <w:rPr>
                  <w:rStyle w:val="Hyperlink"/>
                  <w:rFonts w:cs="Arial"/>
                  <w:bCs/>
                  <w:sz w:val="18"/>
                  <w:szCs w:val="18"/>
                  <w:lang w:val="en-GB"/>
                </w:rPr>
                <w:t>Dedicated webpage</w:t>
              </w:r>
            </w:hyperlink>
          </w:p>
        </w:tc>
      </w:tr>
      <w:tr w:rsidR="00E55910" w:rsidRPr="008729D6" w14:paraId="71C2BE0E" w14:textId="77777777" w:rsidTr="008F1881">
        <w:trPr>
          <w:cantSplit/>
        </w:trPr>
        <w:tc>
          <w:tcPr>
            <w:tcW w:w="2810" w:type="dxa"/>
            <w:shd w:val="clear" w:color="auto" w:fill="auto"/>
          </w:tcPr>
          <w:p w14:paraId="17A47628"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Inventory, safeguarding and promoting knowledge of how to manufacture and play Togo's traditional musical instruments (Pilot phase in the Maritime region, south Togo) (No. 00912)</w:t>
            </w:r>
          </w:p>
        </w:tc>
        <w:tc>
          <w:tcPr>
            <w:tcW w:w="1418" w:type="dxa"/>
            <w:shd w:val="clear" w:color="auto" w:fill="auto"/>
          </w:tcPr>
          <w:p w14:paraId="1B55A2F7"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Togo</w:t>
            </w:r>
          </w:p>
        </w:tc>
        <w:tc>
          <w:tcPr>
            <w:tcW w:w="1130" w:type="dxa"/>
            <w:shd w:val="clear" w:color="auto" w:fill="auto"/>
          </w:tcPr>
          <w:p w14:paraId="3F59ADAE" w14:textId="75925A21" w:rsidR="00E55910" w:rsidRPr="008729D6" w:rsidRDefault="00E55910" w:rsidP="00E55910">
            <w:pPr>
              <w:pStyle w:val="Marge"/>
              <w:spacing w:before="120" w:after="120"/>
              <w:jc w:val="right"/>
              <w:rPr>
                <w:rFonts w:cs="Arial"/>
                <w:bCs/>
                <w:sz w:val="18"/>
                <w:szCs w:val="18"/>
                <w:lang w:val="en-GB"/>
              </w:rPr>
            </w:pPr>
            <w:r w:rsidRPr="008729D6">
              <w:rPr>
                <w:rFonts w:cs="Arial"/>
                <w:bCs/>
                <w:sz w:val="18"/>
                <w:szCs w:val="18"/>
                <w:lang w:val="en-GB"/>
              </w:rPr>
              <w:t>24,950</w:t>
            </w:r>
            <w:r w:rsidR="002B41B5">
              <w:rPr>
                <w:rFonts w:cs="Arial"/>
                <w:bCs/>
                <w:sz w:val="18"/>
                <w:szCs w:val="18"/>
                <w:lang w:val="en-GB"/>
              </w:rPr>
              <w:t>.00</w:t>
            </w:r>
          </w:p>
        </w:tc>
        <w:tc>
          <w:tcPr>
            <w:tcW w:w="1418" w:type="dxa"/>
            <w:shd w:val="clear" w:color="auto" w:fill="auto"/>
          </w:tcPr>
          <w:p w14:paraId="6E68BEC8" w14:textId="77777777" w:rsidR="00E55910" w:rsidRPr="008729D6" w:rsidRDefault="00E55910" w:rsidP="00E55910">
            <w:pPr>
              <w:pStyle w:val="Marge"/>
              <w:spacing w:before="120" w:after="120"/>
              <w:jc w:val="center"/>
              <w:rPr>
                <w:rFonts w:cs="Arial"/>
                <w:bCs/>
                <w:sz w:val="18"/>
                <w:szCs w:val="18"/>
                <w:lang w:val="en-GB"/>
              </w:rPr>
            </w:pPr>
            <w:r w:rsidRPr="008729D6">
              <w:rPr>
                <w:rFonts w:cs="Arial"/>
                <w:bCs/>
                <w:sz w:val="18"/>
                <w:szCs w:val="18"/>
                <w:lang w:val="en-GB"/>
              </w:rPr>
              <w:t>09/12/2015</w:t>
            </w:r>
            <w:r w:rsidRPr="008729D6">
              <w:rPr>
                <w:rFonts w:cs="Arial"/>
                <w:bCs/>
                <w:sz w:val="18"/>
                <w:szCs w:val="18"/>
                <w:lang w:val="en-GB"/>
              </w:rPr>
              <w:br/>
              <w:t>09/12/2016</w:t>
            </w:r>
          </w:p>
        </w:tc>
        <w:tc>
          <w:tcPr>
            <w:tcW w:w="2378" w:type="dxa"/>
            <w:shd w:val="clear" w:color="auto" w:fill="auto"/>
          </w:tcPr>
          <w:p w14:paraId="436BDEF0" w14:textId="77777777" w:rsidR="00E55910" w:rsidRPr="00A02FDA" w:rsidRDefault="00E55910" w:rsidP="00E55910">
            <w:pPr>
              <w:pStyle w:val="Marge"/>
              <w:spacing w:before="120" w:after="120"/>
              <w:jc w:val="left"/>
              <w:rPr>
                <w:rFonts w:cs="Arial"/>
                <w:bCs/>
                <w:sz w:val="18"/>
                <w:szCs w:val="18"/>
                <w:lang w:val="en-GB"/>
              </w:rPr>
            </w:pPr>
            <w:r w:rsidRPr="00A02FDA">
              <w:rPr>
                <w:rFonts w:cs="Arial"/>
                <w:bCs/>
                <w:sz w:val="18"/>
                <w:szCs w:val="18"/>
                <w:lang w:val="en-GB"/>
              </w:rPr>
              <w:t>Final report due in December 2016</w:t>
            </w:r>
          </w:p>
          <w:p w14:paraId="1C5486C4" w14:textId="77777777" w:rsidR="00E55910" w:rsidRPr="00A02FDA" w:rsidRDefault="00D06268" w:rsidP="00E55910">
            <w:pPr>
              <w:pStyle w:val="Marge"/>
              <w:spacing w:before="120" w:after="120"/>
              <w:jc w:val="left"/>
              <w:rPr>
                <w:rFonts w:cs="Arial"/>
                <w:bCs/>
                <w:sz w:val="18"/>
                <w:szCs w:val="18"/>
                <w:lang w:val="en-GB"/>
              </w:rPr>
            </w:pPr>
            <w:hyperlink r:id="rId29" w:history="1">
              <w:r w:rsidR="00E55910" w:rsidRPr="00A02FDA">
                <w:rPr>
                  <w:rStyle w:val="Hyperlink"/>
                  <w:rFonts w:cs="Arial"/>
                  <w:bCs/>
                  <w:sz w:val="18"/>
                  <w:szCs w:val="18"/>
                  <w:lang w:val="en-GB"/>
                </w:rPr>
                <w:t>Dedicated webpage</w:t>
              </w:r>
            </w:hyperlink>
          </w:p>
        </w:tc>
      </w:tr>
      <w:tr w:rsidR="00E55910" w:rsidRPr="008729D6" w14:paraId="14198ADF" w14:textId="77777777" w:rsidTr="008F1881">
        <w:trPr>
          <w:cantSplit/>
        </w:trPr>
        <w:tc>
          <w:tcPr>
            <w:tcW w:w="2810" w:type="dxa"/>
            <w:shd w:val="clear" w:color="auto" w:fill="auto"/>
          </w:tcPr>
          <w:p w14:paraId="2BE3B8D3"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Inventory of the intangible cultural heritage present in Côte d'Ivoire in view of its urgent safeguarding (No. 01051)</w:t>
            </w:r>
          </w:p>
          <w:p w14:paraId="5A364BB2"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Emergency Assistance</w:t>
            </w:r>
          </w:p>
        </w:tc>
        <w:tc>
          <w:tcPr>
            <w:tcW w:w="1418" w:type="dxa"/>
            <w:shd w:val="clear" w:color="auto" w:fill="auto"/>
          </w:tcPr>
          <w:p w14:paraId="7002CBB8"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Côte d’Ivoire</w:t>
            </w:r>
          </w:p>
        </w:tc>
        <w:tc>
          <w:tcPr>
            <w:tcW w:w="1130" w:type="dxa"/>
            <w:shd w:val="clear" w:color="auto" w:fill="auto"/>
          </w:tcPr>
          <w:p w14:paraId="364E4CCD" w14:textId="7BE02A64" w:rsidR="00E55910" w:rsidRPr="008729D6" w:rsidRDefault="00E55910" w:rsidP="00E55910">
            <w:pPr>
              <w:pStyle w:val="Marge"/>
              <w:spacing w:before="120" w:after="120"/>
              <w:jc w:val="right"/>
              <w:rPr>
                <w:rFonts w:cs="Arial"/>
                <w:bCs/>
                <w:sz w:val="18"/>
                <w:szCs w:val="18"/>
                <w:lang w:val="en-GB"/>
              </w:rPr>
            </w:pPr>
            <w:r w:rsidRPr="008729D6">
              <w:rPr>
                <w:rFonts w:cs="Arial"/>
                <w:bCs/>
                <w:sz w:val="18"/>
                <w:szCs w:val="18"/>
                <w:lang w:val="en-GB"/>
              </w:rPr>
              <w:t>299,972</w:t>
            </w:r>
            <w:r w:rsidR="002B41B5">
              <w:rPr>
                <w:rFonts w:cs="Arial"/>
                <w:bCs/>
                <w:sz w:val="18"/>
                <w:szCs w:val="18"/>
                <w:lang w:val="en-GB"/>
              </w:rPr>
              <w:t>.00</w:t>
            </w:r>
          </w:p>
        </w:tc>
        <w:tc>
          <w:tcPr>
            <w:tcW w:w="1418" w:type="dxa"/>
            <w:shd w:val="clear" w:color="auto" w:fill="auto"/>
          </w:tcPr>
          <w:p w14:paraId="74E53128" w14:textId="77777777" w:rsidR="00E55910" w:rsidRPr="008729D6" w:rsidRDefault="00E55910" w:rsidP="00E55910">
            <w:pPr>
              <w:pStyle w:val="Marge"/>
              <w:spacing w:before="120" w:after="120"/>
              <w:jc w:val="center"/>
              <w:rPr>
                <w:rFonts w:cs="Arial"/>
                <w:bCs/>
                <w:sz w:val="18"/>
                <w:szCs w:val="18"/>
                <w:lang w:val="en-GB"/>
              </w:rPr>
            </w:pPr>
            <w:r w:rsidRPr="008729D6">
              <w:rPr>
                <w:rFonts w:cs="Arial"/>
                <w:bCs/>
                <w:sz w:val="18"/>
                <w:szCs w:val="18"/>
                <w:lang w:val="en-GB"/>
              </w:rPr>
              <w:t>15/12/2015</w:t>
            </w:r>
            <w:r w:rsidRPr="008729D6">
              <w:rPr>
                <w:rFonts w:cs="Arial"/>
                <w:bCs/>
                <w:sz w:val="18"/>
                <w:szCs w:val="18"/>
                <w:lang w:val="en-GB"/>
              </w:rPr>
              <w:br/>
              <w:t>28/03/2018</w:t>
            </w:r>
          </w:p>
        </w:tc>
        <w:tc>
          <w:tcPr>
            <w:tcW w:w="2378" w:type="dxa"/>
            <w:shd w:val="clear" w:color="auto" w:fill="auto"/>
          </w:tcPr>
          <w:p w14:paraId="179BBFD3" w14:textId="77777777" w:rsidR="00E55910" w:rsidRPr="00A02FDA" w:rsidRDefault="00E55910" w:rsidP="00E55910">
            <w:pPr>
              <w:pStyle w:val="Marge"/>
              <w:spacing w:before="120" w:after="120"/>
              <w:jc w:val="left"/>
              <w:rPr>
                <w:rFonts w:cs="Arial"/>
                <w:bCs/>
                <w:sz w:val="18"/>
                <w:szCs w:val="18"/>
                <w:lang w:val="en-GB"/>
              </w:rPr>
            </w:pPr>
            <w:r w:rsidRPr="00A02FDA">
              <w:rPr>
                <w:rFonts w:cs="Arial"/>
                <w:bCs/>
                <w:sz w:val="18"/>
                <w:szCs w:val="18"/>
                <w:lang w:val="en-GB"/>
              </w:rPr>
              <w:t>Progress report submitted in October 2016</w:t>
            </w:r>
          </w:p>
          <w:p w14:paraId="4D1AB188" w14:textId="77777777" w:rsidR="00E55910" w:rsidRPr="00A02FDA" w:rsidRDefault="00D06268" w:rsidP="00E55910">
            <w:pPr>
              <w:pStyle w:val="Marge"/>
              <w:spacing w:before="120" w:after="120"/>
              <w:jc w:val="left"/>
              <w:rPr>
                <w:rFonts w:cs="Arial"/>
                <w:bCs/>
                <w:sz w:val="18"/>
                <w:szCs w:val="18"/>
                <w:lang w:val="en-GB"/>
              </w:rPr>
            </w:pPr>
            <w:hyperlink r:id="rId30" w:history="1">
              <w:r w:rsidR="00E55910" w:rsidRPr="00A02FDA">
                <w:rPr>
                  <w:rStyle w:val="Hyperlink"/>
                  <w:rFonts w:cs="Arial"/>
                  <w:bCs/>
                  <w:sz w:val="18"/>
                  <w:szCs w:val="18"/>
                  <w:lang w:val="en-GB"/>
                </w:rPr>
                <w:t>Dedicated webpage</w:t>
              </w:r>
            </w:hyperlink>
          </w:p>
        </w:tc>
      </w:tr>
      <w:tr w:rsidR="00E55910" w:rsidRPr="008729D6" w14:paraId="044ACA19" w14:textId="77777777" w:rsidTr="008F1881">
        <w:trPr>
          <w:cantSplit/>
        </w:trPr>
        <w:tc>
          <w:tcPr>
            <w:tcW w:w="2810" w:type="dxa"/>
            <w:shd w:val="clear" w:color="auto" w:fill="auto"/>
          </w:tcPr>
          <w:p w14:paraId="633FFAE0"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 xml:space="preserve">Safeguarding of </w:t>
            </w:r>
            <w:proofErr w:type="spellStart"/>
            <w:r w:rsidRPr="008729D6">
              <w:rPr>
                <w:rFonts w:cs="Arial"/>
                <w:bCs/>
                <w:sz w:val="18"/>
                <w:szCs w:val="18"/>
                <w:lang w:val="en-GB"/>
              </w:rPr>
              <w:t>Nkhonde</w:t>
            </w:r>
            <w:proofErr w:type="spellEnd"/>
            <w:r w:rsidRPr="008729D6">
              <w:rPr>
                <w:rFonts w:cs="Arial"/>
                <w:bCs/>
                <w:sz w:val="18"/>
                <w:szCs w:val="18"/>
                <w:lang w:val="en-GB"/>
              </w:rPr>
              <w:t xml:space="preserve">, </w:t>
            </w:r>
            <w:proofErr w:type="spellStart"/>
            <w:r w:rsidRPr="008729D6">
              <w:rPr>
                <w:rFonts w:cs="Arial"/>
                <w:bCs/>
                <w:sz w:val="18"/>
                <w:szCs w:val="18"/>
                <w:lang w:val="en-GB"/>
              </w:rPr>
              <w:t>Tumbuka</w:t>
            </w:r>
            <w:proofErr w:type="spellEnd"/>
            <w:r w:rsidRPr="008729D6">
              <w:rPr>
                <w:rFonts w:cs="Arial"/>
                <w:bCs/>
                <w:sz w:val="18"/>
                <w:szCs w:val="18"/>
                <w:lang w:val="en-GB"/>
              </w:rPr>
              <w:t xml:space="preserve"> and Chewa proverbs and folktales (No. 01060)</w:t>
            </w:r>
          </w:p>
        </w:tc>
        <w:tc>
          <w:tcPr>
            <w:tcW w:w="1418" w:type="dxa"/>
            <w:shd w:val="clear" w:color="auto" w:fill="auto"/>
          </w:tcPr>
          <w:p w14:paraId="28884F80"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Malawi</w:t>
            </w:r>
          </w:p>
        </w:tc>
        <w:tc>
          <w:tcPr>
            <w:tcW w:w="1130" w:type="dxa"/>
            <w:shd w:val="clear" w:color="auto" w:fill="auto"/>
          </w:tcPr>
          <w:p w14:paraId="105E991A" w14:textId="7CE899A2" w:rsidR="00E55910" w:rsidRPr="008729D6" w:rsidRDefault="00E55910" w:rsidP="00E55910">
            <w:pPr>
              <w:pStyle w:val="Marge"/>
              <w:spacing w:before="120" w:after="120"/>
              <w:jc w:val="right"/>
              <w:rPr>
                <w:rFonts w:cs="Arial"/>
                <w:bCs/>
                <w:sz w:val="18"/>
                <w:szCs w:val="18"/>
                <w:lang w:val="en-GB"/>
              </w:rPr>
            </w:pPr>
            <w:r w:rsidRPr="008729D6">
              <w:rPr>
                <w:rFonts w:cs="Arial"/>
                <w:bCs/>
                <w:sz w:val="18"/>
                <w:szCs w:val="18"/>
                <w:lang w:val="en-GB"/>
              </w:rPr>
              <w:t>90,533</w:t>
            </w:r>
            <w:r w:rsidR="002B41B5">
              <w:rPr>
                <w:rFonts w:cs="Arial"/>
                <w:bCs/>
                <w:sz w:val="18"/>
                <w:szCs w:val="18"/>
                <w:lang w:val="en-GB"/>
              </w:rPr>
              <w:t>.00</w:t>
            </w:r>
          </w:p>
        </w:tc>
        <w:tc>
          <w:tcPr>
            <w:tcW w:w="1418" w:type="dxa"/>
            <w:shd w:val="clear" w:color="auto" w:fill="auto"/>
          </w:tcPr>
          <w:p w14:paraId="18242562" w14:textId="77777777" w:rsidR="00E55910" w:rsidRPr="008729D6" w:rsidRDefault="00E55910" w:rsidP="00E55910">
            <w:pPr>
              <w:pStyle w:val="Marge"/>
              <w:spacing w:before="120" w:after="120"/>
              <w:jc w:val="center"/>
              <w:rPr>
                <w:rFonts w:cs="Arial"/>
                <w:bCs/>
                <w:sz w:val="18"/>
                <w:szCs w:val="18"/>
                <w:lang w:val="en-GB"/>
              </w:rPr>
            </w:pPr>
            <w:r w:rsidRPr="008729D6">
              <w:rPr>
                <w:rFonts w:cs="Arial"/>
                <w:bCs/>
                <w:sz w:val="18"/>
                <w:szCs w:val="18"/>
                <w:lang w:val="en-GB"/>
              </w:rPr>
              <w:t>30/06/2016</w:t>
            </w:r>
            <w:r w:rsidRPr="008729D6">
              <w:rPr>
                <w:rFonts w:cs="Arial"/>
                <w:bCs/>
                <w:sz w:val="18"/>
                <w:szCs w:val="18"/>
                <w:lang w:val="en-GB"/>
              </w:rPr>
              <w:br/>
              <w:t>16/06/2017</w:t>
            </w:r>
          </w:p>
        </w:tc>
        <w:tc>
          <w:tcPr>
            <w:tcW w:w="2378" w:type="dxa"/>
            <w:shd w:val="clear" w:color="auto" w:fill="auto"/>
          </w:tcPr>
          <w:p w14:paraId="3DBAD726" w14:textId="77777777" w:rsidR="00E55910" w:rsidRPr="00A02FDA" w:rsidRDefault="00E55910" w:rsidP="00E55910">
            <w:pPr>
              <w:pStyle w:val="Marge"/>
              <w:spacing w:before="120" w:after="120"/>
              <w:jc w:val="left"/>
              <w:rPr>
                <w:rFonts w:cs="Arial"/>
                <w:bCs/>
                <w:sz w:val="18"/>
                <w:szCs w:val="18"/>
                <w:lang w:val="en-GB"/>
              </w:rPr>
            </w:pPr>
            <w:r w:rsidRPr="00A02FDA">
              <w:rPr>
                <w:rFonts w:cs="Arial"/>
                <w:bCs/>
                <w:sz w:val="18"/>
                <w:szCs w:val="18"/>
                <w:lang w:val="en-GB"/>
              </w:rPr>
              <w:t>Progress report due in December 2016</w:t>
            </w:r>
          </w:p>
          <w:p w14:paraId="43DCAFA3" w14:textId="77777777" w:rsidR="00E55910" w:rsidRPr="00A02FDA" w:rsidRDefault="00D06268" w:rsidP="00E55910">
            <w:pPr>
              <w:pStyle w:val="Marge"/>
              <w:spacing w:before="120" w:after="120"/>
              <w:jc w:val="left"/>
              <w:rPr>
                <w:rFonts w:cs="Arial"/>
                <w:bCs/>
                <w:sz w:val="18"/>
                <w:szCs w:val="18"/>
                <w:lang w:val="en-GB"/>
              </w:rPr>
            </w:pPr>
            <w:hyperlink r:id="rId31" w:history="1">
              <w:r w:rsidR="00E55910" w:rsidRPr="00A02FDA">
                <w:rPr>
                  <w:rStyle w:val="Hyperlink"/>
                  <w:rFonts w:cs="Arial"/>
                  <w:bCs/>
                  <w:sz w:val="18"/>
                  <w:szCs w:val="18"/>
                  <w:lang w:val="en-GB"/>
                </w:rPr>
                <w:t>Dedicated webpage</w:t>
              </w:r>
            </w:hyperlink>
          </w:p>
        </w:tc>
      </w:tr>
      <w:tr w:rsidR="00283389" w:rsidRPr="008729D6" w14:paraId="0BEA9F16" w14:textId="77777777" w:rsidTr="008F1881">
        <w:trPr>
          <w:cantSplit/>
        </w:trPr>
        <w:tc>
          <w:tcPr>
            <w:tcW w:w="2810" w:type="dxa"/>
            <w:shd w:val="clear" w:color="auto" w:fill="auto"/>
          </w:tcPr>
          <w:p w14:paraId="773BE31F" w14:textId="77777777" w:rsidR="00283389" w:rsidRPr="008729D6" w:rsidRDefault="00283389" w:rsidP="00F02F65">
            <w:pPr>
              <w:pStyle w:val="Marge"/>
              <w:spacing w:before="120" w:after="120"/>
              <w:jc w:val="left"/>
              <w:rPr>
                <w:rFonts w:cs="Arial"/>
                <w:bCs/>
                <w:sz w:val="18"/>
                <w:szCs w:val="18"/>
                <w:lang w:val="en-GB"/>
              </w:rPr>
            </w:pPr>
            <w:r w:rsidRPr="008729D6">
              <w:rPr>
                <w:rFonts w:cs="Arial"/>
                <w:bCs/>
                <w:sz w:val="18"/>
                <w:szCs w:val="18"/>
                <w:lang w:val="en-GB"/>
              </w:rPr>
              <w:t xml:space="preserve">Documentation and inventory of intangible cultural heritage in the Republic of the Sudan (a pilot project in </w:t>
            </w:r>
            <w:proofErr w:type="spellStart"/>
            <w:r w:rsidRPr="008729D6">
              <w:rPr>
                <w:rFonts w:cs="Arial"/>
                <w:bCs/>
                <w:sz w:val="18"/>
                <w:szCs w:val="18"/>
                <w:lang w:val="en-GB"/>
              </w:rPr>
              <w:t>Kordufan</w:t>
            </w:r>
            <w:proofErr w:type="spellEnd"/>
            <w:r w:rsidRPr="008729D6">
              <w:rPr>
                <w:rFonts w:cs="Arial"/>
                <w:bCs/>
                <w:sz w:val="18"/>
                <w:szCs w:val="18"/>
                <w:lang w:val="en-GB"/>
              </w:rPr>
              <w:t xml:space="preserve"> and Blue Nile regions) (No. 00978)</w:t>
            </w:r>
          </w:p>
        </w:tc>
        <w:tc>
          <w:tcPr>
            <w:tcW w:w="1418" w:type="dxa"/>
            <w:shd w:val="clear" w:color="auto" w:fill="auto"/>
          </w:tcPr>
          <w:p w14:paraId="4F8513B2" w14:textId="77777777" w:rsidR="00283389" w:rsidRPr="008729D6" w:rsidRDefault="00283389" w:rsidP="00F02F65">
            <w:pPr>
              <w:pStyle w:val="Marge"/>
              <w:spacing w:before="120" w:after="120"/>
              <w:jc w:val="left"/>
              <w:rPr>
                <w:rFonts w:cs="Arial"/>
                <w:bCs/>
                <w:sz w:val="18"/>
                <w:szCs w:val="18"/>
                <w:lang w:val="en-GB"/>
              </w:rPr>
            </w:pPr>
            <w:r w:rsidRPr="008729D6">
              <w:rPr>
                <w:rFonts w:cs="Arial"/>
                <w:bCs/>
                <w:sz w:val="18"/>
                <w:szCs w:val="18"/>
                <w:lang w:val="en-GB"/>
              </w:rPr>
              <w:t>Sudan</w:t>
            </w:r>
          </w:p>
        </w:tc>
        <w:tc>
          <w:tcPr>
            <w:tcW w:w="1130" w:type="dxa"/>
            <w:shd w:val="clear" w:color="auto" w:fill="auto"/>
          </w:tcPr>
          <w:p w14:paraId="3F51822F" w14:textId="3FB74B34" w:rsidR="00283389" w:rsidRPr="008729D6" w:rsidRDefault="00283389">
            <w:pPr>
              <w:pStyle w:val="Marge"/>
              <w:spacing w:before="120" w:after="120"/>
              <w:jc w:val="right"/>
              <w:rPr>
                <w:rFonts w:cs="Arial"/>
                <w:bCs/>
                <w:sz w:val="18"/>
                <w:szCs w:val="18"/>
                <w:lang w:val="en-GB"/>
              </w:rPr>
            </w:pPr>
            <w:r w:rsidRPr="008729D6">
              <w:rPr>
                <w:rFonts w:cs="Arial"/>
                <w:bCs/>
                <w:sz w:val="18"/>
                <w:szCs w:val="18"/>
                <w:lang w:val="en-GB"/>
              </w:rPr>
              <w:t>174,480</w:t>
            </w:r>
            <w:r w:rsidR="002B41B5">
              <w:rPr>
                <w:rFonts w:cs="Arial"/>
                <w:bCs/>
                <w:sz w:val="18"/>
                <w:szCs w:val="18"/>
                <w:lang w:val="en-GB"/>
              </w:rPr>
              <w:t>.00</w:t>
            </w:r>
          </w:p>
        </w:tc>
        <w:tc>
          <w:tcPr>
            <w:tcW w:w="1418" w:type="dxa"/>
            <w:shd w:val="clear" w:color="auto" w:fill="auto"/>
          </w:tcPr>
          <w:p w14:paraId="34FC1BD8" w14:textId="3319DEAF" w:rsidR="00FF351E" w:rsidRPr="005E1904" w:rsidRDefault="005E1904" w:rsidP="00E55910">
            <w:pPr>
              <w:pStyle w:val="Marge"/>
              <w:spacing w:before="120" w:after="120"/>
              <w:jc w:val="center"/>
              <w:rPr>
                <w:rFonts w:cs="Arial"/>
                <w:bCs/>
                <w:sz w:val="18"/>
                <w:szCs w:val="18"/>
                <w:lang w:val="en-GB"/>
              </w:rPr>
            </w:pPr>
            <w:r w:rsidRPr="005E1904">
              <w:rPr>
                <w:rFonts w:cs="Arial"/>
                <w:bCs/>
                <w:sz w:val="18"/>
                <w:szCs w:val="18"/>
                <w:lang w:val="en-GB"/>
              </w:rPr>
              <w:t>30/06/2016</w:t>
            </w:r>
            <w:r>
              <w:rPr>
                <w:rFonts w:cs="Arial"/>
                <w:bCs/>
                <w:sz w:val="18"/>
                <w:szCs w:val="18"/>
                <w:lang w:val="en-GB"/>
              </w:rPr>
              <w:br/>
            </w:r>
            <w:r w:rsidRPr="005E1904">
              <w:rPr>
                <w:rFonts w:cs="Arial"/>
                <w:bCs/>
                <w:sz w:val="18"/>
                <w:szCs w:val="18"/>
                <w:lang w:val="en-GB"/>
              </w:rPr>
              <w:t>31/12/2017</w:t>
            </w:r>
          </w:p>
        </w:tc>
        <w:tc>
          <w:tcPr>
            <w:tcW w:w="2378" w:type="dxa"/>
            <w:shd w:val="clear" w:color="auto" w:fill="auto"/>
          </w:tcPr>
          <w:p w14:paraId="21C94F51" w14:textId="77777777" w:rsidR="00283389" w:rsidRPr="00A02FDA" w:rsidRDefault="002A5681" w:rsidP="00F02F65">
            <w:pPr>
              <w:pStyle w:val="Marge"/>
              <w:spacing w:before="120" w:after="120"/>
              <w:jc w:val="left"/>
              <w:rPr>
                <w:rFonts w:cs="Arial"/>
                <w:bCs/>
                <w:sz w:val="18"/>
                <w:szCs w:val="18"/>
                <w:lang w:val="en-GB"/>
              </w:rPr>
            </w:pPr>
            <w:r w:rsidRPr="00A02FDA">
              <w:rPr>
                <w:rFonts w:cs="Arial"/>
                <w:bCs/>
                <w:sz w:val="18"/>
                <w:szCs w:val="18"/>
                <w:lang w:val="en-GB"/>
              </w:rPr>
              <w:t>Progress report due in July 2017</w:t>
            </w:r>
          </w:p>
          <w:p w14:paraId="46C4EDFB" w14:textId="7FDCA2E1" w:rsidR="009726D2" w:rsidRPr="00A02FDA" w:rsidRDefault="00D06268" w:rsidP="00F02F65">
            <w:pPr>
              <w:pStyle w:val="Marge"/>
              <w:spacing w:before="120" w:after="120"/>
              <w:jc w:val="left"/>
              <w:rPr>
                <w:rFonts w:cs="Arial"/>
                <w:bCs/>
                <w:sz w:val="18"/>
                <w:szCs w:val="18"/>
                <w:lang w:val="en-GB"/>
              </w:rPr>
            </w:pPr>
            <w:hyperlink r:id="rId32" w:history="1">
              <w:r w:rsidR="009726D2" w:rsidRPr="00A02FDA">
                <w:rPr>
                  <w:rStyle w:val="Hyperlink"/>
                  <w:rFonts w:cs="Arial"/>
                  <w:bCs/>
                  <w:sz w:val="18"/>
                  <w:szCs w:val="18"/>
                  <w:lang w:val="en-GB"/>
                </w:rPr>
                <w:t>Dedicated webpage</w:t>
              </w:r>
            </w:hyperlink>
          </w:p>
        </w:tc>
      </w:tr>
      <w:tr w:rsidR="00E55910" w:rsidRPr="008729D6" w14:paraId="229E4EE4" w14:textId="77777777" w:rsidTr="008F1881">
        <w:trPr>
          <w:cantSplit/>
        </w:trPr>
        <w:tc>
          <w:tcPr>
            <w:tcW w:w="2810" w:type="dxa"/>
            <w:shd w:val="clear" w:color="auto" w:fill="auto"/>
          </w:tcPr>
          <w:p w14:paraId="18E30526"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lastRenderedPageBreak/>
              <w:t xml:space="preserve">Inventorying of intangible cultural heritage elements in </w:t>
            </w:r>
            <w:proofErr w:type="spellStart"/>
            <w:r w:rsidRPr="008729D6">
              <w:rPr>
                <w:rFonts w:cs="Arial"/>
                <w:bCs/>
                <w:sz w:val="18"/>
                <w:szCs w:val="18"/>
                <w:lang w:val="en-GB"/>
              </w:rPr>
              <w:t>Thaba-Bosiu</w:t>
            </w:r>
            <w:proofErr w:type="spellEnd"/>
            <w:r w:rsidRPr="008729D6">
              <w:rPr>
                <w:rFonts w:cs="Arial"/>
                <w:bCs/>
                <w:sz w:val="18"/>
                <w:szCs w:val="18"/>
                <w:lang w:val="en-GB"/>
              </w:rPr>
              <w:t xml:space="preserve"> in Lesotho (No. 01118)</w:t>
            </w:r>
          </w:p>
        </w:tc>
        <w:tc>
          <w:tcPr>
            <w:tcW w:w="1418" w:type="dxa"/>
            <w:shd w:val="clear" w:color="auto" w:fill="auto"/>
          </w:tcPr>
          <w:p w14:paraId="584949E9"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Lesotho</w:t>
            </w:r>
          </w:p>
        </w:tc>
        <w:tc>
          <w:tcPr>
            <w:tcW w:w="1130" w:type="dxa"/>
            <w:shd w:val="clear" w:color="auto" w:fill="auto"/>
          </w:tcPr>
          <w:p w14:paraId="0EA557F3" w14:textId="30554D0B" w:rsidR="00E55910" w:rsidRPr="008729D6" w:rsidRDefault="00E55910" w:rsidP="00E55910">
            <w:pPr>
              <w:pStyle w:val="Marge"/>
              <w:spacing w:before="120" w:after="120"/>
              <w:jc w:val="right"/>
              <w:rPr>
                <w:rFonts w:cs="Arial"/>
                <w:bCs/>
                <w:sz w:val="18"/>
                <w:szCs w:val="18"/>
                <w:lang w:val="en-GB"/>
              </w:rPr>
            </w:pPr>
            <w:r w:rsidRPr="008729D6">
              <w:rPr>
                <w:rFonts w:cs="Arial"/>
                <w:bCs/>
                <w:sz w:val="18"/>
                <w:szCs w:val="18"/>
                <w:lang w:val="en-GB"/>
              </w:rPr>
              <w:t>24,998</w:t>
            </w:r>
            <w:r w:rsidR="002B41B5">
              <w:rPr>
                <w:rFonts w:cs="Arial"/>
                <w:bCs/>
                <w:sz w:val="18"/>
                <w:szCs w:val="18"/>
                <w:lang w:val="en-GB"/>
              </w:rPr>
              <w:t>.00</w:t>
            </w:r>
          </w:p>
        </w:tc>
        <w:tc>
          <w:tcPr>
            <w:tcW w:w="1418" w:type="dxa"/>
            <w:shd w:val="clear" w:color="auto" w:fill="auto"/>
          </w:tcPr>
          <w:p w14:paraId="782BB2C1" w14:textId="77777777" w:rsidR="00E55910" w:rsidRPr="008729D6" w:rsidRDefault="00E55910" w:rsidP="00E55910">
            <w:pPr>
              <w:pStyle w:val="Marge"/>
              <w:spacing w:before="120" w:after="120"/>
              <w:jc w:val="center"/>
              <w:rPr>
                <w:rFonts w:cs="Arial"/>
                <w:bCs/>
                <w:sz w:val="18"/>
                <w:szCs w:val="18"/>
                <w:lang w:val="en-GB"/>
              </w:rPr>
            </w:pPr>
            <w:r w:rsidRPr="008729D6">
              <w:rPr>
                <w:rFonts w:cs="Arial"/>
                <w:bCs/>
                <w:sz w:val="18"/>
                <w:szCs w:val="18"/>
                <w:lang w:val="en-GB"/>
              </w:rPr>
              <w:t>03/08/2016</w:t>
            </w:r>
            <w:r w:rsidRPr="008729D6">
              <w:rPr>
                <w:rFonts w:cs="Arial"/>
                <w:bCs/>
                <w:sz w:val="18"/>
                <w:szCs w:val="18"/>
                <w:lang w:val="en-GB"/>
              </w:rPr>
              <w:br/>
              <w:t>28/02/2017</w:t>
            </w:r>
          </w:p>
        </w:tc>
        <w:tc>
          <w:tcPr>
            <w:tcW w:w="2378" w:type="dxa"/>
            <w:shd w:val="clear" w:color="auto" w:fill="auto"/>
          </w:tcPr>
          <w:p w14:paraId="3F75A022"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Final report due in February 2017</w:t>
            </w:r>
          </w:p>
          <w:p w14:paraId="1E8D024F" w14:textId="77777777" w:rsidR="00E55910" w:rsidRPr="008729D6" w:rsidRDefault="00D06268" w:rsidP="00E55910">
            <w:pPr>
              <w:pStyle w:val="Marge"/>
              <w:spacing w:before="120" w:after="120"/>
              <w:jc w:val="left"/>
              <w:rPr>
                <w:rFonts w:cs="Arial"/>
                <w:bCs/>
                <w:sz w:val="18"/>
                <w:szCs w:val="18"/>
                <w:lang w:val="en-GB"/>
              </w:rPr>
            </w:pPr>
            <w:hyperlink r:id="rId33" w:history="1">
              <w:r w:rsidR="00E55910" w:rsidRPr="00E55910">
                <w:rPr>
                  <w:rStyle w:val="Hyperlink"/>
                  <w:rFonts w:cs="Arial"/>
                  <w:bCs/>
                  <w:sz w:val="18"/>
                  <w:szCs w:val="18"/>
                  <w:lang w:val="en-GB"/>
                </w:rPr>
                <w:t>Dedicated webpage</w:t>
              </w:r>
            </w:hyperlink>
          </w:p>
        </w:tc>
      </w:tr>
      <w:tr w:rsidR="00E55910" w:rsidRPr="008729D6" w14:paraId="4A005F3C" w14:textId="77777777" w:rsidTr="008F1881">
        <w:trPr>
          <w:cantSplit/>
        </w:trPr>
        <w:tc>
          <w:tcPr>
            <w:tcW w:w="2810" w:type="dxa"/>
            <w:shd w:val="clear" w:color="auto" w:fill="auto"/>
          </w:tcPr>
          <w:p w14:paraId="68A629C3"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 xml:space="preserve">Inventorying of the music and dance of the </w:t>
            </w:r>
            <w:proofErr w:type="spellStart"/>
            <w:r w:rsidRPr="008729D6">
              <w:rPr>
                <w:rFonts w:cs="Arial"/>
                <w:bCs/>
                <w:sz w:val="18"/>
                <w:szCs w:val="18"/>
                <w:lang w:val="en-GB"/>
              </w:rPr>
              <w:t>Lozi</w:t>
            </w:r>
            <w:proofErr w:type="spellEnd"/>
            <w:r w:rsidRPr="008729D6">
              <w:rPr>
                <w:rFonts w:cs="Arial"/>
                <w:bCs/>
                <w:sz w:val="18"/>
                <w:szCs w:val="18"/>
                <w:lang w:val="en-GB"/>
              </w:rPr>
              <w:t xml:space="preserve"> and </w:t>
            </w:r>
            <w:proofErr w:type="spellStart"/>
            <w:r w:rsidRPr="008729D6">
              <w:rPr>
                <w:rFonts w:cs="Arial"/>
                <w:bCs/>
                <w:sz w:val="18"/>
                <w:szCs w:val="18"/>
                <w:lang w:val="en-GB"/>
              </w:rPr>
              <w:t>Nkoya</w:t>
            </w:r>
            <w:proofErr w:type="spellEnd"/>
            <w:r w:rsidRPr="008729D6">
              <w:rPr>
                <w:rFonts w:cs="Arial"/>
                <w:bCs/>
                <w:sz w:val="18"/>
                <w:szCs w:val="18"/>
                <w:lang w:val="en-GB"/>
              </w:rPr>
              <w:t xml:space="preserve"> people of </w:t>
            </w:r>
            <w:proofErr w:type="spellStart"/>
            <w:r w:rsidRPr="008729D6">
              <w:rPr>
                <w:rFonts w:cs="Arial"/>
                <w:bCs/>
                <w:sz w:val="18"/>
                <w:szCs w:val="18"/>
                <w:lang w:val="en-GB"/>
              </w:rPr>
              <w:t>Kaoma</w:t>
            </w:r>
            <w:proofErr w:type="spellEnd"/>
            <w:r w:rsidRPr="008729D6">
              <w:rPr>
                <w:rFonts w:cs="Arial"/>
                <w:bCs/>
                <w:sz w:val="18"/>
                <w:szCs w:val="18"/>
                <w:lang w:val="en-GB"/>
              </w:rPr>
              <w:t xml:space="preserve"> District (No. 01217)</w:t>
            </w:r>
          </w:p>
        </w:tc>
        <w:tc>
          <w:tcPr>
            <w:tcW w:w="1418" w:type="dxa"/>
            <w:shd w:val="clear" w:color="auto" w:fill="auto"/>
          </w:tcPr>
          <w:p w14:paraId="499D1799"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Zambia</w:t>
            </w:r>
          </w:p>
        </w:tc>
        <w:tc>
          <w:tcPr>
            <w:tcW w:w="1130" w:type="dxa"/>
            <w:shd w:val="clear" w:color="auto" w:fill="auto"/>
          </w:tcPr>
          <w:p w14:paraId="2A9F28CB" w14:textId="759F5D8C" w:rsidR="00E55910" w:rsidRPr="008729D6" w:rsidRDefault="00E55910" w:rsidP="00E55910">
            <w:pPr>
              <w:pStyle w:val="Marge"/>
              <w:spacing w:before="120" w:after="120"/>
              <w:jc w:val="right"/>
              <w:rPr>
                <w:rFonts w:cs="Arial"/>
                <w:bCs/>
                <w:sz w:val="18"/>
                <w:szCs w:val="18"/>
                <w:lang w:val="en-GB"/>
              </w:rPr>
            </w:pPr>
            <w:r w:rsidRPr="008729D6">
              <w:rPr>
                <w:rFonts w:cs="Arial"/>
                <w:bCs/>
                <w:sz w:val="18"/>
                <w:szCs w:val="18"/>
                <w:lang w:val="en-GB"/>
              </w:rPr>
              <w:t>24,928</w:t>
            </w:r>
            <w:r w:rsidR="002B41B5">
              <w:rPr>
                <w:rFonts w:cs="Arial"/>
                <w:bCs/>
                <w:sz w:val="18"/>
                <w:szCs w:val="18"/>
                <w:lang w:val="en-GB"/>
              </w:rPr>
              <w:t>.30</w:t>
            </w:r>
          </w:p>
        </w:tc>
        <w:tc>
          <w:tcPr>
            <w:tcW w:w="1418" w:type="dxa"/>
            <w:shd w:val="clear" w:color="auto" w:fill="auto"/>
          </w:tcPr>
          <w:p w14:paraId="36ECAFEA" w14:textId="77777777" w:rsidR="00E55910" w:rsidRPr="005E1904" w:rsidRDefault="00E55910" w:rsidP="00E55910">
            <w:pPr>
              <w:pStyle w:val="Marge"/>
              <w:spacing w:before="120" w:after="120"/>
              <w:jc w:val="center"/>
              <w:rPr>
                <w:rFonts w:cs="Arial"/>
                <w:bCs/>
                <w:sz w:val="18"/>
                <w:szCs w:val="18"/>
                <w:lang w:val="en-GB"/>
              </w:rPr>
            </w:pPr>
            <w:r w:rsidRPr="005E1904">
              <w:rPr>
                <w:rFonts w:cs="Arial"/>
                <w:bCs/>
                <w:sz w:val="18"/>
                <w:szCs w:val="18"/>
                <w:lang w:val="en-GB"/>
              </w:rPr>
              <w:t>04/08/2016</w:t>
            </w:r>
            <w:r w:rsidRPr="005E1904">
              <w:rPr>
                <w:rFonts w:cs="Arial"/>
                <w:bCs/>
                <w:sz w:val="18"/>
                <w:szCs w:val="18"/>
                <w:lang w:val="en-GB"/>
              </w:rPr>
              <w:br/>
              <w:t>30/06/2017</w:t>
            </w:r>
          </w:p>
        </w:tc>
        <w:tc>
          <w:tcPr>
            <w:tcW w:w="2378" w:type="dxa"/>
            <w:shd w:val="clear" w:color="auto" w:fill="auto"/>
          </w:tcPr>
          <w:p w14:paraId="31257861"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Progress report due in October 2016</w:t>
            </w:r>
          </w:p>
          <w:p w14:paraId="0587E8F3" w14:textId="77777777" w:rsidR="00E55910" w:rsidRPr="008729D6" w:rsidRDefault="00D06268" w:rsidP="00E55910">
            <w:pPr>
              <w:pStyle w:val="Marge"/>
              <w:spacing w:before="120" w:after="120"/>
              <w:jc w:val="left"/>
              <w:rPr>
                <w:rFonts w:cs="Arial"/>
                <w:bCs/>
                <w:sz w:val="18"/>
                <w:szCs w:val="18"/>
                <w:lang w:val="en-GB"/>
              </w:rPr>
            </w:pPr>
            <w:hyperlink r:id="rId34" w:history="1">
              <w:r w:rsidR="00E55910" w:rsidRPr="00E55910">
                <w:rPr>
                  <w:rStyle w:val="Hyperlink"/>
                  <w:rFonts w:cs="Arial"/>
                  <w:bCs/>
                  <w:sz w:val="18"/>
                  <w:szCs w:val="18"/>
                  <w:lang w:val="en-GB"/>
                </w:rPr>
                <w:t>Dedicated webpage</w:t>
              </w:r>
            </w:hyperlink>
          </w:p>
        </w:tc>
      </w:tr>
      <w:tr w:rsidR="00E55910" w:rsidRPr="008729D6" w14:paraId="4CD197D6" w14:textId="77777777" w:rsidTr="008F1881">
        <w:trPr>
          <w:cantSplit/>
        </w:trPr>
        <w:tc>
          <w:tcPr>
            <w:tcW w:w="2810" w:type="dxa"/>
            <w:shd w:val="clear" w:color="auto" w:fill="auto"/>
          </w:tcPr>
          <w:p w14:paraId="396ED45D"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Safeguarding the knowledge systems associated with traditional Fijian (iTaukei) house (Bure) construction methods in Navala village, Fiji (No. 01121)</w:t>
            </w:r>
          </w:p>
        </w:tc>
        <w:tc>
          <w:tcPr>
            <w:tcW w:w="1418" w:type="dxa"/>
            <w:shd w:val="clear" w:color="auto" w:fill="auto"/>
          </w:tcPr>
          <w:p w14:paraId="6BD5BA11"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Fiji</w:t>
            </w:r>
          </w:p>
        </w:tc>
        <w:tc>
          <w:tcPr>
            <w:tcW w:w="1130" w:type="dxa"/>
            <w:shd w:val="clear" w:color="auto" w:fill="auto"/>
          </w:tcPr>
          <w:p w14:paraId="0150068E" w14:textId="51569B8C" w:rsidR="00E55910" w:rsidRPr="008729D6" w:rsidRDefault="00E55910" w:rsidP="00E55910">
            <w:pPr>
              <w:pStyle w:val="Marge"/>
              <w:spacing w:before="120" w:after="120"/>
              <w:jc w:val="right"/>
              <w:rPr>
                <w:rFonts w:cs="Arial"/>
                <w:bCs/>
                <w:sz w:val="18"/>
                <w:szCs w:val="18"/>
                <w:lang w:val="en-GB"/>
              </w:rPr>
            </w:pPr>
            <w:r w:rsidRPr="008729D6">
              <w:rPr>
                <w:rFonts w:cs="Arial"/>
                <w:bCs/>
                <w:sz w:val="18"/>
                <w:szCs w:val="18"/>
                <w:lang w:val="en-GB"/>
              </w:rPr>
              <w:t>25,000</w:t>
            </w:r>
            <w:r w:rsidR="002B41B5">
              <w:rPr>
                <w:rFonts w:cs="Arial"/>
                <w:bCs/>
                <w:sz w:val="18"/>
                <w:szCs w:val="18"/>
                <w:lang w:val="en-GB"/>
              </w:rPr>
              <w:t>.00</w:t>
            </w:r>
          </w:p>
        </w:tc>
        <w:tc>
          <w:tcPr>
            <w:tcW w:w="1418" w:type="dxa"/>
            <w:shd w:val="clear" w:color="auto" w:fill="auto"/>
          </w:tcPr>
          <w:p w14:paraId="76182A1C" w14:textId="77777777" w:rsidR="00E55910" w:rsidRPr="008729D6" w:rsidRDefault="00E55910" w:rsidP="00E55910">
            <w:pPr>
              <w:pStyle w:val="Marge"/>
              <w:spacing w:before="120" w:after="120"/>
              <w:jc w:val="center"/>
              <w:rPr>
                <w:rFonts w:cs="Arial"/>
                <w:bCs/>
                <w:sz w:val="18"/>
                <w:szCs w:val="18"/>
                <w:lang w:val="en-GB"/>
              </w:rPr>
            </w:pPr>
            <w:r w:rsidRPr="008729D6">
              <w:rPr>
                <w:rFonts w:cs="Arial"/>
                <w:bCs/>
                <w:sz w:val="18"/>
                <w:szCs w:val="18"/>
                <w:lang w:val="en-GB"/>
              </w:rPr>
              <w:t>14/09/2016</w:t>
            </w:r>
            <w:r w:rsidRPr="008729D6">
              <w:rPr>
                <w:rFonts w:cs="Arial"/>
                <w:bCs/>
                <w:sz w:val="18"/>
                <w:szCs w:val="18"/>
                <w:lang w:val="en-GB"/>
              </w:rPr>
              <w:br/>
              <w:t>19/09/2017</w:t>
            </w:r>
          </w:p>
        </w:tc>
        <w:tc>
          <w:tcPr>
            <w:tcW w:w="2378" w:type="dxa"/>
            <w:shd w:val="clear" w:color="auto" w:fill="auto"/>
          </w:tcPr>
          <w:p w14:paraId="18145AAD" w14:textId="77777777" w:rsidR="00E55910" w:rsidRPr="008729D6" w:rsidRDefault="00E55910" w:rsidP="00E55910">
            <w:pPr>
              <w:pStyle w:val="Marge"/>
              <w:spacing w:before="120" w:after="120"/>
              <w:jc w:val="left"/>
              <w:rPr>
                <w:rFonts w:cs="Arial"/>
                <w:bCs/>
                <w:sz w:val="18"/>
                <w:szCs w:val="18"/>
                <w:lang w:val="en-GB"/>
              </w:rPr>
            </w:pPr>
            <w:r w:rsidRPr="008729D6">
              <w:rPr>
                <w:rFonts w:cs="Arial"/>
                <w:bCs/>
                <w:sz w:val="18"/>
                <w:szCs w:val="18"/>
                <w:lang w:val="en-GB"/>
              </w:rPr>
              <w:t>Final report due in September 2017</w:t>
            </w:r>
          </w:p>
          <w:p w14:paraId="5FE77071" w14:textId="77777777" w:rsidR="00E55910" w:rsidRPr="008729D6" w:rsidRDefault="00D06268" w:rsidP="00E55910">
            <w:pPr>
              <w:pStyle w:val="Marge"/>
              <w:spacing w:before="120" w:after="120"/>
              <w:jc w:val="left"/>
              <w:rPr>
                <w:rFonts w:cs="Arial"/>
                <w:bCs/>
                <w:sz w:val="18"/>
                <w:szCs w:val="18"/>
                <w:lang w:val="en-GB"/>
              </w:rPr>
            </w:pPr>
            <w:hyperlink r:id="rId35" w:history="1">
              <w:r w:rsidR="00E55910" w:rsidRPr="00E55910">
                <w:rPr>
                  <w:rStyle w:val="Hyperlink"/>
                  <w:rFonts w:cs="Arial"/>
                  <w:bCs/>
                  <w:sz w:val="18"/>
                  <w:szCs w:val="18"/>
                  <w:lang w:val="en-GB"/>
                </w:rPr>
                <w:t>Dedicated webpage</w:t>
              </w:r>
            </w:hyperlink>
          </w:p>
        </w:tc>
      </w:tr>
      <w:tr w:rsidR="00283389" w:rsidRPr="008729D6" w14:paraId="519DBD90" w14:textId="77777777" w:rsidTr="008F1881">
        <w:trPr>
          <w:cantSplit/>
        </w:trPr>
        <w:tc>
          <w:tcPr>
            <w:tcW w:w="2810" w:type="dxa"/>
            <w:shd w:val="clear" w:color="auto" w:fill="auto"/>
          </w:tcPr>
          <w:p w14:paraId="2673C0E1" w14:textId="1FD34DA0" w:rsidR="00283389" w:rsidRPr="008729D6" w:rsidRDefault="00283389" w:rsidP="00F02F65">
            <w:pPr>
              <w:pStyle w:val="Marge"/>
              <w:spacing w:before="120" w:after="120"/>
              <w:jc w:val="left"/>
              <w:rPr>
                <w:rFonts w:cs="Arial"/>
                <w:bCs/>
                <w:sz w:val="18"/>
                <w:szCs w:val="18"/>
                <w:lang w:val="en-GB"/>
              </w:rPr>
            </w:pPr>
            <w:r w:rsidRPr="008729D6">
              <w:rPr>
                <w:rFonts w:cs="Arial"/>
                <w:bCs/>
                <w:sz w:val="18"/>
                <w:szCs w:val="18"/>
                <w:lang w:val="en-GB"/>
              </w:rPr>
              <w:t>Promotion of traditional pottery making practices in Eastern Kenya (No. 01021)</w:t>
            </w:r>
          </w:p>
        </w:tc>
        <w:tc>
          <w:tcPr>
            <w:tcW w:w="1418" w:type="dxa"/>
            <w:shd w:val="clear" w:color="auto" w:fill="auto"/>
          </w:tcPr>
          <w:p w14:paraId="41BB4F8E" w14:textId="0855B5F7" w:rsidR="00283389" w:rsidRPr="008729D6" w:rsidRDefault="00283389" w:rsidP="00F02F65">
            <w:pPr>
              <w:pStyle w:val="Marge"/>
              <w:spacing w:before="120" w:after="120"/>
              <w:jc w:val="left"/>
              <w:rPr>
                <w:rFonts w:cs="Arial"/>
                <w:bCs/>
                <w:sz w:val="18"/>
                <w:szCs w:val="18"/>
                <w:lang w:val="en-GB"/>
              </w:rPr>
            </w:pPr>
            <w:r w:rsidRPr="008729D6">
              <w:rPr>
                <w:rFonts w:cs="Arial"/>
                <w:bCs/>
                <w:sz w:val="18"/>
                <w:szCs w:val="18"/>
                <w:lang w:val="en-GB"/>
              </w:rPr>
              <w:t>Kenya</w:t>
            </w:r>
          </w:p>
        </w:tc>
        <w:tc>
          <w:tcPr>
            <w:tcW w:w="1130" w:type="dxa"/>
            <w:shd w:val="clear" w:color="auto" w:fill="auto"/>
          </w:tcPr>
          <w:p w14:paraId="49E7CFEE" w14:textId="55631F2A" w:rsidR="00283389" w:rsidRPr="008729D6" w:rsidRDefault="00283389">
            <w:pPr>
              <w:pStyle w:val="Marge"/>
              <w:spacing w:before="120" w:after="120"/>
              <w:jc w:val="right"/>
              <w:rPr>
                <w:rFonts w:cs="Arial"/>
                <w:bCs/>
                <w:sz w:val="18"/>
                <w:szCs w:val="18"/>
                <w:lang w:val="en-GB"/>
              </w:rPr>
            </w:pPr>
            <w:r w:rsidRPr="008729D6">
              <w:rPr>
                <w:rFonts w:cs="Arial"/>
                <w:bCs/>
                <w:sz w:val="18"/>
                <w:szCs w:val="18"/>
                <w:lang w:val="en-GB"/>
              </w:rPr>
              <w:t>23,388</w:t>
            </w:r>
            <w:r w:rsidR="002B41B5">
              <w:rPr>
                <w:rFonts w:cs="Arial"/>
                <w:bCs/>
                <w:sz w:val="18"/>
                <w:szCs w:val="18"/>
                <w:lang w:val="en-GB"/>
              </w:rPr>
              <w:t>.00</w:t>
            </w:r>
          </w:p>
        </w:tc>
        <w:tc>
          <w:tcPr>
            <w:tcW w:w="1418" w:type="dxa"/>
            <w:shd w:val="clear" w:color="auto" w:fill="auto"/>
          </w:tcPr>
          <w:p w14:paraId="5D20B307" w14:textId="685438E6" w:rsidR="00283389" w:rsidRPr="005E1904" w:rsidRDefault="005E1904" w:rsidP="00E55910">
            <w:pPr>
              <w:pStyle w:val="Marge"/>
              <w:spacing w:before="120" w:after="120"/>
              <w:jc w:val="center"/>
              <w:rPr>
                <w:rFonts w:cs="Arial"/>
                <w:bCs/>
                <w:sz w:val="18"/>
                <w:szCs w:val="18"/>
                <w:lang w:val="en-GB"/>
              </w:rPr>
            </w:pPr>
            <w:r w:rsidRPr="005E1904">
              <w:rPr>
                <w:rFonts w:cs="Arial"/>
                <w:bCs/>
                <w:sz w:val="18"/>
                <w:szCs w:val="18"/>
                <w:lang w:val="en-GB"/>
              </w:rPr>
              <w:t>14/09/2016</w:t>
            </w:r>
            <w:r w:rsidR="00E977EC">
              <w:rPr>
                <w:rFonts w:cs="Arial"/>
                <w:bCs/>
                <w:sz w:val="18"/>
                <w:szCs w:val="18"/>
                <w:lang w:val="en-GB"/>
              </w:rPr>
              <w:br/>
            </w:r>
            <w:r w:rsidRPr="005E1904">
              <w:rPr>
                <w:rFonts w:cs="Arial"/>
                <w:bCs/>
                <w:sz w:val="18"/>
                <w:szCs w:val="18"/>
                <w:lang w:val="en-GB"/>
              </w:rPr>
              <w:t>11/12/2017</w:t>
            </w:r>
          </w:p>
        </w:tc>
        <w:tc>
          <w:tcPr>
            <w:tcW w:w="2378" w:type="dxa"/>
            <w:shd w:val="clear" w:color="auto" w:fill="auto"/>
          </w:tcPr>
          <w:p w14:paraId="3DAE0E4F" w14:textId="77777777" w:rsidR="00283389" w:rsidRPr="00E55910" w:rsidRDefault="003D4CBD" w:rsidP="003D4CBD">
            <w:pPr>
              <w:pStyle w:val="Marge"/>
              <w:spacing w:before="120" w:after="120"/>
              <w:jc w:val="left"/>
              <w:rPr>
                <w:rFonts w:cs="Arial"/>
                <w:bCs/>
                <w:sz w:val="18"/>
                <w:szCs w:val="18"/>
                <w:lang w:val="en-GB"/>
              </w:rPr>
            </w:pPr>
            <w:r w:rsidRPr="005E1904">
              <w:rPr>
                <w:rFonts w:cs="Arial"/>
                <w:bCs/>
                <w:sz w:val="18"/>
                <w:szCs w:val="18"/>
                <w:lang w:val="en-GB"/>
              </w:rPr>
              <w:t>Progress report due in July 2017</w:t>
            </w:r>
          </w:p>
          <w:p w14:paraId="4A80FE04" w14:textId="0ECF4928" w:rsidR="009726D2" w:rsidRPr="00E55910" w:rsidRDefault="00D06268" w:rsidP="003D4CBD">
            <w:pPr>
              <w:pStyle w:val="Marge"/>
              <w:spacing w:before="120" w:after="120"/>
              <w:jc w:val="left"/>
              <w:rPr>
                <w:rFonts w:cs="Arial"/>
                <w:bCs/>
                <w:sz w:val="18"/>
                <w:szCs w:val="18"/>
                <w:lang w:val="en-GB"/>
              </w:rPr>
            </w:pPr>
            <w:hyperlink r:id="rId36" w:history="1">
              <w:r w:rsidR="009726D2" w:rsidRPr="00D25A80">
                <w:rPr>
                  <w:rStyle w:val="Hyperlink"/>
                  <w:rFonts w:cs="Arial"/>
                  <w:bCs/>
                  <w:sz w:val="18"/>
                  <w:szCs w:val="18"/>
                  <w:lang w:val="en-GB"/>
                </w:rPr>
                <w:t>Dedicated webpage</w:t>
              </w:r>
            </w:hyperlink>
          </w:p>
        </w:tc>
      </w:tr>
      <w:tr w:rsidR="00C02586" w:rsidRPr="008729D6" w14:paraId="2CE6BF91" w14:textId="77777777" w:rsidTr="008F1881">
        <w:trPr>
          <w:cantSplit/>
        </w:trPr>
        <w:tc>
          <w:tcPr>
            <w:tcW w:w="2810" w:type="dxa"/>
            <w:shd w:val="clear" w:color="auto" w:fill="auto"/>
          </w:tcPr>
          <w:p w14:paraId="7E55D60E" w14:textId="77777777" w:rsidR="00C02586" w:rsidRPr="008729D6" w:rsidRDefault="00C02586" w:rsidP="00B83573">
            <w:pPr>
              <w:pStyle w:val="Marge"/>
              <w:spacing w:before="120" w:after="120"/>
              <w:jc w:val="left"/>
              <w:rPr>
                <w:rFonts w:cs="Arial"/>
                <w:bCs/>
                <w:sz w:val="18"/>
                <w:szCs w:val="18"/>
                <w:lang w:val="en-GB"/>
              </w:rPr>
            </w:pPr>
            <w:r w:rsidRPr="008729D6">
              <w:rPr>
                <w:rFonts w:cs="Arial"/>
                <w:bCs/>
                <w:sz w:val="18"/>
                <w:szCs w:val="18"/>
                <w:lang w:val="en-GB"/>
              </w:rPr>
              <w:t xml:space="preserve">Inventorying of proverbs of </w:t>
            </w:r>
            <w:proofErr w:type="spellStart"/>
            <w:r w:rsidRPr="008729D6">
              <w:rPr>
                <w:rFonts w:cs="Arial"/>
                <w:bCs/>
                <w:sz w:val="18"/>
                <w:szCs w:val="18"/>
                <w:lang w:val="en-GB"/>
              </w:rPr>
              <w:t>Lala</w:t>
            </w:r>
            <w:proofErr w:type="spellEnd"/>
            <w:r w:rsidRPr="008729D6">
              <w:rPr>
                <w:rFonts w:cs="Arial"/>
                <w:bCs/>
                <w:sz w:val="18"/>
                <w:szCs w:val="18"/>
                <w:lang w:val="en-GB"/>
              </w:rPr>
              <w:t xml:space="preserve"> community of </w:t>
            </w:r>
            <w:proofErr w:type="spellStart"/>
            <w:r w:rsidRPr="008729D6">
              <w:rPr>
                <w:rFonts w:cs="Arial"/>
                <w:bCs/>
                <w:sz w:val="18"/>
                <w:szCs w:val="18"/>
                <w:lang w:val="en-GB"/>
              </w:rPr>
              <w:t>Luano</w:t>
            </w:r>
            <w:proofErr w:type="spellEnd"/>
            <w:r w:rsidRPr="008729D6">
              <w:rPr>
                <w:rFonts w:cs="Arial"/>
                <w:bCs/>
                <w:sz w:val="18"/>
                <w:szCs w:val="18"/>
                <w:lang w:val="en-GB"/>
              </w:rPr>
              <w:t xml:space="preserve"> District of Zambia (No. 01216)</w:t>
            </w:r>
          </w:p>
        </w:tc>
        <w:tc>
          <w:tcPr>
            <w:tcW w:w="1418" w:type="dxa"/>
            <w:shd w:val="clear" w:color="auto" w:fill="auto"/>
          </w:tcPr>
          <w:p w14:paraId="3E01D5F1" w14:textId="77777777" w:rsidR="00C02586" w:rsidRPr="008729D6" w:rsidRDefault="00C02586" w:rsidP="00B83573">
            <w:pPr>
              <w:pStyle w:val="Marge"/>
              <w:spacing w:before="120" w:after="120"/>
              <w:jc w:val="left"/>
              <w:rPr>
                <w:rFonts w:cs="Arial"/>
                <w:bCs/>
                <w:sz w:val="18"/>
                <w:szCs w:val="18"/>
                <w:lang w:val="en-GB"/>
              </w:rPr>
            </w:pPr>
            <w:r w:rsidRPr="008729D6">
              <w:rPr>
                <w:rFonts w:cs="Arial"/>
                <w:bCs/>
                <w:sz w:val="18"/>
                <w:szCs w:val="18"/>
                <w:lang w:val="en-GB"/>
              </w:rPr>
              <w:t>Zambia</w:t>
            </w:r>
          </w:p>
        </w:tc>
        <w:tc>
          <w:tcPr>
            <w:tcW w:w="1130" w:type="dxa"/>
            <w:shd w:val="clear" w:color="auto" w:fill="auto"/>
          </w:tcPr>
          <w:p w14:paraId="677945F5" w14:textId="1458425A" w:rsidR="00C02586" w:rsidRPr="008729D6" w:rsidRDefault="002B41B5" w:rsidP="00B83573">
            <w:pPr>
              <w:pStyle w:val="Marge"/>
              <w:spacing w:before="120" w:after="120"/>
              <w:jc w:val="right"/>
              <w:rPr>
                <w:rFonts w:cs="Arial"/>
                <w:bCs/>
                <w:sz w:val="18"/>
                <w:szCs w:val="18"/>
                <w:lang w:val="en-GB"/>
              </w:rPr>
            </w:pPr>
            <w:r>
              <w:rPr>
                <w:rFonts w:cs="Arial"/>
                <w:bCs/>
                <w:sz w:val="18"/>
                <w:szCs w:val="18"/>
                <w:lang w:val="en-GB"/>
              </w:rPr>
              <w:t>24,999.90</w:t>
            </w:r>
          </w:p>
        </w:tc>
        <w:tc>
          <w:tcPr>
            <w:tcW w:w="1418" w:type="dxa"/>
            <w:shd w:val="clear" w:color="auto" w:fill="auto"/>
          </w:tcPr>
          <w:p w14:paraId="327DA5D1" w14:textId="77777777" w:rsidR="00C02586" w:rsidRPr="00E55910" w:rsidRDefault="00C02586" w:rsidP="00B83573">
            <w:pPr>
              <w:pStyle w:val="Marge"/>
              <w:spacing w:before="120" w:after="120"/>
              <w:jc w:val="center"/>
              <w:rPr>
                <w:rFonts w:cs="Arial"/>
                <w:bCs/>
                <w:sz w:val="18"/>
                <w:szCs w:val="18"/>
                <w:lang w:val="en-GB"/>
              </w:rPr>
            </w:pPr>
            <w:r w:rsidRPr="005E1904">
              <w:rPr>
                <w:rFonts w:cs="Arial"/>
                <w:bCs/>
                <w:sz w:val="18"/>
                <w:szCs w:val="18"/>
                <w:lang w:val="en-GB"/>
              </w:rPr>
              <w:t>22/09/2016</w:t>
            </w:r>
            <w:r>
              <w:rPr>
                <w:rFonts w:cs="Arial"/>
                <w:bCs/>
                <w:sz w:val="18"/>
                <w:szCs w:val="18"/>
                <w:lang w:val="en-GB"/>
              </w:rPr>
              <w:br/>
            </w:r>
            <w:r w:rsidRPr="005E1904">
              <w:rPr>
                <w:rFonts w:cs="Arial"/>
                <w:bCs/>
                <w:sz w:val="18"/>
                <w:szCs w:val="18"/>
                <w:lang w:val="en-GB"/>
              </w:rPr>
              <w:t>29/09/2017</w:t>
            </w:r>
          </w:p>
        </w:tc>
        <w:tc>
          <w:tcPr>
            <w:tcW w:w="2378" w:type="dxa"/>
            <w:shd w:val="clear" w:color="auto" w:fill="auto"/>
          </w:tcPr>
          <w:p w14:paraId="194F064A" w14:textId="77777777" w:rsidR="00C02586" w:rsidRPr="008729D6" w:rsidRDefault="00C02586" w:rsidP="00B83573">
            <w:pPr>
              <w:pStyle w:val="Marge"/>
              <w:spacing w:before="120" w:after="120"/>
              <w:jc w:val="left"/>
              <w:rPr>
                <w:rFonts w:cs="Arial"/>
                <w:bCs/>
                <w:sz w:val="18"/>
                <w:szCs w:val="18"/>
                <w:lang w:val="en-GB"/>
              </w:rPr>
            </w:pPr>
            <w:r w:rsidRPr="008729D6">
              <w:rPr>
                <w:rFonts w:cs="Arial"/>
                <w:bCs/>
                <w:sz w:val="18"/>
                <w:szCs w:val="18"/>
                <w:lang w:val="en-GB"/>
              </w:rPr>
              <w:t>Progress report due in February 2017</w:t>
            </w:r>
          </w:p>
          <w:p w14:paraId="07B103AD" w14:textId="77777777" w:rsidR="00C02586" w:rsidRPr="008729D6" w:rsidRDefault="00D06268" w:rsidP="00B83573">
            <w:pPr>
              <w:pStyle w:val="Marge"/>
              <w:spacing w:before="120" w:after="120"/>
              <w:jc w:val="left"/>
              <w:rPr>
                <w:rFonts w:cs="Arial"/>
                <w:bCs/>
                <w:sz w:val="18"/>
                <w:szCs w:val="18"/>
                <w:lang w:val="en-GB"/>
              </w:rPr>
            </w:pPr>
            <w:hyperlink r:id="rId37" w:history="1">
              <w:r w:rsidR="00C02586" w:rsidRPr="00C02586">
                <w:rPr>
                  <w:rStyle w:val="Hyperlink"/>
                  <w:rFonts w:cs="Arial"/>
                  <w:bCs/>
                  <w:sz w:val="18"/>
                  <w:szCs w:val="18"/>
                  <w:lang w:val="en-GB"/>
                </w:rPr>
                <w:t>Dedicated webpage</w:t>
              </w:r>
            </w:hyperlink>
          </w:p>
        </w:tc>
      </w:tr>
    </w:tbl>
    <w:p w14:paraId="6631C843" w14:textId="4BA6696C" w:rsidR="00BF56C8" w:rsidRDefault="006C6E6D" w:rsidP="00BF56C8">
      <w:pPr>
        <w:pStyle w:val="COMPara"/>
        <w:spacing w:before="120"/>
        <w:ind w:left="567" w:hanging="567"/>
        <w:jc w:val="both"/>
      </w:pPr>
      <w:r w:rsidRPr="003316FD">
        <w:t xml:space="preserve">Among the projects mentioned </w:t>
      </w:r>
      <w:r w:rsidR="00BF56C8" w:rsidRPr="003316FD">
        <w:t>above</w:t>
      </w:r>
      <w:r w:rsidRPr="003316FD">
        <w:t xml:space="preserve">, it should be </w:t>
      </w:r>
      <w:r w:rsidR="003C52D4" w:rsidRPr="003316FD">
        <w:t>noted</w:t>
      </w:r>
      <w:r w:rsidRPr="003316FD">
        <w:t xml:space="preserve"> that four received technical assistance</w:t>
      </w:r>
      <w:r w:rsidR="00BF56C8" w:rsidRPr="003316FD">
        <w:rPr>
          <w:rStyle w:val="FootnoteReference"/>
        </w:rPr>
        <w:footnoteReference w:id="4"/>
      </w:r>
      <w:r w:rsidR="00BF56C8" w:rsidRPr="003316FD">
        <w:t xml:space="preserve"> through the provision of experts suggested by the Secretariat and agreed by the requesting States. This was the case of requests granted to Côte d’Ivoire, Lesotho, Togo and Uganda. Over the reporting period, Albania benefited from technical assistance although, at the time of writing, the resulting request has not yet been submitted to </w:t>
      </w:r>
      <w:r w:rsidR="00BF56C8" w:rsidRPr="001D4055">
        <w:t>the competent governing body for its examination.</w:t>
      </w:r>
    </w:p>
    <w:p w14:paraId="6EED6A44" w14:textId="65EE40BF" w:rsidR="002F07D9" w:rsidRPr="00D06268" w:rsidRDefault="002F07D9" w:rsidP="008F1881">
      <w:pPr>
        <w:pStyle w:val="COMPara"/>
        <w:spacing w:before="120"/>
        <w:ind w:left="567" w:hanging="567"/>
        <w:jc w:val="both"/>
        <w:rPr>
          <w:rFonts w:hint="eastAsia"/>
        </w:rPr>
      </w:pPr>
      <w:r w:rsidRPr="002F07D9">
        <w:t xml:space="preserve">Another project was withdrawn by the </w:t>
      </w:r>
      <w:r>
        <w:t>requesting</w:t>
      </w:r>
      <w:r w:rsidRPr="002F07D9">
        <w:t xml:space="preserve"> State after approval by the Bureau,</w:t>
      </w:r>
      <w:r>
        <w:t xml:space="preserve"> that is the preparatory assistance for elaborating a nomination to the Urgent Safeguarding List on ‘</w:t>
      </w:r>
      <w:r w:rsidRPr="002F07D9">
        <w:t xml:space="preserve">Traditional boat-building traditions of the </w:t>
      </w:r>
      <w:proofErr w:type="spellStart"/>
      <w:r w:rsidRPr="002F07D9">
        <w:t>Ivatans</w:t>
      </w:r>
      <w:proofErr w:type="spellEnd"/>
      <w:r w:rsidRPr="002F07D9">
        <w:t xml:space="preserve"> of </w:t>
      </w:r>
      <w:proofErr w:type="spellStart"/>
      <w:r w:rsidRPr="002F07D9">
        <w:t>Batanes</w:t>
      </w:r>
      <w:proofErr w:type="spellEnd"/>
      <w:r w:rsidRPr="002F07D9">
        <w:t xml:space="preserve">, Sta. Catalina, Negros Oriental, Manobo of </w:t>
      </w:r>
      <w:proofErr w:type="spellStart"/>
      <w:r w:rsidRPr="002F07D9">
        <w:t>Agusan</w:t>
      </w:r>
      <w:proofErr w:type="spellEnd"/>
      <w:r w:rsidRPr="002F07D9">
        <w:t xml:space="preserve"> and </w:t>
      </w:r>
      <w:proofErr w:type="spellStart"/>
      <w:r w:rsidRPr="002F07D9">
        <w:t>Sama</w:t>
      </w:r>
      <w:proofErr w:type="spellEnd"/>
      <w:r w:rsidRPr="002F07D9">
        <w:t xml:space="preserve">-Bajau of </w:t>
      </w:r>
      <w:proofErr w:type="spellStart"/>
      <w:r w:rsidRPr="002F07D9">
        <w:t>Tawi-tawi</w:t>
      </w:r>
      <w:proofErr w:type="spellEnd"/>
      <w:r w:rsidRPr="002F07D9">
        <w:t xml:space="preserve"> of the Philippine archipelago</w:t>
      </w:r>
      <w:r>
        <w:t>’ submitted by Philippines for an amount of US$</w:t>
      </w:r>
      <w:r w:rsidRPr="002F07D9">
        <w:t>7,393.00</w:t>
      </w:r>
      <w:r>
        <w:t>.</w:t>
      </w:r>
    </w:p>
    <w:p w14:paraId="4A5B432D" w14:textId="2A2CF628" w:rsidR="00D06268" w:rsidRPr="001D4055" w:rsidRDefault="00D06268" w:rsidP="00D06268">
      <w:pPr>
        <w:pStyle w:val="COMPara"/>
        <w:numPr>
          <w:ilvl w:val="0"/>
          <w:numId w:val="0"/>
        </w:numPr>
        <w:spacing w:before="120"/>
        <w:ind w:left="567"/>
        <w:jc w:val="center"/>
      </w:pPr>
      <w:r w:rsidRPr="003316FD">
        <w:rPr>
          <w:noProof/>
          <w:lang w:val="fr-FR" w:eastAsia="ko-KR"/>
        </w:rPr>
        <w:drawing>
          <wp:inline distT="0" distB="0" distL="0" distR="0" wp14:anchorId="19EC2A16" wp14:editId="14174165">
            <wp:extent cx="4380230" cy="2732405"/>
            <wp:effectExtent l="0" t="0" r="127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D82735A" w14:textId="3C725B41" w:rsidR="00FD20CD" w:rsidRPr="003316FD" w:rsidRDefault="00FD20CD" w:rsidP="00C61A04">
      <w:pPr>
        <w:pStyle w:val="COMTitleDecision"/>
        <w:pageBreakBefore/>
        <w:numPr>
          <w:ilvl w:val="4"/>
          <w:numId w:val="25"/>
        </w:numPr>
        <w:ind w:left="567" w:hanging="567"/>
      </w:pPr>
      <w:r w:rsidRPr="003316FD">
        <w:lastRenderedPageBreak/>
        <w:t xml:space="preserve">Overview of the </w:t>
      </w:r>
      <w:r w:rsidR="002F07D9">
        <w:t>International Assistance</w:t>
      </w:r>
      <w:r w:rsidRPr="003316FD">
        <w:t xml:space="preserve"> mechanism</w:t>
      </w:r>
    </w:p>
    <w:p w14:paraId="7DCDF08E" w14:textId="60FF62CF" w:rsidR="00DF6962" w:rsidRDefault="0089620C" w:rsidP="00CA1DC6">
      <w:pPr>
        <w:pStyle w:val="COMPara"/>
        <w:spacing w:before="120"/>
        <w:ind w:left="567" w:hanging="567"/>
        <w:jc w:val="both"/>
      </w:pPr>
      <w:r w:rsidRPr="003316FD">
        <w:t>Since the establishment of the procedu</w:t>
      </w:r>
      <w:bookmarkStart w:id="0" w:name="_GoBack"/>
      <w:bookmarkEnd w:id="0"/>
      <w:r w:rsidRPr="003316FD">
        <w:t xml:space="preserve">re for examining requests for </w:t>
      </w:r>
      <w:r w:rsidR="002F07D9">
        <w:t>International Assistance</w:t>
      </w:r>
      <w:r w:rsidRPr="003316FD">
        <w:t xml:space="preserve"> and as at 30 June 2016, </w:t>
      </w:r>
      <w:r w:rsidR="009C60AB" w:rsidRPr="003316FD">
        <w:t>32 </w:t>
      </w:r>
      <w:r w:rsidRPr="003316FD">
        <w:t xml:space="preserve">States Parties have been </w:t>
      </w:r>
      <w:r w:rsidR="009C60AB" w:rsidRPr="003316FD">
        <w:t xml:space="preserve">granted </w:t>
      </w:r>
      <w:r w:rsidRPr="003316FD">
        <w:t xml:space="preserve">financial assistance from the Intangible Cultural Heritage Fund for a total amount of </w:t>
      </w:r>
      <w:r w:rsidR="009C60AB" w:rsidRPr="003316FD">
        <w:t>US$2.75 million</w:t>
      </w:r>
      <w:r w:rsidRPr="003316FD">
        <w:t xml:space="preserve"> in support of </w:t>
      </w:r>
      <w:r w:rsidR="009C60AB" w:rsidRPr="003316FD">
        <w:t>54 </w:t>
      </w:r>
      <w:r w:rsidRPr="003316FD">
        <w:t xml:space="preserve">projects. </w:t>
      </w:r>
      <w:r w:rsidR="009C60AB" w:rsidRPr="003316FD">
        <w:t xml:space="preserve">Although this amount is not insignificant, it represents only 13% of the funds that the General Assembly of States Parties allocated to </w:t>
      </w:r>
      <w:r w:rsidR="002F07D9">
        <w:t>International Assistance</w:t>
      </w:r>
      <w:r w:rsidR="009C60AB" w:rsidRPr="003316FD">
        <w:t xml:space="preserve"> since the establishment of the Intangible Cultural Heritage Fund.</w:t>
      </w:r>
      <w:r w:rsidR="009C60AB" w:rsidRPr="003316FD">
        <w:rPr>
          <w:rFonts w:eastAsia="SimSun"/>
        </w:rPr>
        <w:t xml:space="preserve"> </w:t>
      </w:r>
      <w:r w:rsidRPr="003316FD">
        <w:rPr>
          <w:rFonts w:eastAsia="SimSun"/>
          <w:lang w:eastAsia="zh-CN"/>
        </w:rPr>
        <w:t>While all electoral groups are represen</w:t>
      </w:r>
      <w:r w:rsidR="00FD20CD" w:rsidRPr="003316FD">
        <w:rPr>
          <w:rFonts w:eastAsia="SimSun"/>
          <w:lang w:eastAsia="zh-CN"/>
        </w:rPr>
        <w:t>ted with the exception of Group </w:t>
      </w:r>
      <w:r w:rsidRPr="003316FD">
        <w:rPr>
          <w:rFonts w:eastAsia="SimSun"/>
          <w:lang w:eastAsia="zh-CN"/>
        </w:rPr>
        <w:t xml:space="preserve">I, </w:t>
      </w:r>
      <w:r w:rsidR="005D320B" w:rsidRPr="003316FD">
        <w:rPr>
          <w:rFonts w:eastAsia="SimSun"/>
          <w:lang w:eastAsia="zh-CN"/>
        </w:rPr>
        <w:t>more than</w:t>
      </w:r>
      <w:r w:rsidRPr="003316FD">
        <w:rPr>
          <w:rFonts w:eastAsia="SimSun"/>
          <w:lang w:eastAsia="zh-CN"/>
        </w:rPr>
        <w:t xml:space="preserve"> half of the requests approved were submitted by States Parties from Electoral Group </w:t>
      </w:r>
      <w:proofErr w:type="gramStart"/>
      <w:r w:rsidRPr="003316FD">
        <w:rPr>
          <w:rFonts w:eastAsia="SimSun"/>
          <w:lang w:eastAsia="zh-CN"/>
        </w:rPr>
        <w:t>V(</w:t>
      </w:r>
      <w:proofErr w:type="gramEnd"/>
      <w:r w:rsidRPr="003316FD">
        <w:rPr>
          <w:rFonts w:eastAsia="SimSun"/>
          <w:lang w:eastAsia="zh-CN"/>
        </w:rPr>
        <w:t xml:space="preserve">a), Africa, representing </w:t>
      </w:r>
      <w:r w:rsidRPr="003316FD">
        <w:t>US$</w:t>
      </w:r>
      <w:r w:rsidR="005D320B" w:rsidRPr="003316FD">
        <w:t>1.84 million</w:t>
      </w:r>
      <w:r w:rsidRPr="003316FD">
        <w:t xml:space="preserve"> or </w:t>
      </w:r>
      <w:r w:rsidR="005D320B" w:rsidRPr="003316FD">
        <w:t>66</w:t>
      </w:r>
      <w:r w:rsidRPr="003316FD">
        <w:t>% of the amount of assistance granted, in line with UNESCO’s global priority Africa.</w:t>
      </w:r>
      <w:r w:rsidR="00657370" w:rsidRPr="003316FD">
        <w:t xml:space="preserve"> </w:t>
      </w:r>
      <w:r w:rsidR="000752FE">
        <w:t>It is also to be noted that s</w:t>
      </w:r>
      <w:r w:rsidR="00BE011A">
        <w:t xml:space="preserve">ome </w:t>
      </w:r>
      <w:r w:rsidR="00293758">
        <w:t>S</w:t>
      </w:r>
      <w:r w:rsidR="00BE011A">
        <w:t xml:space="preserve">tates in Africa </w:t>
      </w:r>
      <w:r w:rsidR="000752FE">
        <w:t xml:space="preserve">have received </w:t>
      </w:r>
      <w:r w:rsidR="002F07D9">
        <w:t>International Assistance</w:t>
      </w:r>
      <w:r w:rsidR="000752FE">
        <w:t xml:space="preserve"> several times to finance different projects</w:t>
      </w:r>
      <w:r w:rsidR="00BE011A">
        <w:t>.</w:t>
      </w:r>
    </w:p>
    <w:p w14:paraId="27D42C2E" w14:textId="046448DB" w:rsidR="00C340A7" w:rsidRPr="00F9202D" w:rsidRDefault="00657370" w:rsidP="00FD20CD">
      <w:pPr>
        <w:pStyle w:val="COMPara"/>
        <w:keepNext/>
        <w:keepLines/>
        <w:spacing w:before="240" w:after="0"/>
        <w:ind w:left="567" w:hanging="567"/>
        <w:jc w:val="both"/>
      </w:pPr>
      <w:r w:rsidRPr="00F9202D">
        <w:t>The most frequent purpose of granting</w:t>
      </w:r>
      <w:r w:rsidR="006B44B6" w:rsidRPr="00F9202D">
        <w:t xml:space="preserve"> </w:t>
      </w:r>
      <w:r w:rsidR="002F07D9">
        <w:t>International Assistance</w:t>
      </w:r>
      <w:r w:rsidR="006B44B6" w:rsidRPr="00F9202D">
        <w:t xml:space="preserve">, both in terms of assistance approved and amounts </w:t>
      </w:r>
      <w:r w:rsidR="006B44B6" w:rsidRPr="00F9202D">
        <w:rPr>
          <w:rFonts w:eastAsia="SimSun"/>
        </w:rPr>
        <w:t>granted</w:t>
      </w:r>
      <w:r w:rsidR="006B44B6" w:rsidRPr="00F9202D">
        <w:t xml:space="preserve">, </w:t>
      </w:r>
      <w:r w:rsidRPr="00F9202D">
        <w:rPr>
          <w:rFonts w:eastAsia="SimSun"/>
          <w:lang w:eastAsia="zh-CN"/>
        </w:rPr>
        <w:t>is</w:t>
      </w:r>
      <w:r w:rsidRPr="00F9202D">
        <w:t xml:space="preserve"> to </w:t>
      </w:r>
      <w:r w:rsidRPr="00F9202D">
        <w:rPr>
          <w:rStyle w:val="hps"/>
        </w:rPr>
        <w:t xml:space="preserve">support </w:t>
      </w:r>
      <w:r w:rsidR="00E77096" w:rsidRPr="00F9202D">
        <w:rPr>
          <w:rStyle w:val="hps"/>
        </w:rPr>
        <w:t>the preparation of inventories</w:t>
      </w:r>
      <w:r w:rsidRPr="00F9202D">
        <w:rPr>
          <w:rStyle w:val="hps"/>
        </w:rPr>
        <w:t xml:space="preserve"> </w:t>
      </w:r>
      <w:r w:rsidRPr="00F9202D">
        <w:t>of intangible cultural heritage present in the territory of beneficiary States</w:t>
      </w:r>
      <w:r w:rsidR="00E77096" w:rsidRPr="00F9202D">
        <w:t xml:space="preserve"> Parties, as provided in Article 20 (b). Except for a brief interruption in 2014, this trend </w:t>
      </w:r>
      <w:r w:rsidR="00D53EB4" w:rsidRPr="00F9202D">
        <w:t>has been constant</w:t>
      </w:r>
      <w:r w:rsidR="00E77096" w:rsidRPr="00F9202D">
        <w:t>.</w:t>
      </w:r>
    </w:p>
    <w:p w14:paraId="116C478D" w14:textId="42D4C5D7" w:rsidR="004D0999" w:rsidRPr="003316FD" w:rsidRDefault="004D0999" w:rsidP="00D06268">
      <w:pPr>
        <w:pStyle w:val="Marge"/>
        <w:spacing w:before="120" w:after="120"/>
        <w:ind w:left="567"/>
        <w:jc w:val="center"/>
        <w:rPr>
          <w:rFonts w:cs="Arial"/>
          <w:szCs w:val="22"/>
          <w:lang w:val="en-GB"/>
        </w:rPr>
      </w:pPr>
      <w:r>
        <w:rPr>
          <w:noProof/>
          <w:lang w:eastAsia="ko-KR"/>
        </w:rPr>
        <w:drawing>
          <wp:inline distT="0" distB="0" distL="0" distR="0" wp14:anchorId="35B1AE88" wp14:editId="226FBF0B">
            <wp:extent cx="5505450" cy="36480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9498519" w14:textId="439C6828" w:rsidR="00C25D77" w:rsidRPr="0032052D" w:rsidRDefault="006E5B41" w:rsidP="008F1881">
      <w:pPr>
        <w:pStyle w:val="Marge"/>
        <w:keepNext/>
        <w:keepLines/>
        <w:numPr>
          <w:ilvl w:val="0"/>
          <w:numId w:val="9"/>
        </w:numPr>
        <w:spacing w:before="120" w:after="120"/>
        <w:ind w:left="567" w:hanging="567"/>
        <w:rPr>
          <w:rFonts w:cs="Arial"/>
          <w:szCs w:val="22"/>
          <w:lang w:val="en-GB"/>
        </w:rPr>
      </w:pPr>
      <w:r w:rsidRPr="00F9202D">
        <w:rPr>
          <w:rFonts w:cs="Arial"/>
          <w:szCs w:val="22"/>
          <w:lang w:val="en-GB"/>
        </w:rPr>
        <w:lastRenderedPageBreak/>
        <w:t xml:space="preserve">Demand for preparatory assistance has declined over the years and </w:t>
      </w:r>
      <w:r w:rsidR="00F9202D">
        <w:rPr>
          <w:rFonts w:cs="Arial"/>
          <w:szCs w:val="22"/>
          <w:lang w:val="en-GB"/>
        </w:rPr>
        <w:t>no request was received</w:t>
      </w:r>
      <w:r w:rsidRPr="00F9202D">
        <w:rPr>
          <w:rFonts w:cs="Arial"/>
          <w:szCs w:val="22"/>
          <w:lang w:val="en-GB"/>
        </w:rPr>
        <w:t xml:space="preserve"> in the past two</w:t>
      </w:r>
      <w:r w:rsidR="00BE011A" w:rsidRPr="00F9202D">
        <w:rPr>
          <w:rFonts w:cs="Arial"/>
          <w:szCs w:val="22"/>
          <w:lang w:val="en-GB"/>
        </w:rPr>
        <w:t xml:space="preserve"> cycles</w:t>
      </w:r>
      <w:r w:rsidRPr="00F9202D">
        <w:rPr>
          <w:rFonts w:cs="Arial"/>
          <w:szCs w:val="22"/>
          <w:lang w:val="en-GB"/>
        </w:rPr>
        <w:t xml:space="preserve">. In addition, most of the preparatory assistance </w:t>
      </w:r>
      <w:r w:rsidR="00B622AA" w:rsidRPr="00F9202D">
        <w:rPr>
          <w:rFonts w:cs="Arial"/>
          <w:szCs w:val="22"/>
          <w:lang w:val="en-GB"/>
        </w:rPr>
        <w:t>has been granted for</w:t>
      </w:r>
      <w:r w:rsidR="00B622AA" w:rsidRPr="003316FD">
        <w:rPr>
          <w:rFonts w:cs="Arial"/>
          <w:szCs w:val="22"/>
          <w:lang w:val="en-GB"/>
        </w:rPr>
        <w:t xml:space="preserve"> the elaboration of nominations to the Urgent Safeguarding List with no preparatory assistance granted for the elaboration of proposals for the Register of Best Saf</w:t>
      </w:r>
      <w:r w:rsidR="00B1435C">
        <w:rPr>
          <w:rFonts w:cs="Arial"/>
          <w:szCs w:val="22"/>
          <w:lang w:val="en-GB"/>
        </w:rPr>
        <w:t>eguarding Practices since 2009.</w:t>
      </w:r>
    </w:p>
    <w:p w14:paraId="07A5AE3A" w14:textId="32698613" w:rsidR="00AE466A" w:rsidRPr="003316FD" w:rsidRDefault="00AE466A" w:rsidP="007F4366">
      <w:pPr>
        <w:pStyle w:val="Marge"/>
        <w:spacing w:before="120" w:after="120"/>
        <w:ind w:left="567"/>
        <w:jc w:val="center"/>
        <w:rPr>
          <w:rFonts w:cs="Arial"/>
          <w:szCs w:val="22"/>
          <w:lang w:val="en-GB"/>
        </w:rPr>
      </w:pPr>
      <w:r>
        <w:rPr>
          <w:noProof/>
          <w:lang w:eastAsia="ko-KR"/>
        </w:rPr>
        <w:drawing>
          <wp:inline distT="0" distB="0" distL="0" distR="0" wp14:anchorId="154966AA" wp14:editId="4DA76C69">
            <wp:extent cx="5126400" cy="3308400"/>
            <wp:effectExtent l="0" t="0" r="0" b="635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1A15CE0" w14:textId="2144DE92" w:rsidR="00DB58D6" w:rsidRPr="003316FD" w:rsidRDefault="00620D76" w:rsidP="008F1881">
      <w:pPr>
        <w:pStyle w:val="Marge"/>
        <w:keepLines/>
        <w:numPr>
          <w:ilvl w:val="0"/>
          <w:numId w:val="9"/>
        </w:numPr>
        <w:spacing w:before="240" w:after="120"/>
        <w:ind w:left="567" w:hanging="567"/>
        <w:rPr>
          <w:rFonts w:cs="Arial"/>
          <w:szCs w:val="22"/>
          <w:lang w:val="en-GB"/>
        </w:rPr>
      </w:pPr>
      <w:r w:rsidRPr="003316FD">
        <w:rPr>
          <w:rFonts w:cs="Arial"/>
          <w:szCs w:val="22"/>
          <w:lang w:val="en-GB"/>
        </w:rPr>
        <w:t xml:space="preserve">The largest number of projects approved </w:t>
      </w:r>
      <w:r w:rsidR="00DB7C3D" w:rsidRPr="003316FD">
        <w:rPr>
          <w:rFonts w:cs="Arial"/>
          <w:szCs w:val="22"/>
          <w:lang w:val="en-GB"/>
        </w:rPr>
        <w:t xml:space="preserve">(74%) concerned projects with budgets not exceeding US$25,000 (40 in total, of </w:t>
      </w:r>
      <w:r w:rsidR="00657370" w:rsidRPr="003316FD">
        <w:rPr>
          <w:rFonts w:cs="Arial"/>
          <w:szCs w:val="22"/>
          <w:lang w:val="en-GB"/>
        </w:rPr>
        <w:t xml:space="preserve">which </w:t>
      </w:r>
      <w:r w:rsidR="00DB7C3D" w:rsidRPr="003316FD">
        <w:rPr>
          <w:rFonts w:cs="Arial"/>
          <w:szCs w:val="22"/>
          <w:lang w:val="en-GB"/>
        </w:rPr>
        <w:t>19</w:t>
      </w:r>
      <w:r w:rsidR="00657370" w:rsidRPr="003316FD">
        <w:rPr>
          <w:rFonts w:cs="Arial"/>
          <w:szCs w:val="22"/>
          <w:lang w:val="en-GB"/>
        </w:rPr>
        <w:t xml:space="preserve"> were for </w:t>
      </w:r>
      <w:r w:rsidR="00DB7C3D" w:rsidRPr="003316FD">
        <w:rPr>
          <w:rFonts w:cs="Arial"/>
          <w:szCs w:val="22"/>
          <w:lang w:val="en-GB"/>
        </w:rPr>
        <w:t xml:space="preserve">preparatory </w:t>
      </w:r>
      <w:r w:rsidR="00657370" w:rsidRPr="003316FD">
        <w:rPr>
          <w:rFonts w:cs="Arial"/>
          <w:szCs w:val="22"/>
          <w:lang w:val="en-GB"/>
        </w:rPr>
        <w:t>assistance</w:t>
      </w:r>
      <w:r w:rsidR="00DB7C3D" w:rsidRPr="003316FD">
        <w:rPr>
          <w:rFonts w:cs="Arial"/>
          <w:szCs w:val="22"/>
          <w:lang w:val="en-GB"/>
        </w:rPr>
        <w:t xml:space="preserve">) and account for 24% of the assistance granted. </w:t>
      </w:r>
      <w:r w:rsidR="00101275" w:rsidRPr="003316FD">
        <w:rPr>
          <w:rFonts w:cs="Arial"/>
          <w:szCs w:val="22"/>
          <w:lang w:val="en-GB"/>
        </w:rPr>
        <w:t xml:space="preserve">Although representing only 19% of projects benefiting from </w:t>
      </w:r>
      <w:r w:rsidR="002F07D9">
        <w:rPr>
          <w:rFonts w:cs="Arial"/>
          <w:szCs w:val="22"/>
          <w:lang w:val="en-GB"/>
        </w:rPr>
        <w:t>International Assistance</w:t>
      </w:r>
      <w:r w:rsidR="00101275" w:rsidRPr="003316FD">
        <w:rPr>
          <w:rFonts w:cs="Arial"/>
          <w:szCs w:val="22"/>
          <w:lang w:val="en-GB"/>
        </w:rPr>
        <w:t>, the bulk of assistance granted went to support projects with budgets greater than US$100,000, followed by projects eligible to emergency assistance rega</w:t>
      </w:r>
      <w:r w:rsidR="00B1435C">
        <w:rPr>
          <w:rFonts w:cs="Arial"/>
          <w:szCs w:val="22"/>
          <w:lang w:val="en-GB"/>
        </w:rPr>
        <w:t>rdless of the requested amount.</w:t>
      </w:r>
    </w:p>
    <w:p w14:paraId="4BBF6B28" w14:textId="4200AF1B" w:rsidR="00C25D77" w:rsidRPr="00A02FDA" w:rsidRDefault="00D06268" w:rsidP="00D06268">
      <w:pPr>
        <w:pStyle w:val="Marge"/>
        <w:spacing w:before="120" w:after="120"/>
        <w:ind w:left="567"/>
        <w:jc w:val="center"/>
        <w:rPr>
          <w:rFonts w:eastAsia="Malgun Gothic" w:cs="Arial"/>
          <w:szCs w:val="22"/>
          <w:lang w:val="en-GB" w:eastAsia="ko-KR"/>
        </w:rPr>
      </w:pPr>
      <w:r w:rsidRPr="003316FD">
        <w:rPr>
          <w:noProof/>
          <w:lang w:eastAsia="ko-KR"/>
        </w:rPr>
        <w:drawing>
          <wp:inline distT="0" distB="0" distL="0" distR="0" wp14:anchorId="2F4A7D85" wp14:editId="57BE2192">
            <wp:extent cx="4996815" cy="3327400"/>
            <wp:effectExtent l="0" t="0" r="0" b="63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6D7A3CB" w14:textId="6FB2EA04" w:rsidR="00101275" w:rsidRPr="00CA1DC6" w:rsidRDefault="00DB58D6" w:rsidP="008935D7">
      <w:pPr>
        <w:pStyle w:val="Marge"/>
        <w:keepLines/>
        <w:numPr>
          <w:ilvl w:val="0"/>
          <w:numId w:val="9"/>
        </w:numPr>
        <w:spacing w:before="120"/>
        <w:ind w:left="567" w:hanging="567"/>
        <w:rPr>
          <w:rFonts w:cs="Arial"/>
          <w:szCs w:val="22"/>
          <w:lang w:val="en-GB"/>
        </w:rPr>
      </w:pPr>
      <w:r w:rsidRPr="003316FD">
        <w:rPr>
          <w:rFonts w:cs="Arial"/>
          <w:szCs w:val="22"/>
          <w:lang w:val="en-GB"/>
        </w:rPr>
        <w:lastRenderedPageBreak/>
        <w:t>Even before the sixth General Assembly adopted the amendments to the Operational Directives which increased the ceiling of the assistance examined by the Bureau from US$25,000 to US$100,000, 80% of approved projects (that is 43 projects accounting for 47% of the assistance granted) were examined by the Bureau on the basis of recommendations made by the Secretariat</w:t>
      </w:r>
      <w:r w:rsidR="00427FB8">
        <w:rPr>
          <w:rFonts w:cs="Arial"/>
          <w:szCs w:val="22"/>
          <w:lang w:val="en-GB"/>
        </w:rPr>
        <w:t>, rather than the</w:t>
      </w:r>
      <w:r w:rsidR="00312EFA">
        <w:rPr>
          <w:rFonts w:cs="Arial"/>
          <w:szCs w:val="22"/>
          <w:lang w:val="en-GB"/>
        </w:rPr>
        <w:t xml:space="preserve"> Evaluation Body</w:t>
      </w:r>
      <w:r w:rsidRPr="003316FD">
        <w:rPr>
          <w:rFonts w:cs="Arial"/>
          <w:szCs w:val="22"/>
          <w:lang w:val="en-GB"/>
        </w:rPr>
        <w:t xml:space="preserve">. </w:t>
      </w:r>
      <w:r w:rsidR="0081192A" w:rsidRPr="003316FD">
        <w:rPr>
          <w:rFonts w:cs="Arial"/>
          <w:szCs w:val="22"/>
          <w:lang w:val="en-GB"/>
        </w:rPr>
        <w:t xml:space="preserve">Leaving aside </w:t>
      </w:r>
      <w:r w:rsidR="002F07D9">
        <w:rPr>
          <w:rFonts w:cs="Arial"/>
          <w:szCs w:val="22"/>
          <w:lang w:val="en-GB"/>
        </w:rPr>
        <w:t>International Assistance</w:t>
      </w:r>
      <w:r w:rsidR="0081192A" w:rsidRPr="003316FD">
        <w:rPr>
          <w:rFonts w:cs="Arial"/>
          <w:szCs w:val="22"/>
          <w:lang w:val="en-GB"/>
        </w:rPr>
        <w:t xml:space="preserve"> requests that were processed but not approved, </w:t>
      </w:r>
      <w:r w:rsidRPr="003316FD">
        <w:rPr>
          <w:rFonts w:cs="Arial"/>
          <w:szCs w:val="22"/>
          <w:lang w:val="en-GB"/>
        </w:rPr>
        <w:t xml:space="preserve">the workload of both the Bureau and the Secretariat </w:t>
      </w:r>
      <w:r w:rsidR="0081192A" w:rsidRPr="003316FD">
        <w:rPr>
          <w:rFonts w:cs="Arial"/>
          <w:szCs w:val="22"/>
          <w:lang w:val="en-GB"/>
        </w:rPr>
        <w:t>seems</w:t>
      </w:r>
      <w:r w:rsidRPr="003316FD">
        <w:rPr>
          <w:rFonts w:cs="Arial"/>
          <w:szCs w:val="22"/>
          <w:lang w:val="en-GB"/>
        </w:rPr>
        <w:t xml:space="preserve"> thus considerably greater than that of the </w:t>
      </w:r>
      <w:r w:rsidRPr="00F9202D">
        <w:rPr>
          <w:rFonts w:cs="Arial"/>
          <w:szCs w:val="22"/>
          <w:lang w:val="en-GB"/>
        </w:rPr>
        <w:t>Committee</w:t>
      </w:r>
      <w:r w:rsidR="00F9202D" w:rsidRPr="00F25799">
        <w:rPr>
          <w:rFonts w:cs="Arial"/>
          <w:szCs w:val="22"/>
          <w:lang w:val="en-GB"/>
        </w:rPr>
        <w:t xml:space="preserve"> (</w:t>
      </w:r>
      <w:r w:rsidR="00F9202D" w:rsidRPr="00CA1DC6">
        <w:rPr>
          <w:rFonts w:cs="Arial"/>
          <w:szCs w:val="22"/>
          <w:lang w:val="en-GB"/>
        </w:rPr>
        <w:t>which has approved 11 projects</w:t>
      </w:r>
      <w:r w:rsidR="00F9202D">
        <w:rPr>
          <w:rFonts w:cs="Arial"/>
          <w:szCs w:val="22"/>
          <w:lang w:val="en-GB"/>
        </w:rPr>
        <w:t xml:space="preserve"> to date)</w:t>
      </w:r>
      <w:r w:rsidRPr="003316FD">
        <w:rPr>
          <w:rFonts w:cs="Arial"/>
          <w:szCs w:val="22"/>
          <w:lang w:val="en-GB"/>
        </w:rPr>
        <w:t xml:space="preserve"> and its evaluation bodies. This imbalance in the workload between the governing bodies of the Convention is e</w:t>
      </w:r>
      <w:r w:rsidR="0081192A" w:rsidRPr="003316FD">
        <w:rPr>
          <w:rFonts w:cs="Arial"/>
          <w:szCs w:val="22"/>
          <w:lang w:val="en-GB"/>
        </w:rPr>
        <w:t xml:space="preserve">xpected to increase with the </w:t>
      </w:r>
      <w:r w:rsidR="00F25799">
        <w:rPr>
          <w:rFonts w:cs="Arial"/>
          <w:szCs w:val="22"/>
          <w:lang w:val="en-GB"/>
        </w:rPr>
        <w:t>revised</w:t>
      </w:r>
      <w:r w:rsidR="00F25799" w:rsidRPr="003316FD">
        <w:rPr>
          <w:rFonts w:cs="Arial"/>
          <w:szCs w:val="22"/>
          <w:lang w:val="en-GB"/>
        </w:rPr>
        <w:t xml:space="preserve"> </w:t>
      </w:r>
      <w:r w:rsidR="0081192A" w:rsidRPr="003316FD">
        <w:rPr>
          <w:rFonts w:cs="Arial"/>
          <w:szCs w:val="22"/>
          <w:lang w:val="en-GB"/>
        </w:rPr>
        <w:t>Operational Directives</w:t>
      </w:r>
      <w:r w:rsidRPr="003316FD">
        <w:rPr>
          <w:rFonts w:cs="Arial"/>
          <w:szCs w:val="22"/>
          <w:lang w:val="en-GB"/>
        </w:rPr>
        <w:t>.</w:t>
      </w:r>
      <w:r w:rsidR="00DB397A">
        <w:rPr>
          <w:rFonts w:cs="Arial"/>
          <w:szCs w:val="22"/>
          <w:lang w:val="en-GB"/>
        </w:rPr>
        <w:t xml:space="preserve"> As shown in the above chart, only 7 % of the approved projects were for a budget between US$25,000 and US$100,000. In a conservative hypothesis that this situation </w:t>
      </w:r>
      <w:r w:rsidR="00DB397A" w:rsidRPr="00CA1DC6">
        <w:rPr>
          <w:rFonts w:cs="Arial"/>
          <w:szCs w:val="22"/>
          <w:lang w:val="en-GB"/>
        </w:rPr>
        <w:t xml:space="preserve">continues, </w:t>
      </w:r>
      <w:r w:rsidRPr="00CA1DC6">
        <w:rPr>
          <w:rFonts w:cs="Arial"/>
          <w:szCs w:val="22"/>
          <w:lang w:val="en-GB"/>
        </w:rPr>
        <w:t xml:space="preserve">the </w:t>
      </w:r>
      <w:r w:rsidR="0081192A" w:rsidRPr="00CA1DC6">
        <w:rPr>
          <w:rFonts w:cs="Arial"/>
          <w:szCs w:val="22"/>
          <w:lang w:val="en-GB"/>
        </w:rPr>
        <w:t>Bureau</w:t>
      </w:r>
      <w:r w:rsidRPr="00CA1DC6">
        <w:rPr>
          <w:rFonts w:cs="Arial"/>
          <w:szCs w:val="22"/>
          <w:lang w:val="en-GB"/>
        </w:rPr>
        <w:t xml:space="preserve"> would be </w:t>
      </w:r>
      <w:r w:rsidR="001E68DF" w:rsidRPr="00CA1DC6">
        <w:rPr>
          <w:rFonts w:cs="Arial"/>
          <w:szCs w:val="22"/>
          <w:lang w:val="en-GB"/>
        </w:rPr>
        <w:t xml:space="preserve">then </w:t>
      </w:r>
      <w:r w:rsidRPr="00CA1DC6">
        <w:rPr>
          <w:rFonts w:cs="Arial"/>
          <w:szCs w:val="22"/>
          <w:lang w:val="en-GB"/>
        </w:rPr>
        <w:t xml:space="preserve">responsible, at least, </w:t>
      </w:r>
      <w:r w:rsidR="00CA1DC6">
        <w:rPr>
          <w:rFonts w:cs="Arial"/>
          <w:szCs w:val="22"/>
          <w:lang w:val="en-GB"/>
        </w:rPr>
        <w:t xml:space="preserve">for </w:t>
      </w:r>
      <w:r w:rsidR="0081192A" w:rsidRPr="00CA1DC6">
        <w:rPr>
          <w:rFonts w:cs="Arial"/>
          <w:szCs w:val="22"/>
          <w:lang w:val="en-GB"/>
        </w:rPr>
        <w:t>87%</w:t>
      </w:r>
      <w:r w:rsidR="00F25799" w:rsidRPr="00CA1DC6">
        <w:rPr>
          <w:rFonts w:cs="Arial"/>
          <w:szCs w:val="22"/>
          <w:lang w:val="en-GB"/>
        </w:rPr>
        <w:t xml:space="preserve"> (</w:t>
      </w:r>
      <w:r w:rsidR="00E52506">
        <w:rPr>
          <w:rFonts w:cs="Arial"/>
          <w:szCs w:val="22"/>
          <w:lang w:val="en-GB"/>
        </w:rPr>
        <w:t xml:space="preserve">that is </w:t>
      </w:r>
      <w:r w:rsidR="00F25799" w:rsidRPr="00CA1DC6">
        <w:rPr>
          <w:rFonts w:cs="Arial"/>
          <w:szCs w:val="22"/>
          <w:lang w:val="en-GB"/>
        </w:rPr>
        <w:t xml:space="preserve">100% </w:t>
      </w:r>
      <w:r w:rsidR="00E52506">
        <w:rPr>
          <w:rFonts w:cs="Arial"/>
          <w:szCs w:val="22"/>
          <w:lang w:val="en-GB"/>
        </w:rPr>
        <w:t>minus</w:t>
      </w:r>
      <w:r w:rsidR="00E52506" w:rsidRPr="00CA1DC6">
        <w:rPr>
          <w:rFonts w:cs="Arial"/>
          <w:szCs w:val="22"/>
          <w:lang w:val="en-GB"/>
        </w:rPr>
        <w:t xml:space="preserve"> </w:t>
      </w:r>
      <w:r w:rsidR="00F25799" w:rsidRPr="00CA1DC6">
        <w:rPr>
          <w:rFonts w:cs="Arial"/>
          <w:szCs w:val="22"/>
          <w:lang w:val="en-GB"/>
        </w:rPr>
        <w:t>13%</w:t>
      </w:r>
      <w:r w:rsidR="00DB397A" w:rsidRPr="00CA1DC6">
        <w:rPr>
          <w:rFonts w:cs="Arial"/>
          <w:szCs w:val="22"/>
          <w:lang w:val="en-GB"/>
        </w:rPr>
        <w:t xml:space="preserve"> representing projects greater than US$100,000</w:t>
      </w:r>
      <w:r w:rsidR="00F25799" w:rsidRPr="00CA1DC6">
        <w:rPr>
          <w:rFonts w:cs="Arial"/>
          <w:szCs w:val="22"/>
          <w:lang w:val="en-GB"/>
        </w:rPr>
        <w:t>)</w:t>
      </w:r>
      <w:r w:rsidR="0081192A" w:rsidRPr="00CA1DC6">
        <w:rPr>
          <w:rFonts w:cs="Arial"/>
          <w:szCs w:val="22"/>
          <w:lang w:val="en-GB"/>
        </w:rPr>
        <w:t xml:space="preserve"> of approved projects</w:t>
      </w:r>
      <w:r w:rsidR="00E9712D" w:rsidRPr="00CA1DC6">
        <w:rPr>
          <w:rFonts w:cs="Arial"/>
          <w:szCs w:val="22"/>
          <w:lang w:val="en-GB"/>
        </w:rPr>
        <w:t xml:space="preserve"> accounting for 56%</w:t>
      </w:r>
      <w:r w:rsidR="00F25799" w:rsidRPr="00CA1DC6">
        <w:rPr>
          <w:rFonts w:cs="Arial"/>
          <w:szCs w:val="22"/>
          <w:lang w:val="en-GB"/>
        </w:rPr>
        <w:t xml:space="preserve"> (100% </w:t>
      </w:r>
      <w:r w:rsidR="00E52506">
        <w:rPr>
          <w:rFonts w:cs="Arial"/>
          <w:szCs w:val="22"/>
          <w:lang w:val="en-GB"/>
        </w:rPr>
        <w:t>minus</w:t>
      </w:r>
      <w:r w:rsidR="00E52506" w:rsidRPr="00CA1DC6">
        <w:rPr>
          <w:rFonts w:cs="Arial"/>
          <w:szCs w:val="22"/>
          <w:lang w:val="en-GB"/>
        </w:rPr>
        <w:t xml:space="preserve"> </w:t>
      </w:r>
      <w:r w:rsidR="00F25799" w:rsidRPr="00CA1DC6">
        <w:rPr>
          <w:rFonts w:cs="Arial"/>
          <w:szCs w:val="22"/>
          <w:lang w:val="en-GB"/>
        </w:rPr>
        <w:t>44%</w:t>
      </w:r>
      <w:r w:rsidR="00DB397A" w:rsidRPr="00CA1DC6">
        <w:rPr>
          <w:rFonts w:cs="Arial"/>
          <w:szCs w:val="22"/>
          <w:lang w:val="en-GB"/>
        </w:rPr>
        <w:t xml:space="preserve"> representing assistance granted for projects greater than US$100,000</w:t>
      </w:r>
      <w:r w:rsidR="00F25799" w:rsidRPr="00CA1DC6">
        <w:rPr>
          <w:rFonts w:cs="Arial"/>
          <w:szCs w:val="22"/>
          <w:lang w:val="en-GB"/>
        </w:rPr>
        <w:t>)</w:t>
      </w:r>
      <w:r w:rsidR="00E9712D" w:rsidRPr="00CA1DC6">
        <w:rPr>
          <w:rFonts w:cs="Arial"/>
          <w:szCs w:val="22"/>
          <w:lang w:val="en-GB"/>
        </w:rPr>
        <w:t xml:space="preserve"> of the assistance granted</w:t>
      </w:r>
      <w:r w:rsidR="0081192A" w:rsidRPr="00CA1DC6">
        <w:rPr>
          <w:rFonts w:cs="Arial"/>
          <w:szCs w:val="22"/>
          <w:lang w:val="en-GB"/>
        </w:rPr>
        <w:t>.</w:t>
      </w:r>
      <w:r w:rsidR="00822137" w:rsidRPr="00CA1DC6">
        <w:rPr>
          <w:rFonts w:cs="Arial"/>
          <w:szCs w:val="22"/>
          <w:lang w:val="en-GB"/>
        </w:rPr>
        <w:t xml:space="preserve"> A </w:t>
      </w:r>
      <w:r w:rsidR="00F25799" w:rsidRPr="00CA1DC6">
        <w:rPr>
          <w:rFonts w:cs="Arial"/>
          <w:szCs w:val="22"/>
          <w:lang w:val="en-GB"/>
        </w:rPr>
        <w:t xml:space="preserve">non-negligible </w:t>
      </w:r>
      <w:r w:rsidR="00822137" w:rsidRPr="00CA1DC6">
        <w:rPr>
          <w:rFonts w:cs="Arial"/>
          <w:szCs w:val="22"/>
          <w:lang w:val="en-GB"/>
        </w:rPr>
        <w:t>increase</w:t>
      </w:r>
      <w:r w:rsidR="00CA1DC6" w:rsidRPr="00CA1DC6">
        <w:rPr>
          <w:rFonts w:cs="Arial"/>
          <w:szCs w:val="22"/>
          <w:lang w:val="en-GB"/>
        </w:rPr>
        <w:t xml:space="preserve"> in</w:t>
      </w:r>
      <w:r w:rsidR="00822137" w:rsidRPr="00CA1DC6">
        <w:rPr>
          <w:rFonts w:cs="Arial"/>
          <w:szCs w:val="22"/>
          <w:lang w:val="en-GB"/>
        </w:rPr>
        <w:t xml:space="preserve"> the workload of the Secretariat can therefore be expected as well.</w:t>
      </w:r>
    </w:p>
    <w:p w14:paraId="4B9FFFF8" w14:textId="4005E3E8" w:rsidR="00D95C4C" w:rsidRPr="00CA1DC6" w:rsidRDefault="000B1C8F" w:rsidP="000766AD">
      <w:pPr>
        <w:pStyle w:val="Marge"/>
        <w:numPr>
          <w:ilvl w:val="0"/>
          <w:numId w:val="9"/>
        </w:numPr>
        <w:spacing w:before="120"/>
        <w:ind w:left="567" w:hanging="567"/>
        <w:rPr>
          <w:lang w:val="en-US"/>
        </w:rPr>
      </w:pPr>
      <w:r w:rsidRPr="00CA1DC6">
        <w:rPr>
          <w:lang w:val="en-US"/>
        </w:rPr>
        <w:t>The Committee may wish to adopt the following decision</w:t>
      </w:r>
      <w:r w:rsidR="00D95C4C" w:rsidRPr="00CA1DC6">
        <w:rPr>
          <w:lang w:val="en-US"/>
        </w:rPr>
        <w:t>:</w:t>
      </w:r>
    </w:p>
    <w:p w14:paraId="542BBB50" w14:textId="3170C6E1" w:rsidR="00D95C4C" w:rsidRPr="003316FD" w:rsidRDefault="004A34A0" w:rsidP="00041A66">
      <w:pPr>
        <w:pStyle w:val="COMTitleDecision"/>
        <w:rPr>
          <w:rFonts w:eastAsia="SimSun"/>
        </w:rPr>
      </w:pPr>
      <w:r w:rsidRPr="003316FD">
        <w:t xml:space="preserve">DRAFT </w:t>
      </w:r>
      <w:r w:rsidR="00CB0542" w:rsidRPr="003316FD">
        <w:t>DECISION 11</w:t>
      </w:r>
      <w:r w:rsidR="00EC6F8D" w:rsidRPr="003316FD">
        <w:t>.COM</w:t>
      </w:r>
      <w:r w:rsidR="00D95C4C" w:rsidRPr="003316FD">
        <w:t xml:space="preserve"> </w:t>
      </w:r>
      <w:r w:rsidR="009D3145" w:rsidRPr="003316FD">
        <w:t>9.c</w:t>
      </w:r>
    </w:p>
    <w:p w14:paraId="2CBDCD52" w14:textId="77777777" w:rsidR="00D95C4C" w:rsidRPr="003316FD" w:rsidRDefault="00285BB4" w:rsidP="00035900">
      <w:pPr>
        <w:pStyle w:val="COMPreambulaDecisions"/>
        <w:rPr>
          <w:rFonts w:eastAsia="SimSun"/>
        </w:rPr>
      </w:pPr>
      <w:r w:rsidRPr="003316FD">
        <w:t>The Committee,</w:t>
      </w:r>
    </w:p>
    <w:p w14:paraId="087A93CA" w14:textId="62C6D463" w:rsidR="0057439C" w:rsidRPr="003316FD" w:rsidRDefault="00D95C4C" w:rsidP="00035900">
      <w:pPr>
        <w:pStyle w:val="COMParaDecision"/>
      </w:pPr>
      <w:r w:rsidRPr="003316FD">
        <w:t>Having examined</w:t>
      </w:r>
      <w:r w:rsidRPr="003316FD">
        <w:rPr>
          <w:u w:val="none"/>
        </w:rPr>
        <w:t xml:space="preserve"> doc</w:t>
      </w:r>
      <w:r w:rsidR="00CB0542" w:rsidRPr="003316FD">
        <w:rPr>
          <w:u w:val="none"/>
        </w:rPr>
        <w:t>ument ITH/16/11</w:t>
      </w:r>
      <w:r w:rsidR="00EC6F8D" w:rsidRPr="003316FD">
        <w:rPr>
          <w:u w:val="none"/>
        </w:rPr>
        <w:t>.COM</w:t>
      </w:r>
      <w:r w:rsidR="004A34A0" w:rsidRPr="003316FD">
        <w:rPr>
          <w:u w:val="none"/>
        </w:rPr>
        <w:t>/</w:t>
      </w:r>
      <w:r w:rsidR="00657370" w:rsidRPr="003316FD">
        <w:rPr>
          <w:u w:val="none"/>
        </w:rPr>
        <w:t>9.c</w:t>
      </w:r>
      <w:r w:rsidRPr="003316FD">
        <w:rPr>
          <w:u w:val="none"/>
        </w:rPr>
        <w:t>,</w:t>
      </w:r>
    </w:p>
    <w:p w14:paraId="61846D6B" w14:textId="044FA733" w:rsidR="0057439C" w:rsidRPr="003316FD" w:rsidRDefault="0057439C" w:rsidP="00035900">
      <w:pPr>
        <w:pStyle w:val="COMParaDecision"/>
        <w:rPr>
          <w:u w:val="none"/>
        </w:rPr>
      </w:pPr>
      <w:r w:rsidRPr="003316FD">
        <w:t>Recalling</w:t>
      </w:r>
      <w:r w:rsidR="005B7A35" w:rsidRPr="003316FD">
        <w:rPr>
          <w:u w:val="none"/>
        </w:rPr>
        <w:t xml:space="preserve"> </w:t>
      </w:r>
      <w:r w:rsidR="00657370" w:rsidRPr="003316FD">
        <w:rPr>
          <w:u w:val="none"/>
        </w:rPr>
        <w:t>Article 24.3 of the Convention</w:t>
      </w:r>
    </w:p>
    <w:p w14:paraId="1EB2EDA3" w14:textId="3DC89D14" w:rsidR="00035900" w:rsidRPr="003316FD" w:rsidRDefault="00035900" w:rsidP="00035900">
      <w:pPr>
        <w:pStyle w:val="COMParaDecision"/>
      </w:pPr>
      <w:r w:rsidRPr="003316FD">
        <w:t>Expresses satisfaction</w:t>
      </w:r>
      <w:r w:rsidRPr="003316FD">
        <w:rPr>
          <w:u w:val="none"/>
        </w:rPr>
        <w:t xml:space="preserve"> that countries from Electoral Group V(a) continue to be the main beneficiaries of </w:t>
      </w:r>
      <w:r w:rsidR="002F07D9">
        <w:rPr>
          <w:u w:val="none"/>
        </w:rPr>
        <w:t>International Assistance</w:t>
      </w:r>
      <w:r w:rsidRPr="003316FD">
        <w:rPr>
          <w:u w:val="none"/>
        </w:rPr>
        <w:t xml:space="preserve"> from the Intangible Cultural Heritage Fund and </w:t>
      </w:r>
      <w:r w:rsidRPr="003316FD">
        <w:t>encourages</w:t>
      </w:r>
      <w:r w:rsidRPr="003316FD">
        <w:rPr>
          <w:u w:val="none"/>
        </w:rPr>
        <w:t xml:space="preserve"> countries from other Electoral Groups to consider this mechanism of assistance in their efforts to safeguard the intangible cultural heritage present in </w:t>
      </w:r>
      <w:r w:rsidR="00AA15E7" w:rsidRPr="003316FD">
        <w:rPr>
          <w:u w:val="none"/>
        </w:rPr>
        <w:t>their</w:t>
      </w:r>
      <w:r w:rsidRPr="003316FD">
        <w:rPr>
          <w:u w:val="none"/>
        </w:rPr>
        <w:t xml:space="preserve"> territory;</w:t>
      </w:r>
    </w:p>
    <w:p w14:paraId="24DA757D" w14:textId="543EEB65" w:rsidR="00035900" w:rsidRPr="003316FD" w:rsidRDefault="00035900" w:rsidP="00035900">
      <w:pPr>
        <w:pStyle w:val="COMParaDecision"/>
        <w:rPr>
          <w:u w:val="none"/>
        </w:rPr>
      </w:pPr>
      <w:r w:rsidRPr="003316FD">
        <w:t>Thanks</w:t>
      </w:r>
      <w:r w:rsidRPr="003316FD">
        <w:rPr>
          <w:u w:val="none"/>
        </w:rPr>
        <w:t xml:space="preserve"> beneficiary States for their timely submission</w:t>
      </w:r>
      <w:r w:rsidR="001E68DF">
        <w:rPr>
          <w:u w:val="none"/>
        </w:rPr>
        <w:t xml:space="preserve"> of</w:t>
      </w:r>
      <w:r w:rsidRPr="003316FD">
        <w:rPr>
          <w:u w:val="none"/>
        </w:rPr>
        <w:t xml:space="preserve"> final or progress reports for projects that benefit from </w:t>
      </w:r>
      <w:r w:rsidR="002F07D9">
        <w:rPr>
          <w:u w:val="none"/>
        </w:rPr>
        <w:t>International Assistance</w:t>
      </w:r>
      <w:r w:rsidRPr="003316FD">
        <w:rPr>
          <w:u w:val="none"/>
        </w:rPr>
        <w:t xml:space="preserve"> under the Intangible Cultural Heritage Fund;</w:t>
      </w:r>
    </w:p>
    <w:p w14:paraId="7865B014" w14:textId="713DCA2B" w:rsidR="00267EC9" w:rsidRPr="003316FD" w:rsidRDefault="00267EC9" w:rsidP="00267EC9">
      <w:pPr>
        <w:pStyle w:val="COMParaDecision"/>
      </w:pPr>
      <w:r w:rsidRPr="003316FD">
        <w:t>Appreciates</w:t>
      </w:r>
      <w:r w:rsidRPr="003316FD">
        <w:rPr>
          <w:u w:val="none"/>
        </w:rPr>
        <w:t xml:space="preserve"> the impact that the assistance brought to the beneficiary States for safeguarding intangible cultural heritage present in their </w:t>
      </w:r>
      <w:r w:rsidR="005875BC" w:rsidRPr="003316FD">
        <w:rPr>
          <w:u w:val="none"/>
        </w:rPr>
        <w:t>territor</w:t>
      </w:r>
      <w:r w:rsidR="005875BC">
        <w:rPr>
          <w:u w:val="none"/>
        </w:rPr>
        <w:t>y</w:t>
      </w:r>
      <w:r w:rsidR="005875BC" w:rsidRPr="003316FD">
        <w:rPr>
          <w:u w:val="none"/>
        </w:rPr>
        <w:t xml:space="preserve"> </w:t>
      </w:r>
      <w:r w:rsidRPr="003316FD">
        <w:rPr>
          <w:u w:val="none"/>
        </w:rPr>
        <w:t xml:space="preserve">and </w:t>
      </w:r>
      <w:r w:rsidR="00BE011A">
        <w:rPr>
          <w:u w:val="none"/>
        </w:rPr>
        <w:t xml:space="preserve">further </w:t>
      </w:r>
      <w:r w:rsidRPr="003316FD">
        <w:t>encourages</w:t>
      </w:r>
      <w:r w:rsidRPr="003316FD">
        <w:rPr>
          <w:u w:val="none"/>
        </w:rPr>
        <w:t xml:space="preserve"> them to continue to ensure the sustainability and enhancement of the results of the projects;</w:t>
      </w:r>
    </w:p>
    <w:p w14:paraId="73EEDB39" w14:textId="62205462" w:rsidR="00267EC9" w:rsidRPr="003316FD" w:rsidRDefault="009C60AB" w:rsidP="00267EC9">
      <w:pPr>
        <w:pStyle w:val="COMParaDecision"/>
      </w:pPr>
      <w:r w:rsidRPr="003316FD">
        <w:t>Congratulates</w:t>
      </w:r>
      <w:r w:rsidRPr="003316FD">
        <w:rPr>
          <w:u w:val="none"/>
        </w:rPr>
        <w:t xml:space="preserve"> Morocco for submitting a nomination to the List of Intangible Cultural Heritage in Need of Urgent Safeguarding as a result of the preparatory assistance granted by its Bureau;</w:t>
      </w:r>
    </w:p>
    <w:p w14:paraId="284160A6" w14:textId="49AAA83D" w:rsidR="009C60AB" w:rsidRPr="003316FD" w:rsidRDefault="009C60AB" w:rsidP="009C60AB">
      <w:pPr>
        <w:pStyle w:val="COMParaDecision"/>
      </w:pPr>
      <w:r w:rsidRPr="003316FD">
        <w:t>Regrets</w:t>
      </w:r>
      <w:r w:rsidRPr="003316FD">
        <w:rPr>
          <w:u w:val="none"/>
        </w:rPr>
        <w:t xml:space="preserve"> the non-use of the preparatory assistance mechanism for two consecutive years;</w:t>
      </w:r>
    </w:p>
    <w:p w14:paraId="067C8F0D" w14:textId="4E8593A7" w:rsidR="00035900" w:rsidRPr="00312EFA" w:rsidRDefault="00035900" w:rsidP="00035900">
      <w:pPr>
        <w:pStyle w:val="COMParaDecision"/>
        <w:rPr>
          <w:u w:val="none"/>
        </w:rPr>
      </w:pPr>
      <w:r w:rsidRPr="00CA1DC6">
        <w:t>Requests</w:t>
      </w:r>
      <w:r w:rsidRPr="00CA1DC6">
        <w:rPr>
          <w:u w:val="none"/>
        </w:rPr>
        <w:t xml:space="preserve"> the Secretariat to ensure, whenever possible, that contracts established with beneficiary States provide for the submission of </w:t>
      </w:r>
      <w:r w:rsidR="00BE011A" w:rsidRPr="00CA1DC6">
        <w:rPr>
          <w:u w:val="none"/>
        </w:rPr>
        <w:t xml:space="preserve">final or </w:t>
      </w:r>
      <w:r w:rsidRPr="00CA1DC6">
        <w:rPr>
          <w:u w:val="none"/>
        </w:rPr>
        <w:t xml:space="preserve">progress reports, as appropriate, </w:t>
      </w:r>
      <w:r w:rsidR="00AA15E7" w:rsidRPr="00CA1DC6">
        <w:rPr>
          <w:u w:val="none"/>
        </w:rPr>
        <w:t xml:space="preserve">by 30 June so that it may take note of the use made of the assistance provided </w:t>
      </w:r>
      <w:r w:rsidR="00312EFA" w:rsidRPr="00CA1DC6">
        <w:rPr>
          <w:u w:val="none"/>
        </w:rPr>
        <w:t xml:space="preserve">in a timely manner </w:t>
      </w:r>
      <w:r w:rsidR="00AA15E7" w:rsidRPr="00CA1DC6">
        <w:rPr>
          <w:u w:val="none"/>
        </w:rPr>
        <w:t xml:space="preserve">and </w:t>
      </w:r>
      <w:r w:rsidR="00AA15E7" w:rsidRPr="00CA1DC6">
        <w:t>invites</w:t>
      </w:r>
      <w:r w:rsidR="00AA15E7" w:rsidRPr="00CA1DC6">
        <w:rPr>
          <w:u w:val="none"/>
        </w:rPr>
        <w:t xml:space="preserve"> current and future beneficiary States to respect the deadlines for submission of reports as established under their respective contracts;</w:t>
      </w:r>
    </w:p>
    <w:p w14:paraId="72E8D191" w14:textId="0B624D85" w:rsidR="00AA15E7" w:rsidRPr="00CA1DC6" w:rsidRDefault="00267EC9" w:rsidP="00F02F65">
      <w:pPr>
        <w:pStyle w:val="COMParaDecision"/>
      </w:pPr>
      <w:r w:rsidRPr="00CA1DC6">
        <w:t>Acknowledges</w:t>
      </w:r>
      <w:r w:rsidRPr="00CA1DC6">
        <w:rPr>
          <w:u w:val="none"/>
        </w:rPr>
        <w:t xml:space="preserve"> the need to enhance the human capacities of the Secretariat on a lasting basis in order </w:t>
      </w:r>
      <w:r w:rsidR="003938C4">
        <w:rPr>
          <w:u w:val="none"/>
        </w:rPr>
        <w:t>to</w:t>
      </w:r>
      <w:r w:rsidRPr="00CA1DC6">
        <w:rPr>
          <w:u w:val="none"/>
        </w:rPr>
        <w:t xml:space="preserve"> provide more sustained support to beneficiary States in the implementation of projects </w:t>
      </w:r>
      <w:r w:rsidR="00C47621" w:rsidRPr="00CA1DC6">
        <w:rPr>
          <w:u w:val="none"/>
        </w:rPr>
        <w:t xml:space="preserve">financed </w:t>
      </w:r>
      <w:r w:rsidRPr="00CA1DC6">
        <w:rPr>
          <w:u w:val="none"/>
        </w:rPr>
        <w:t xml:space="preserve">by </w:t>
      </w:r>
      <w:r w:rsidR="002F07D9">
        <w:rPr>
          <w:u w:val="none"/>
        </w:rPr>
        <w:t>International Assistance</w:t>
      </w:r>
      <w:r w:rsidRPr="00CA1DC6">
        <w:rPr>
          <w:u w:val="none"/>
        </w:rPr>
        <w:t xml:space="preserve"> and better monitor the general im</w:t>
      </w:r>
      <w:r w:rsidR="00B1435C">
        <w:rPr>
          <w:u w:val="none"/>
        </w:rPr>
        <w:t>plementation of this mechanism.</w:t>
      </w:r>
    </w:p>
    <w:p w14:paraId="7F6944D0" w14:textId="03FFD2F0" w:rsidR="006A7E65" w:rsidRPr="003316FD" w:rsidRDefault="006A7E65" w:rsidP="0034539A">
      <w:pPr>
        <w:pStyle w:val="COMParaDecision"/>
        <w:numPr>
          <w:ilvl w:val="0"/>
          <w:numId w:val="0"/>
        </w:numPr>
        <w:jc w:val="left"/>
      </w:pPr>
      <w:r w:rsidRPr="003316FD">
        <w:br w:type="page"/>
      </w:r>
    </w:p>
    <w:p w14:paraId="6F687AB9" w14:textId="24ACE60C" w:rsidR="006A7E65" w:rsidRPr="003316FD" w:rsidRDefault="006A7E65" w:rsidP="006A7E65">
      <w:pPr>
        <w:autoSpaceDE w:val="0"/>
        <w:autoSpaceDN w:val="0"/>
        <w:adjustRightInd w:val="0"/>
        <w:spacing w:before="120" w:after="120"/>
        <w:jc w:val="center"/>
        <w:rPr>
          <w:rFonts w:ascii="Arial" w:hAnsi="Arial" w:cs="Arial"/>
          <w:b/>
          <w:sz w:val="22"/>
          <w:szCs w:val="22"/>
          <w:lang w:val="en-GB"/>
        </w:rPr>
      </w:pPr>
      <w:r w:rsidRPr="003316FD">
        <w:rPr>
          <w:rFonts w:ascii="Arial" w:hAnsi="Arial" w:cs="Arial"/>
          <w:b/>
          <w:sz w:val="22"/>
          <w:szCs w:val="22"/>
          <w:lang w:val="en-GB"/>
        </w:rPr>
        <w:lastRenderedPageBreak/>
        <w:t>ANNEX</w:t>
      </w:r>
    </w:p>
    <w:p w14:paraId="084BE3A9" w14:textId="17C1200A" w:rsidR="0034539A" w:rsidRPr="003316FD" w:rsidRDefault="006A7E65" w:rsidP="00BA5D6E">
      <w:pPr>
        <w:pStyle w:val="COMParaDecision"/>
        <w:numPr>
          <w:ilvl w:val="0"/>
          <w:numId w:val="0"/>
        </w:numPr>
        <w:spacing w:after="360"/>
        <w:jc w:val="center"/>
        <w:rPr>
          <w:u w:val="none"/>
        </w:rPr>
      </w:pPr>
      <w:r w:rsidRPr="003316FD">
        <w:rPr>
          <w:b/>
          <w:u w:val="none"/>
        </w:rPr>
        <w:t>Summary information on State Parties’ reports on the use made of</w:t>
      </w:r>
      <w:r w:rsidRPr="003316FD">
        <w:rPr>
          <w:b/>
          <w:u w:val="none"/>
        </w:rPr>
        <w:br/>
      </w:r>
      <w:r w:rsidR="002F07D9">
        <w:rPr>
          <w:b/>
          <w:u w:val="none"/>
        </w:rPr>
        <w:t>International Assistance</w:t>
      </w:r>
      <w:r w:rsidRPr="003316FD">
        <w:rPr>
          <w:b/>
          <w:u w:val="none"/>
        </w:rPr>
        <w:t xml:space="preserve"> (including preparatory assistance)</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BA5D6E" w:rsidRPr="00D06268" w14:paraId="70D8823D" w14:textId="77777777" w:rsidTr="00260258">
        <w:trPr>
          <w:cantSplit/>
        </w:trPr>
        <w:tc>
          <w:tcPr>
            <w:tcW w:w="2025" w:type="dxa"/>
            <w:shd w:val="clear" w:color="auto" w:fill="auto"/>
            <w:vAlign w:val="center"/>
          </w:tcPr>
          <w:p w14:paraId="1BA15923" w14:textId="77777777" w:rsidR="00BA5D6E" w:rsidRPr="003316FD" w:rsidRDefault="00BA5D6E" w:rsidP="00F02F65">
            <w:pPr>
              <w:pStyle w:val="Marge"/>
              <w:keepNext/>
              <w:tabs>
                <w:tab w:val="clear" w:pos="567"/>
              </w:tabs>
              <w:spacing w:before="120" w:after="120"/>
              <w:jc w:val="center"/>
              <w:outlineLvl w:val="0"/>
              <w:rPr>
                <w:rFonts w:cs="Arial"/>
                <w:b/>
                <w:color w:val="000000"/>
                <w:sz w:val="20"/>
                <w:szCs w:val="20"/>
                <w:lang w:val="en-GB"/>
              </w:rPr>
            </w:pPr>
            <w:r w:rsidRPr="003316FD">
              <w:rPr>
                <w:rFonts w:cs="Arial"/>
                <w:b/>
                <w:color w:val="000000"/>
                <w:sz w:val="20"/>
                <w:szCs w:val="20"/>
                <w:lang w:val="en-GB"/>
              </w:rPr>
              <w:t>Kenya</w:t>
            </w:r>
          </w:p>
        </w:tc>
        <w:tc>
          <w:tcPr>
            <w:tcW w:w="1560" w:type="dxa"/>
            <w:shd w:val="clear" w:color="auto" w:fill="auto"/>
            <w:vAlign w:val="center"/>
          </w:tcPr>
          <w:p w14:paraId="17E54C10" w14:textId="77777777" w:rsidR="00BA5D6E" w:rsidRPr="003316FD" w:rsidRDefault="00BA5D6E" w:rsidP="00F02F65">
            <w:pPr>
              <w:pStyle w:val="Marge"/>
              <w:keepNext/>
              <w:tabs>
                <w:tab w:val="clear" w:pos="567"/>
              </w:tabs>
              <w:spacing w:before="120" w:after="120"/>
              <w:jc w:val="left"/>
              <w:outlineLvl w:val="0"/>
              <w:rPr>
                <w:rFonts w:cs="Arial"/>
                <w:b/>
                <w:color w:val="000000"/>
                <w:sz w:val="20"/>
                <w:szCs w:val="20"/>
                <w:lang w:val="en-GB"/>
              </w:rPr>
            </w:pPr>
            <w:r w:rsidRPr="003316FD">
              <w:rPr>
                <w:rFonts w:cs="Arial"/>
                <w:b/>
                <w:sz w:val="20"/>
                <w:szCs w:val="20"/>
                <w:lang w:val="en-GB"/>
              </w:rPr>
              <w:t>US$126,580</w:t>
            </w:r>
          </w:p>
        </w:tc>
        <w:tc>
          <w:tcPr>
            <w:tcW w:w="6073" w:type="dxa"/>
            <w:shd w:val="clear" w:color="auto" w:fill="auto"/>
            <w:vAlign w:val="center"/>
          </w:tcPr>
          <w:p w14:paraId="52A3CC11" w14:textId="00B7B971" w:rsidR="00BA5D6E" w:rsidRPr="003316FD" w:rsidRDefault="00BA5D6E" w:rsidP="00F02F65">
            <w:pPr>
              <w:pStyle w:val="Marge"/>
              <w:keepNext/>
              <w:tabs>
                <w:tab w:val="clear" w:pos="567"/>
              </w:tabs>
              <w:spacing w:before="120" w:after="120"/>
              <w:jc w:val="left"/>
              <w:outlineLvl w:val="0"/>
              <w:rPr>
                <w:rFonts w:cs="Arial"/>
                <w:b/>
                <w:color w:val="000000"/>
                <w:sz w:val="20"/>
                <w:szCs w:val="20"/>
                <w:lang w:val="en-GB"/>
              </w:rPr>
            </w:pPr>
            <w:r w:rsidRPr="003316FD">
              <w:rPr>
                <w:rFonts w:cs="Arial"/>
                <w:b/>
                <w:color w:val="000000"/>
                <w:sz w:val="20"/>
                <w:szCs w:val="20"/>
                <w:lang w:val="en-GB"/>
              </w:rPr>
              <w:t xml:space="preserve">Traditions and practices associated with the Kayas in the sacred forests of the Mijikenda </w:t>
            </w:r>
            <w:r w:rsidRPr="003316FD">
              <w:rPr>
                <w:rFonts w:cs="Arial"/>
                <w:color w:val="000000"/>
                <w:sz w:val="20"/>
                <w:szCs w:val="20"/>
                <w:lang w:val="en-GB"/>
              </w:rPr>
              <w:t>(No. 00326)</w:t>
            </w:r>
          </w:p>
        </w:tc>
      </w:tr>
      <w:tr w:rsidR="00BA5D6E" w:rsidRPr="003316FD" w14:paraId="132EB629" w14:textId="77777777" w:rsidTr="00260258">
        <w:trPr>
          <w:cantSplit/>
        </w:trPr>
        <w:tc>
          <w:tcPr>
            <w:tcW w:w="2025" w:type="dxa"/>
            <w:shd w:val="clear" w:color="auto" w:fill="auto"/>
          </w:tcPr>
          <w:p w14:paraId="3D0944BD" w14:textId="0804A34B" w:rsidR="00BA5D6E" w:rsidRPr="003316FD" w:rsidRDefault="00AE4BEA" w:rsidP="00F02F65">
            <w:pPr>
              <w:pStyle w:val="Marge"/>
              <w:keepNext/>
              <w:tabs>
                <w:tab w:val="clear" w:pos="567"/>
              </w:tabs>
              <w:spacing w:before="120" w:after="120"/>
              <w:jc w:val="right"/>
              <w:outlineLvl w:val="0"/>
              <w:rPr>
                <w:rFonts w:cs="Arial"/>
                <w:i/>
                <w:color w:val="000000"/>
                <w:sz w:val="20"/>
                <w:szCs w:val="20"/>
                <w:lang w:val="en-GB"/>
              </w:rPr>
            </w:pPr>
            <w:r w:rsidRPr="003316FD">
              <w:rPr>
                <w:rFonts w:cs="Arial"/>
                <w:i/>
                <w:color w:val="000000"/>
                <w:sz w:val="20"/>
                <w:szCs w:val="20"/>
                <w:lang w:val="en-GB"/>
              </w:rPr>
              <w:t>Granted</w:t>
            </w:r>
            <w:r w:rsidR="00BA5D6E" w:rsidRPr="003316FD">
              <w:rPr>
                <w:rFonts w:cs="Arial"/>
                <w:i/>
                <w:color w:val="000000"/>
                <w:sz w:val="20"/>
                <w:szCs w:val="20"/>
                <w:lang w:val="en-GB"/>
              </w:rPr>
              <w:t>:</w:t>
            </w:r>
          </w:p>
        </w:tc>
        <w:tc>
          <w:tcPr>
            <w:tcW w:w="7633" w:type="dxa"/>
            <w:gridSpan w:val="2"/>
            <w:shd w:val="clear" w:color="auto" w:fill="auto"/>
          </w:tcPr>
          <w:p w14:paraId="279ED3C3" w14:textId="6E02A26C" w:rsidR="00BA5D6E" w:rsidRPr="003316FD" w:rsidRDefault="00BA5D6E" w:rsidP="00BA5D6E">
            <w:pPr>
              <w:pStyle w:val="Marge"/>
              <w:keepNext/>
              <w:tabs>
                <w:tab w:val="clear" w:pos="567"/>
              </w:tabs>
              <w:spacing w:before="120" w:after="120"/>
              <w:jc w:val="left"/>
              <w:outlineLvl w:val="0"/>
              <w:rPr>
                <w:rFonts w:cs="Arial"/>
                <w:color w:val="000000"/>
                <w:sz w:val="20"/>
                <w:szCs w:val="20"/>
                <w:lang w:val="en-GB"/>
              </w:rPr>
            </w:pPr>
            <w:r w:rsidRPr="003316FD">
              <w:rPr>
                <w:rFonts w:cs="Arial"/>
                <w:color w:val="000000"/>
                <w:sz w:val="20"/>
                <w:szCs w:val="20"/>
                <w:lang w:val="en-GB"/>
              </w:rPr>
              <w:t>2009 (</w:t>
            </w:r>
            <w:hyperlink r:id="rId42" w:history="1">
              <w:r w:rsidRPr="003316FD">
                <w:rPr>
                  <w:rStyle w:val="Hyperlink"/>
                  <w:rFonts w:cs="Arial"/>
                  <w:sz w:val="20"/>
                  <w:szCs w:val="20"/>
                  <w:lang w:val="en-GB"/>
                </w:rPr>
                <w:t>Decision 4.COM 11.01</w:t>
              </w:r>
            </w:hyperlink>
            <w:r w:rsidRPr="003316FD">
              <w:rPr>
                <w:rFonts w:cs="Arial"/>
                <w:color w:val="000000"/>
                <w:sz w:val="20"/>
                <w:szCs w:val="20"/>
                <w:lang w:val="en-GB"/>
              </w:rPr>
              <w:t>)</w:t>
            </w:r>
          </w:p>
        </w:tc>
      </w:tr>
      <w:tr w:rsidR="00BA5D6E" w:rsidRPr="003316FD" w14:paraId="4E8E1278" w14:textId="77777777" w:rsidTr="00260258">
        <w:trPr>
          <w:cantSplit/>
        </w:trPr>
        <w:tc>
          <w:tcPr>
            <w:tcW w:w="2025" w:type="dxa"/>
            <w:shd w:val="clear" w:color="auto" w:fill="auto"/>
          </w:tcPr>
          <w:p w14:paraId="020EFFF7" w14:textId="1C5BBBAC" w:rsidR="00BA5D6E" w:rsidRPr="003316FD" w:rsidRDefault="00260258" w:rsidP="00F02F65">
            <w:pPr>
              <w:pStyle w:val="Marge"/>
              <w:keepNext/>
              <w:tabs>
                <w:tab w:val="clear" w:pos="567"/>
              </w:tabs>
              <w:spacing w:before="120" w:after="120"/>
              <w:jc w:val="right"/>
              <w:outlineLvl w:val="0"/>
              <w:rPr>
                <w:rFonts w:cs="Arial"/>
                <w:i/>
                <w:color w:val="000000"/>
                <w:sz w:val="20"/>
                <w:szCs w:val="20"/>
                <w:lang w:val="en-GB"/>
              </w:rPr>
            </w:pPr>
            <w:r w:rsidRPr="003316FD">
              <w:rPr>
                <w:rFonts w:cs="Arial"/>
                <w:i/>
                <w:color w:val="000000"/>
                <w:sz w:val="20"/>
                <w:szCs w:val="20"/>
                <w:lang w:val="en-GB"/>
              </w:rPr>
              <w:t>Reporting period</w:t>
            </w:r>
            <w:r w:rsidR="00BA5D6E" w:rsidRPr="003316FD">
              <w:rPr>
                <w:rFonts w:cs="Arial"/>
                <w:i/>
                <w:color w:val="000000"/>
                <w:sz w:val="20"/>
                <w:szCs w:val="20"/>
                <w:lang w:val="en-GB"/>
              </w:rPr>
              <w:t>:</w:t>
            </w:r>
          </w:p>
        </w:tc>
        <w:tc>
          <w:tcPr>
            <w:tcW w:w="7633" w:type="dxa"/>
            <w:gridSpan w:val="2"/>
            <w:shd w:val="clear" w:color="auto" w:fill="auto"/>
          </w:tcPr>
          <w:p w14:paraId="147E5BA2" w14:textId="247FAF56" w:rsidR="00BA5D6E" w:rsidRPr="003316FD" w:rsidRDefault="00BA5D6E" w:rsidP="00260258">
            <w:pPr>
              <w:pStyle w:val="Marge"/>
              <w:keepNext/>
              <w:tabs>
                <w:tab w:val="clear" w:pos="567"/>
              </w:tabs>
              <w:spacing w:before="120" w:after="120"/>
              <w:jc w:val="left"/>
              <w:outlineLvl w:val="0"/>
              <w:rPr>
                <w:rFonts w:cs="Arial"/>
                <w:color w:val="000000"/>
                <w:sz w:val="20"/>
                <w:szCs w:val="20"/>
                <w:lang w:val="en-GB"/>
              </w:rPr>
            </w:pPr>
            <w:r w:rsidRPr="003316FD">
              <w:rPr>
                <w:rFonts w:cs="Arial"/>
                <w:color w:val="000000"/>
                <w:sz w:val="20"/>
                <w:szCs w:val="20"/>
                <w:lang w:val="en-GB"/>
              </w:rPr>
              <w:t>01/07/2011 – 29/01/2016</w:t>
            </w:r>
          </w:p>
        </w:tc>
      </w:tr>
      <w:tr w:rsidR="00BA5D6E" w:rsidRPr="00D06268" w14:paraId="47483F69" w14:textId="77777777" w:rsidTr="00260258">
        <w:trPr>
          <w:cantSplit/>
        </w:trPr>
        <w:tc>
          <w:tcPr>
            <w:tcW w:w="2025" w:type="dxa"/>
            <w:shd w:val="clear" w:color="auto" w:fill="auto"/>
            <w:vAlign w:val="center"/>
          </w:tcPr>
          <w:p w14:paraId="3B67746A" w14:textId="77777777" w:rsidR="00BA5D6E" w:rsidRPr="003316FD" w:rsidRDefault="00BA5D6E" w:rsidP="00F02F65">
            <w:pPr>
              <w:pStyle w:val="Marge"/>
              <w:keepNext/>
              <w:spacing w:before="120" w:after="120"/>
              <w:jc w:val="right"/>
              <w:rPr>
                <w:rFonts w:cs="Arial"/>
                <w:i/>
                <w:color w:val="000000"/>
                <w:sz w:val="20"/>
                <w:szCs w:val="20"/>
                <w:lang w:val="en-GB"/>
              </w:rPr>
            </w:pPr>
            <w:r w:rsidRPr="003316FD">
              <w:rPr>
                <w:rFonts w:cs="Arial"/>
                <w:i/>
                <w:color w:val="000000"/>
                <w:sz w:val="20"/>
                <w:szCs w:val="20"/>
                <w:lang w:val="en-GB"/>
              </w:rPr>
              <w:t xml:space="preserve">Related element: </w:t>
            </w:r>
          </w:p>
        </w:tc>
        <w:tc>
          <w:tcPr>
            <w:tcW w:w="7633" w:type="dxa"/>
            <w:gridSpan w:val="2"/>
            <w:shd w:val="clear" w:color="auto" w:fill="auto"/>
            <w:vAlign w:val="center"/>
          </w:tcPr>
          <w:p w14:paraId="4B7FB6E2" w14:textId="77777777" w:rsidR="00BA5D6E" w:rsidRPr="003316FD" w:rsidRDefault="00BA5D6E" w:rsidP="00260258">
            <w:pPr>
              <w:pStyle w:val="Marge"/>
              <w:keepNext/>
              <w:spacing w:before="120" w:after="120"/>
              <w:jc w:val="left"/>
              <w:rPr>
                <w:rFonts w:cs="Arial"/>
                <w:color w:val="000000"/>
                <w:sz w:val="20"/>
                <w:szCs w:val="20"/>
                <w:lang w:val="en-GB"/>
              </w:rPr>
            </w:pPr>
            <w:r w:rsidRPr="003316FD">
              <w:rPr>
                <w:rFonts w:cs="Arial"/>
                <w:color w:val="000000"/>
                <w:sz w:val="20"/>
                <w:szCs w:val="20"/>
                <w:lang w:val="en-GB"/>
              </w:rPr>
              <w:t>Traditions and practices associated with the Kayas in the sacred forests of the Mijikenda (</w:t>
            </w:r>
            <w:r w:rsidR="00260258" w:rsidRPr="003316FD">
              <w:rPr>
                <w:rFonts w:cs="Arial"/>
                <w:color w:val="000000"/>
                <w:sz w:val="20"/>
                <w:szCs w:val="20"/>
                <w:lang w:val="en-GB"/>
              </w:rPr>
              <w:t>inscribed in 2009 on the Urgent Safeguarding List</w:t>
            </w:r>
            <w:r w:rsidRPr="003316FD">
              <w:rPr>
                <w:rFonts w:cs="Arial"/>
                <w:color w:val="000000"/>
                <w:sz w:val="20"/>
                <w:szCs w:val="20"/>
                <w:lang w:val="en-GB"/>
              </w:rPr>
              <w:t>)</w:t>
            </w:r>
          </w:p>
          <w:p w14:paraId="0AE9D2CA" w14:textId="2E910420" w:rsidR="00260258" w:rsidRPr="00A02FDA" w:rsidRDefault="00260258" w:rsidP="00260258">
            <w:pPr>
              <w:pStyle w:val="Marge"/>
              <w:keepNext/>
              <w:spacing w:before="120" w:after="120"/>
              <w:jc w:val="left"/>
              <w:rPr>
                <w:rFonts w:eastAsia="Malgun Gothic" w:cs="Arial"/>
                <w:color w:val="000000"/>
                <w:sz w:val="20"/>
                <w:szCs w:val="20"/>
                <w:lang w:val="en-GB" w:eastAsia="ko-KR"/>
              </w:rPr>
            </w:pPr>
            <w:r w:rsidRPr="003316FD">
              <w:rPr>
                <w:rFonts w:cs="Arial"/>
                <w:color w:val="000000"/>
                <w:sz w:val="20"/>
                <w:szCs w:val="20"/>
                <w:lang w:val="en-GB"/>
              </w:rPr>
              <w:t>Quadrennial r</w:t>
            </w:r>
            <w:r w:rsidR="00ED6383">
              <w:rPr>
                <w:rFonts w:cs="Arial"/>
                <w:color w:val="000000"/>
                <w:sz w:val="20"/>
                <w:szCs w:val="20"/>
                <w:lang w:val="en-GB"/>
              </w:rPr>
              <w:t>e</w:t>
            </w:r>
            <w:r w:rsidRPr="003316FD">
              <w:rPr>
                <w:rFonts w:cs="Arial"/>
                <w:color w:val="000000"/>
                <w:sz w:val="20"/>
                <w:szCs w:val="20"/>
                <w:lang w:val="en-GB"/>
              </w:rPr>
              <w:t>port available at</w:t>
            </w:r>
            <w:r w:rsidR="003E15C7">
              <w:rPr>
                <w:rFonts w:cs="Arial"/>
                <w:color w:val="000000"/>
                <w:sz w:val="20"/>
                <w:szCs w:val="20"/>
                <w:lang w:val="en-GB"/>
              </w:rPr>
              <w:t>:</w:t>
            </w:r>
            <w:r w:rsidRPr="003316FD">
              <w:rPr>
                <w:rFonts w:cs="Arial"/>
                <w:color w:val="000000"/>
                <w:sz w:val="20"/>
                <w:szCs w:val="20"/>
                <w:lang w:val="en-GB"/>
              </w:rPr>
              <w:t xml:space="preserve"> </w:t>
            </w:r>
            <w:hyperlink r:id="rId43" w:history="1">
              <w:r w:rsidRPr="003316FD">
                <w:rPr>
                  <w:rStyle w:val="Hyperlink"/>
                  <w:rFonts w:cs="Arial"/>
                  <w:sz w:val="20"/>
                  <w:szCs w:val="20"/>
                  <w:lang w:val="en-GB"/>
                </w:rPr>
                <w:t>http://www.unesco.org/culture/ich/doc/download.php?versionID=33087</w:t>
              </w:r>
            </w:hyperlink>
            <w:r w:rsidR="00A02FDA">
              <w:rPr>
                <w:rFonts w:cs="Arial"/>
                <w:color w:val="000000"/>
                <w:sz w:val="20"/>
                <w:szCs w:val="20"/>
                <w:lang w:val="en-GB"/>
              </w:rPr>
              <w:t>.</w:t>
            </w:r>
          </w:p>
        </w:tc>
      </w:tr>
    </w:tbl>
    <w:p w14:paraId="39B5898B" w14:textId="56EC6CF4" w:rsidR="00BA5D6E" w:rsidRPr="003316FD" w:rsidRDefault="00BA5D6E" w:rsidP="00260258">
      <w:pPr>
        <w:pStyle w:val="Marge"/>
        <w:spacing w:before="120" w:after="120"/>
        <w:outlineLvl w:val="0"/>
        <w:rPr>
          <w:rFonts w:cs="Arial"/>
          <w:color w:val="000000"/>
          <w:szCs w:val="22"/>
          <w:lang w:val="en-GB"/>
        </w:rPr>
      </w:pPr>
      <w:r w:rsidRPr="003316FD">
        <w:rPr>
          <w:rFonts w:cs="Arial"/>
          <w:color w:val="000000"/>
          <w:szCs w:val="22"/>
          <w:lang w:val="en-GB"/>
        </w:rPr>
        <w:t xml:space="preserve">Aiming to empower the Mijikenda people to ensure the viability and transmission of the traditions and practices associated </w:t>
      </w:r>
      <w:r w:rsidR="00ED6383">
        <w:rPr>
          <w:rFonts w:cs="Arial"/>
          <w:color w:val="000000"/>
          <w:szCs w:val="22"/>
          <w:lang w:val="en-GB"/>
        </w:rPr>
        <w:t>with</w:t>
      </w:r>
      <w:r w:rsidRPr="003316FD">
        <w:rPr>
          <w:rFonts w:cs="Arial"/>
          <w:color w:val="000000"/>
          <w:szCs w:val="22"/>
          <w:lang w:val="en-GB"/>
        </w:rPr>
        <w:t xml:space="preserve"> the sacred Kaya forests of coastal Kenya, the project was led by the Department of Culture of the Ministry of Sports, Culture and the Arts (former Ministry of State for National Heritage and Culture) in cooperation with the National Museums of Kenya through its Coastal Forest Conservation Unit.</w:t>
      </w:r>
    </w:p>
    <w:p w14:paraId="6DC71033" w14:textId="1EBB8A33" w:rsidR="002F07D9" w:rsidRPr="002F07D9" w:rsidRDefault="00BA5D6E" w:rsidP="002F07D9">
      <w:pPr>
        <w:pStyle w:val="Marge"/>
        <w:tabs>
          <w:tab w:val="clear" w:pos="567"/>
        </w:tabs>
        <w:spacing w:before="120"/>
        <w:outlineLvl w:val="0"/>
        <w:rPr>
          <w:color w:val="000000"/>
          <w:lang w:val="en-GB"/>
        </w:rPr>
      </w:pPr>
      <w:r w:rsidRPr="003316FD">
        <w:rPr>
          <w:color w:val="000000"/>
          <w:lang w:val="en-GB"/>
        </w:rPr>
        <w:t>Activities included training nine Kaya communities on developing</w:t>
      </w:r>
      <w:r w:rsidR="00260258" w:rsidRPr="003316FD">
        <w:rPr>
          <w:color w:val="000000"/>
          <w:lang w:val="en-GB"/>
        </w:rPr>
        <w:t xml:space="preserve"> income-</w:t>
      </w:r>
      <w:r w:rsidRPr="003316FD">
        <w:rPr>
          <w:color w:val="000000"/>
          <w:lang w:val="en-GB"/>
        </w:rPr>
        <w:t xml:space="preserve">generating projects associated </w:t>
      </w:r>
      <w:r w:rsidR="00ED6383">
        <w:rPr>
          <w:color w:val="000000"/>
          <w:lang w:val="en-GB"/>
        </w:rPr>
        <w:t>with</w:t>
      </w:r>
      <w:r w:rsidRPr="003316FD">
        <w:rPr>
          <w:color w:val="000000"/>
          <w:lang w:val="en-GB"/>
        </w:rPr>
        <w:t xml:space="preserve"> their living heritage; apprenticeship</w:t>
      </w:r>
      <w:r w:rsidR="00ED6383">
        <w:rPr>
          <w:color w:val="000000"/>
          <w:lang w:val="en-GB"/>
        </w:rPr>
        <w:t>s</w:t>
      </w:r>
      <w:r w:rsidRPr="003316FD">
        <w:rPr>
          <w:color w:val="000000"/>
          <w:lang w:val="en-GB"/>
        </w:rPr>
        <w:t xml:space="preserve"> f</w:t>
      </w:r>
      <w:r w:rsidR="00ED6383">
        <w:rPr>
          <w:color w:val="000000"/>
          <w:lang w:val="en-GB"/>
        </w:rPr>
        <w:t>or</w:t>
      </w:r>
      <w:r w:rsidRPr="003316FD">
        <w:rPr>
          <w:color w:val="000000"/>
          <w:lang w:val="en-GB"/>
        </w:rPr>
        <w:t xml:space="preserve"> you</w:t>
      </w:r>
      <w:r w:rsidR="00ED6383">
        <w:rPr>
          <w:color w:val="000000"/>
          <w:lang w:val="en-GB"/>
        </w:rPr>
        <w:t>ng people</w:t>
      </w:r>
      <w:r w:rsidRPr="003316FD">
        <w:rPr>
          <w:color w:val="000000"/>
          <w:lang w:val="en-GB"/>
        </w:rPr>
        <w:t xml:space="preserve"> regarding the functioning of the Council of </w:t>
      </w:r>
      <w:r w:rsidR="00BB2C3D">
        <w:rPr>
          <w:color w:val="000000"/>
          <w:lang w:val="en-GB"/>
        </w:rPr>
        <w:t>E</w:t>
      </w:r>
      <w:r w:rsidRPr="003316FD">
        <w:rPr>
          <w:color w:val="000000"/>
          <w:lang w:val="en-GB"/>
        </w:rPr>
        <w:t xml:space="preserve">lders; </w:t>
      </w:r>
      <w:r w:rsidR="00D21E47">
        <w:rPr>
          <w:color w:val="000000"/>
          <w:lang w:val="en-GB"/>
        </w:rPr>
        <w:t xml:space="preserve">community based </w:t>
      </w:r>
      <w:r w:rsidRPr="003316FD">
        <w:rPr>
          <w:color w:val="000000"/>
          <w:lang w:val="en-GB"/>
        </w:rPr>
        <w:t xml:space="preserve">inventorying and updating the national inventory; field visits to the Kayas by more than 400 students during which elders introduced the traditions and practices of the Mijikenda; </w:t>
      </w:r>
      <w:r w:rsidR="00BB2C3D">
        <w:rPr>
          <w:color w:val="000000"/>
          <w:lang w:val="en-GB"/>
        </w:rPr>
        <w:t xml:space="preserve">and </w:t>
      </w:r>
      <w:r w:rsidRPr="003316FD">
        <w:rPr>
          <w:color w:val="000000"/>
          <w:lang w:val="en-GB"/>
        </w:rPr>
        <w:t xml:space="preserve">organization of intercommunity cultural festivals showcasing the </w:t>
      </w:r>
      <w:r w:rsidR="00ED6383">
        <w:rPr>
          <w:color w:val="000000"/>
          <w:lang w:val="en-GB"/>
        </w:rPr>
        <w:t>K</w:t>
      </w:r>
      <w:r w:rsidRPr="003316FD">
        <w:rPr>
          <w:color w:val="000000"/>
          <w:lang w:val="en-GB"/>
        </w:rPr>
        <w:t xml:space="preserve">aya traditional lifestyle such as their traditional medicine, foodways and handicrafts. Community conservation groups </w:t>
      </w:r>
      <w:r w:rsidR="00260258" w:rsidRPr="003316FD">
        <w:rPr>
          <w:color w:val="000000"/>
          <w:lang w:val="en-GB"/>
        </w:rPr>
        <w:t>were</w:t>
      </w:r>
      <w:r w:rsidRPr="003316FD">
        <w:rPr>
          <w:color w:val="000000"/>
          <w:lang w:val="en-GB"/>
        </w:rPr>
        <w:t xml:space="preserve"> also trained to sensitize you</w:t>
      </w:r>
      <w:r w:rsidR="00ED6383">
        <w:rPr>
          <w:color w:val="000000"/>
          <w:lang w:val="en-GB"/>
        </w:rPr>
        <w:t>ng people</w:t>
      </w:r>
      <w:r w:rsidRPr="003316FD">
        <w:rPr>
          <w:color w:val="000000"/>
          <w:lang w:val="en-GB"/>
        </w:rPr>
        <w:t xml:space="preserve"> on the importance of conserv</w:t>
      </w:r>
      <w:r w:rsidR="00260258" w:rsidRPr="003316FD">
        <w:rPr>
          <w:color w:val="000000"/>
          <w:lang w:val="en-GB"/>
        </w:rPr>
        <w:t>ing</w:t>
      </w:r>
      <w:r w:rsidRPr="003316FD">
        <w:rPr>
          <w:color w:val="000000"/>
          <w:lang w:val="en-GB"/>
        </w:rPr>
        <w:t xml:space="preserve"> sacred forests and safeguard</w:t>
      </w:r>
      <w:r w:rsidR="00260258" w:rsidRPr="003316FD">
        <w:rPr>
          <w:color w:val="000000"/>
          <w:lang w:val="en-GB"/>
        </w:rPr>
        <w:t>ing</w:t>
      </w:r>
      <w:r w:rsidRPr="003316FD">
        <w:rPr>
          <w:color w:val="000000"/>
          <w:lang w:val="en-GB"/>
        </w:rPr>
        <w:t xml:space="preserve"> traditions associated with them. The project included communication and awareness-raising activities on Mijikenda traditions and practices through the production and </w:t>
      </w:r>
      <w:r w:rsidR="00260258" w:rsidRPr="003316FD">
        <w:rPr>
          <w:color w:val="000000"/>
          <w:lang w:val="en-GB"/>
        </w:rPr>
        <w:t>dissemination</w:t>
      </w:r>
      <w:r w:rsidRPr="003316FD">
        <w:rPr>
          <w:color w:val="000000"/>
          <w:lang w:val="en-GB"/>
        </w:rPr>
        <w:t xml:space="preserve"> of 6,000 brochures in Kiswahili and English.</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2F07D9" w:rsidRPr="00D06268" w14:paraId="304E1D70" w14:textId="77777777" w:rsidTr="00A4198D">
        <w:trPr>
          <w:cantSplit/>
        </w:trPr>
        <w:tc>
          <w:tcPr>
            <w:tcW w:w="2025" w:type="dxa"/>
            <w:shd w:val="clear" w:color="auto" w:fill="auto"/>
            <w:vAlign w:val="center"/>
          </w:tcPr>
          <w:p w14:paraId="08C571E3" w14:textId="77777777" w:rsidR="002F07D9" w:rsidRPr="003316FD" w:rsidRDefault="002F07D9" w:rsidP="00A4198D">
            <w:pPr>
              <w:pStyle w:val="Marge"/>
              <w:keepNext/>
              <w:tabs>
                <w:tab w:val="clear" w:pos="567"/>
              </w:tabs>
              <w:spacing w:before="120" w:after="120"/>
              <w:jc w:val="center"/>
              <w:outlineLvl w:val="0"/>
              <w:rPr>
                <w:rFonts w:cs="Arial"/>
                <w:b/>
                <w:color w:val="000000"/>
                <w:sz w:val="20"/>
                <w:szCs w:val="20"/>
                <w:lang w:val="en-GB"/>
              </w:rPr>
            </w:pPr>
            <w:r w:rsidRPr="003316FD">
              <w:rPr>
                <w:rFonts w:cs="Arial"/>
                <w:b/>
                <w:color w:val="000000"/>
                <w:sz w:val="20"/>
                <w:szCs w:val="20"/>
                <w:lang w:val="en-GB"/>
              </w:rPr>
              <w:t>Burkina Faso</w:t>
            </w:r>
          </w:p>
        </w:tc>
        <w:tc>
          <w:tcPr>
            <w:tcW w:w="1560" w:type="dxa"/>
            <w:shd w:val="clear" w:color="auto" w:fill="auto"/>
            <w:vAlign w:val="center"/>
          </w:tcPr>
          <w:p w14:paraId="19AEC099" w14:textId="77777777" w:rsidR="002F07D9" w:rsidRPr="003316FD" w:rsidRDefault="002F07D9" w:rsidP="00A4198D">
            <w:pPr>
              <w:pStyle w:val="Marge"/>
              <w:keepNext/>
              <w:tabs>
                <w:tab w:val="clear" w:pos="567"/>
              </w:tabs>
              <w:spacing w:before="120" w:after="120"/>
              <w:jc w:val="left"/>
              <w:outlineLvl w:val="0"/>
              <w:rPr>
                <w:rFonts w:cs="Arial"/>
                <w:b/>
                <w:color w:val="000000"/>
                <w:sz w:val="20"/>
                <w:szCs w:val="20"/>
                <w:lang w:val="en-GB"/>
              </w:rPr>
            </w:pPr>
            <w:r w:rsidRPr="003316FD">
              <w:rPr>
                <w:rFonts w:cs="Arial"/>
                <w:b/>
                <w:sz w:val="20"/>
                <w:szCs w:val="20"/>
                <w:lang w:val="en-GB"/>
              </w:rPr>
              <w:t>US$262,080</w:t>
            </w:r>
          </w:p>
        </w:tc>
        <w:tc>
          <w:tcPr>
            <w:tcW w:w="6073" w:type="dxa"/>
            <w:shd w:val="clear" w:color="auto" w:fill="auto"/>
            <w:vAlign w:val="center"/>
          </w:tcPr>
          <w:p w14:paraId="601F6AB9" w14:textId="77777777" w:rsidR="002F07D9" w:rsidRPr="003316FD" w:rsidRDefault="002F07D9" w:rsidP="00A4198D">
            <w:pPr>
              <w:pStyle w:val="Marge"/>
              <w:keepNext/>
              <w:tabs>
                <w:tab w:val="clear" w:pos="567"/>
              </w:tabs>
              <w:spacing w:before="120" w:after="120"/>
              <w:jc w:val="left"/>
              <w:outlineLvl w:val="0"/>
              <w:rPr>
                <w:rFonts w:cs="Arial"/>
                <w:b/>
                <w:color w:val="000000"/>
                <w:sz w:val="20"/>
                <w:szCs w:val="20"/>
                <w:lang w:val="en-GB"/>
              </w:rPr>
            </w:pPr>
            <w:r w:rsidRPr="003316FD">
              <w:rPr>
                <w:rFonts w:cs="Arial"/>
                <w:b/>
                <w:color w:val="000000"/>
                <w:sz w:val="20"/>
                <w:szCs w:val="20"/>
                <w:lang w:val="en-GB"/>
              </w:rPr>
              <w:t xml:space="preserve">Inventory and promotion of intangible cultural heritage in Burkina Faso </w:t>
            </w:r>
            <w:r w:rsidRPr="003316FD">
              <w:rPr>
                <w:rFonts w:cs="Arial"/>
                <w:color w:val="000000"/>
                <w:sz w:val="20"/>
                <w:szCs w:val="20"/>
                <w:lang w:val="en-GB"/>
              </w:rPr>
              <w:t>(No. 00678)</w:t>
            </w:r>
          </w:p>
        </w:tc>
      </w:tr>
      <w:tr w:rsidR="002F07D9" w:rsidRPr="003316FD" w14:paraId="226C1B8C" w14:textId="77777777" w:rsidTr="00A4198D">
        <w:trPr>
          <w:cantSplit/>
        </w:trPr>
        <w:tc>
          <w:tcPr>
            <w:tcW w:w="2025" w:type="dxa"/>
            <w:shd w:val="clear" w:color="auto" w:fill="auto"/>
          </w:tcPr>
          <w:p w14:paraId="3FCC308C" w14:textId="77777777" w:rsidR="002F07D9" w:rsidRPr="003316FD" w:rsidRDefault="002F07D9" w:rsidP="00A4198D">
            <w:pPr>
              <w:pStyle w:val="Marge"/>
              <w:keepNext/>
              <w:tabs>
                <w:tab w:val="clear" w:pos="567"/>
              </w:tabs>
              <w:spacing w:before="120" w:after="120"/>
              <w:jc w:val="right"/>
              <w:outlineLvl w:val="0"/>
              <w:rPr>
                <w:rFonts w:cs="Arial"/>
                <w:i/>
                <w:color w:val="000000"/>
                <w:sz w:val="20"/>
                <w:szCs w:val="20"/>
                <w:lang w:val="en-GB"/>
              </w:rPr>
            </w:pPr>
            <w:r w:rsidRPr="003316FD">
              <w:rPr>
                <w:rFonts w:cs="Arial"/>
                <w:i/>
                <w:color w:val="000000"/>
                <w:sz w:val="20"/>
                <w:szCs w:val="20"/>
                <w:lang w:val="en-GB"/>
              </w:rPr>
              <w:t>Granted:</w:t>
            </w:r>
          </w:p>
        </w:tc>
        <w:tc>
          <w:tcPr>
            <w:tcW w:w="7633" w:type="dxa"/>
            <w:gridSpan w:val="2"/>
            <w:shd w:val="clear" w:color="auto" w:fill="auto"/>
          </w:tcPr>
          <w:p w14:paraId="176F430E" w14:textId="77777777" w:rsidR="002F07D9" w:rsidRPr="003316FD" w:rsidRDefault="002F07D9" w:rsidP="00A4198D">
            <w:pPr>
              <w:pStyle w:val="Marge"/>
              <w:keepNext/>
              <w:tabs>
                <w:tab w:val="clear" w:pos="567"/>
              </w:tabs>
              <w:spacing w:before="120" w:after="120"/>
              <w:jc w:val="left"/>
              <w:outlineLvl w:val="0"/>
              <w:rPr>
                <w:rFonts w:cs="Arial"/>
                <w:color w:val="000000"/>
                <w:sz w:val="20"/>
                <w:szCs w:val="20"/>
                <w:lang w:val="en-GB"/>
              </w:rPr>
            </w:pPr>
            <w:r w:rsidRPr="003316FD">
              <w:rPr>
                <w:rFonts w:cs="Arial"/>
                <w:color w:val="000000"/>
                <w:sz w:val="20"/>
                <w:szCs w:val="20"/>
                <w:lang w:val="en-GB"/>
              </w:rPr>
              <w:t>2012 (</w:t>
            </w:r>
            <w:hyperlink r:id="rId44" w:history="1">
              <w:r w:rsidRPr="003316FD">
                <w:rPr>
                  <w:rStyle w:val="Hyperlink"/>
                  <w:rFonts w:cs="Arial"/>
                  <w:sz w:val="20"/>
                  <w:szCs w:val="20"/>
                  <w:lang w:val="en-GB"/>
                </w:rPr>
                <w:t xml:space="preserve">Decision </w:t>
              </w:r>
              <w:r w:rsidRPr="003316FD">
                <w:rPr>
                  <w:rStyle w:val="Hyperlink"/>
                  <w:sz w:val="20"/>
                  <w:szCs w:val="20"/>
                  <w:lang w:val="en-GB"/>
                </w:rPr>
                <w:t>7.COM 10.1</w:t>
              </w:r>
            </w:hyperlink>
            <w:r w:rsidRPr="003316FD">
              <w:rPr>
                <w:rFonts w:cs="Arial"/>
                <w:color w:val="000000"/>
                <w:sz w:val="20"/>
                <w:szCs w:val="20"/>
                <w:lang w:val="en-GB"/>
              </w:rPr>
              <w:t>)</w:t>
            </w:r>
          </w:p>
        </w:tc>
      </w:tr>
      <w:tr w:rsidR="002F07D9" w:rsidRPr="003316FD" w14:paraId="2CDCE7B8" w14:textId="77777777" w:rsidTr="00A4198D">
        <w:trPr>
          <w:cantSplit/>
        </w:trPr>
        <w:tc>
          <w:tcPr>
            <w:tcW w:w="2025" w:type="dxa"/>
            <w:shd w:val="clear" w:color="auto" w:fill="auto"/>
          </w:tcPr>
          <w:p w14:paraId="28698AD3" w14:textId="77777777" w:rsidR="002F07D9" w:rsidRPr="003316FD" w:rsidRDefault="002F07D9" w:rsidP="00A4198D">
            <w:pPr>
              <w:pStyle w:val="Marge"/>
              <w:keepNext/>
              <w:tabs>
                <w:tab w:val="clear" w:pos="567"/>
              </w:tabs>
              <w:spacing w:before="120" w:after="120"/>
              <w:jc w:val="right"/>
              <w:outlineLvl w:val="0"/>
              <w:rPr>
                <w:rFonts w:cs="Arial"/>
                <w:i/>
                <w:color w:val="000000"/>
                <w:sz w:val="20"/>
                <w:szCs w:val="20"/>
                <w:lang w:val="en-GB"/>
              </w:rPr>
            </w:pPr>
            <w:r w:rsidRPr="003316FD">
              <w:rPr>
                <w:rFonts w:cs="Arial"/>
                <w:i/>
                <w:color w:val="000000"/>
                <w:sz w:val="20"/>
                <w:szCs w:val="20"/>
                <w:lang w:val="en-GB"/>
              </w:rPr>
              <w:t>Reporting period:</w:t>
            </w:r>
          </w:p>
        </w:tc>
        <w:tc>
          <w:tcPr>
            <w:tcW w:w="7633" w:type="dxa"/>
            <w:gridSpan w:val="2"/>
            <w:shd w:val="clear" w:color="auto" w:fill="auto"/>
          </w:tcPr>
          <w:p w14:paraId="73FF86A2" w14:textId="77777777" w:rsidR="002F07D9" w:rsidRPr="003316FD" w:rsidRDefault="002F07D9" w:rsidP="00A4198D">
            <w:pPr>
              <w:pStyle w:val="Marge"/>
              <w:keepNext/>
              <w:tabs>
                <w:tab w:val="clear" w:pos="567"/>
              </w:tabs>
              <w:spacing w:before="120" w:after="120"/>
              <w:jc w:val="left"/>
              <w:outlineLvl w:val="0"/>
              <w:rPr>
                <w:rFonts w:cs="Arial"/>
                <w:color w:val="000000"/>
                <w:sz w:val="20"/>
                <w:szCs w:val="20"/>
                <w:lang w:val="en-GB"/>
              </w:rPr>
            </w:pPr>
            <w:r w:rsidRPr="003316FD">
              <w:rPr>
                <w:rFonts w:cs="Arial"/>
                <w:color w:val="000000"/>
                <w:sz w:val="20"/>
                <w:szCs w:val="20"/>
                <w:lang w:val="en-GB"/>
              </w:rPr>
              <w:t>29/03/2013</w:t>
            </w:r>
            <w:r>
              <w:rPr>
                <w:rFonts w:cs="Arial"/>
                <w:color w:val="000000"/>
                <w:sz w:val="20"/>
                <w:szCs w:val="20"/>
                <w:lang w:val="en-GB"/>
              </w:rPr>
              <w:t xml:space="preserve"> </w:t>
            </w:r>
            <w:r w:rsidRPr="003316FD">
              <w:rPr>
                <w:rFonts w:cs="Arial"/>
                <w:color w:val="000000"/>
                <w:sz w:val="20"/>
                <w:szCs w:val="20"/>
                <w:lang w:val="en-GB"/>
              </w:rPr>
              <w:t>–</w:t>
            </w:r>
            <w:r>
              <w:rPr>
                <w:rFonts w:cs="Arial"/>
                <w:color w:val="000000"/>
                <w:sz w:val="20"/>
                <w:szCs w:val="20"/>
                <w:lang w:val="en-GB"/>
              </w:rPr>
              <w:t xml:space="preserve"> </w:t>
            </w:r>
            <w:r w:rsidRPr="003316FD">
              <w:rPr>
                <w:rFonts w:cs="Arial"/>
                <w:color w:val="000000"/>
                <w:sz w:val="20"/>
                <w:szCs w:val="20"/>
                <w:lang w:val="en-GB"/>
              </w:rPr>
              <w:t>01/07/2016 (ongoing)</w:t>
            </w:r>
          </w:p>
        </w:tc>
      </w:tr>
    </w:tbl>
    <w:p w14:paraId="7E2B7E95" w14:textId="31B242DB" w:rsidR="002F07D9" w:rsidRPr="003316FD" w:rsidRDefault="002F07D9" w:rsidP="00E97482">
      <w:pPr>
        <w:pStyle w:val="Marge"/>
        <w:tabs>
          <w:tab w:val="clear" w:pos="567"/>
        </w:tabs>
        <w:spacing w:before="120"/>
        <w:outlineLvl w:val="0"/>
        <w:rPr>
          <w:color w:val="000000"/>
          <w:lang w:val="en-GB"/>
        </w:rPr>
      </w:pPr>
      <w:r w:rsidRPr="0079557C">
        <w:rPr>
          <w:rFonts w:cs="Arial"/>
          <w:szCs w:val="22"/>
          <w:lang w:val="en-US"/>
        </w:rPr>
        <w:t xml:space="preserve">The objective of this project is to draw-up an inventory of the intangible cultural heritage elements with the ethno-cultural communities of Burkina Faso which will identify their state of viability and ensure their promotion. To this end, the project took place in two phases with a pilot phase targeting two regions which included six communities and a second generalization phase at the national level. It developed a national strategy for inventorying and promoting intangible cultural heritage, raised awareness about the importance of intangible cultural heritage with 35 workshops and broadcast discussions and television and radio spots, strengthened the capacities of the stakeholders involved in safeguarding </w:t>
      </w:r>
      <w:r>
        <w:rPr>
          <w:rFonts w:cs="Arial"/>
          <w:szCs w:val="22"/>
          <w:lang w:val="en-US"/>
        </w:rPr>
        <w:t>intangible cultural heritage</w:t>
      </w:r>
      <w:r w:rsidRPr="0079557C">
        <w:rPr>
          <w:rFonts w:cs="Arial"/>
          <w:szCs w:val="22"/>
          <w:lang w:val="en-US"/>
        </w:rPr>
        <w:t xml:space="preserve"> through 9 training workshops in participative inventory techniques, drew-up an inventory of 321 elements while identifying their state of viability, and disseminated the results through a website and publications. The project was delayed by several months due to socio-political events in the country in autumn 2015. The final activities are underway, with a project close planned for the end of 2016.</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22137" w:rsidRPr="00D06268" w14:paraId="71BF4F15" w14:textId="77777777" w:rsidTr="00F02F65">
        <w:trPr>
          <w:cantSplit/>
        </w:trPr>
        <w:tc>
          <w:tcPr>
            <w:tcW w:w="2025" w:type="dxa"/>
            <w:shd w:val="clear" w:color="auto" w:fill="auto"/>
            <w:vAlign w:val="center"/>
          </w:tcPr>
          <w:p w14:paraId="2F4864D4" w14:textId="20271E08" w:rsidR="00822137" w:rsidRPr="003316FD" w:rsidRDefault="00822137" w:rsidP="00F02F65">
            <w:pPr>
              <w:pStyle w:val="Marge"/>
              <w:keepNext/>
              <w:tabs>
                <w:tab w:val="clear" w:pos="567"/>
              </w:tabs>
              <w:spacing w:before="120" w:after="120"/>
              <w:jc w:val="center"/>
              <w:outlineLvl w:val="0"/>
              <w:rPr>
                <w:rFonts w:cs="Arial"/>
                <w:b/>
                <w:color w:val="000000"/>
                <w:sz w:val="20"/>
                <w:szCs w:val="20"/>
                <w:lang w:val="en-GB"/>
              </w:rPr>
            </w:pPr>
            <w:r w:rsidRPr="003316FD">
              <w:rPr>
                <w:rFonts w:cs="Arial"/>
                <w:b/>
                <w:color w:val="000000"/>
                <w:sz w:val="20"/>
                <w:szCs w:val="20"/>
                <w:lang w:val="en-GB"/>
              </w:rPr>
              <w:lastRenderedPageBreak/>
              <w:t>Mongolia</w:t>
            </w:r>
          </w:p>
        </w:tc>
        <w:tc>
          <w:tcPr>
            <w:tcW w:w="1560" w:type="dxa"/>
            <w:shd w:val="clear" w:color="auto" w:fill="auto"/>
            <w:vAlign w:val="center"/>
          </w:tcPr>
          <w:p w14:paraId="0750EB24" w14:textId="1F08A32B" w:rsidR="00822137" w:rsidRPr="003316FD" w:rsidRDefault="00822137" w:rsidP="00822137">
            <w:pPr>
              <w:pStyle w:val="Marge"/>
              <w:keepNext/>
              <w:tabs>
                <w:tab w:val="clear" w:pos="567"/>
              </w:tabs>
              <w:spacing w:before="120" w:after="120"/>
              <w:jc w:val="left"/>
              <w:outlineLvl w:val="0"/>
              <w:rPr>
                <w:rFonts w:cs="Arial"/>
                <w:b/>
                <w:color w:val="000000"/>
                <w:sz w:val="20"/>
                <w:szCs w:val="20"/>
                <w:lang w:val="en-GB"/>
              </w:rPr>
            </w:pPr>
            <w:r w:rsidRPr="003316FD">
              <w:rPr>
                <w:rFonts w:cs="Arial"/>
                <w:b/>
                <w:sz w:val="20"/>
                <w:szCs w:val="20"/>
                <w:lang w:val="en-GB"/>
              </w:rPr>
              <w:t>US$</w:t>
            </w:r>
            <w:r w:rsidR="00FA07BB">
              <w:rPr>
                <w:rFonts w:cs="Arial"/>
                <w:b/>
                <w:sz w:val="20"/>
                <w:szCs w:val="20"/>
                <w:lang w:val="en-GB"/>
              </w:rPr>
              <w:t>89,700</w:t>
            </w:r>
          </w:p>
        </w:tc>
        <w:tc>
          <w:tcPr>
            <w:tcW w:w="6073" w:type="dxa"/>
            <w:shd w:val="clear" w:color="auto" w:fill="auto"/>
            <w:vAlign w:val="center"/>
          </w:tcPr>
          <w:p w14:paraId="46597A8D" w14:textId="61F582EE" w:rsidR="00822137" w:rsidRPr="003316FD" w:rsidRDefault="000437A7" w:rsidP="000437A7">
            <w:pPr>
              <w:pStyle w:val="Marge"/>
              <w:keepNext/>
              <w:tabs>
                <w:tab w:val="clear" w:pos="567"/>
              </w:tabs>
              <w:spacing w:before="120" w:after="120"/>
              <w:jc w:val="left"/>
              <w:outlineLvl w:val="0"/>
              <w:rPr>
                <w:rFonts w:cs="Arial"/>
                <w:b/>
                <w:color w:val="000000"/>
                <w:sz w:val="20"/>
                <w:szCs w:val="20"/>
                <w:lang w:val="en-GB"/>
              </w:rPr>
            </w:pPr>
            <w:r w:rsidRPr="003316FD">
              <w:rPr>
                <w:rFonts w:cs="Arial"/>
                <w:b/>
                <w:color w:val="000000"/>
                <w:sz w:val="20"/>
                <w:szCs w:val="20"/>
                <w:lang w:val="en-GB"/>
              </w:rPr>
              <w:t>Safeguarding and revitalizing the Mongolian traditional epic</w:t>
            </w:r>
            <w:r w:rsidR="00822137" w:rsidRPr="003316FD">
              <w:rPr>
                <w:rFonts w:cs="Arial"/>
                <w:b/>
                <w:color w:val="000000"/>
                <w:sz w:val="20"/>
                <w:szCs w:val="20"/>
                <w:lang w:val="en-GB"/>
              </w:rPr>
              <w:t xml:space="preserve"> </w:t>
            </w:r>
            <w:r w:rsidR="00E97482" w:rsidRPr="003316FD">
              <w:rPr>
                <w:rFonts w:cs="Arial"/>
                <w:color w:val="000000"/>
                <w:sz w:val="20"/>
                <w:szCs w:val="20"/>
                <w:lang w:val="en-GB"/>
              </w:rPr>
              <w:t>(No. </w:t>
            </w:r>
            <w:r w:rsidR="00822137" w:rsidRPr="003316FD">
              <w:rPr>
                <w:rFonts w:cs="Arial"/>
                <w:color w:val="000000"/>
                <w:sz w:val="20"/>
                <w:szCs w:val="20"/>
                <w:lang w:val="en-GB"/>
              </w:rPr>
              <w:t>00</w:t>
            </w:r>
            <w:r w:rsidRPr="003316FD">
              <w:rPr>
                <w:rFonts w:cs="Arial"/>
                <w:color w:val="000000"/>
                <w:sz w:val="20"/>
                <w:szCs w:val="20"/>
                <w:lang w:val="en-GB"/>
              </w:rPr>
              <w:t>549</w:t>
            </w:r>
            <w:r w:rsidR="00822137" w:rsidRPr="003316FD">
              <w:rPr>
                <w:rFonts w:cs="Arial"/>
                <w:color w:val="000000"/>
                <w:sz w:val="20"/>
                <w:szCs w:val="20"/>
                <w:lang w:val="en-GB"/>
              </w:rPr>
              <w:t>)</w:t>
            </w:r>
          </w:p>
        </w:tc>
      </w:tr>
      <w:tr w:rsidR="00822137" w:rsidRPr="003316FD" w14:paraId="205D9243" w14:textId="77777777" w:rsidTr="00F02F65">
        <w:trPr>
          <w:cantSplit/>
        </w:trPr>
        <w:tc>
          <w:tcPr>
            <w:tcW w:w="2025" w:type="dxa"/>
            <w:shd w:val="clear" w:color="auto" w:fill="auto"/>
          </w:tcPr>
          <w:p w14:paraId="5349CCFE" w14:textId="77777777" w:rsidR="00822137" w:rsidRPr="003316FD" w:rsidRDefault="00822137" w:rsidP="00F02F65">
            <w:pPr>
              <w:pStyle w:val="Marge"/>
              <w:keepNext/>
              <w:tabs>
                <w:tab w:val="clear" w:pos="567"/>
              </w:tabs>
              <w:spacing w:before="120" w:after="120"/>
              <w:jc w:val="right"/>
              <w:outlineLvl w:val="0"/>
              <w:rPr>
                <w:rFonts w:cs="Arial"/>
                <w:i/>
                <w:color w:val="000000"/>
                <w:sz w:val="20"/>
                <w:szCs w:val="20"/>
                <w:lang w:val="en-GB"/>
              </w:rPr>
            </w:pPr>
            <w:r w:rsidRPr="003316FD">
              <w:rPr>
                <w:rFonts w:cs="Arial"/>
                <w:i/>
                <w:color w:val="000000"/>
                <w:sz w:val="20"/>
                <w:szCs w:val="20"/>
                <w:lang w:val="en-GB"/>
              </w:rPr>
              <w:t>Granted:</w:t>
            </w:r>
          </w:p>
        </w:tc>
        <w:tc>
          <w:tcPr>
            <w:tcW w:w="7633" w:type="dxa"/>
            <w:gridSpan w:val="2"/>
            <w:shd w:val="clear" w:color="auto" w:fill="auto"/>
          </w:tcPr>
          <w:p w14:paraId="514A098F" w14:textId="3C548CC4" w:rsidR="00822137" w:rsidRPr="003316FD" w:rsidRDefault="00822137" w:rsidP="000437A7">
            <w:pPr>
              <w:pStyle w:val="Marge"/>
              <w:keepNext/>
              <w:tabs>
                <w:tab w:val="clear" w:pos="567"/>
              </w:tabs>
              <w:spacing w:before="120" w:after="120"/>
              <w:jc w:val="left"/>
              <w:outlineLvl w:val="0"/>
              <w:rPr>
                <w:rFonts w:cs="Arial"/>
                <w:color w:val="000000"/>
                <w:sz w:val="20"/>
                <w:szCs w:val="20"/>
                <w:lang w:val="en-GB"/>
              </w:rPr>
            </w:pPr>
            <w:r w:rsidRPr="003316FD">
              <w:rPr>
                <w:rFonts w:cs="Arial"/>
                <w:color w:val="000000"/>
                <w:sz w:val="20"/>
                <w:szCs w:val="20"/>
                <w:lang w:val="en-GB"/>
              </w:rPr>
              <w:t>20</w:t>
            </w:r>
            <w:r w:rsidR="000437A7" w:rsidRPr="003316FD">
              <w:rPr>
                <w:rFonts w:cs="Arial"/>
                <w:color w:val="000000"/>
                <w:sz w:val="20"/>
                <w:szCs w:val="20"/>
                <w:lang w:val="en-GB"/>
              </w:rPr>
              <w:t>12</w:t>
            </w:r>
            <w:r w:rsidRPr="003316FD">
              <w:rPr>
                <w:rFonts w:cs="Arial"/>
                <w:color w:val="000000"/>
                <w:sz w:val="20"/>
                <w:szCs w:val="20"/>
                <w:lang w:val="en-GB"/>
              </w:rPr>
              <w:t xml:space="preserve"> (</w:t>
            </w:r>
            <w:hyperlink r:id="rId45" w:history="1">
              <w:r w:rsidRPr="003316FD">
                <w:rPr>
                  <w:rStyle w:val="Hyperlink"/>
                  <w:rFonts w:cs="Arial"/>
                  <w:sz w:val="20"/>
                  <w:szCs w:val="20"/>
                  <w:lang w:val="en-GB"/>
                </w:rPr>
                <w:t>Decision </w:t>
              </w:r>
              <w:r w:rsidR="00026925" w:rsidRPr="003316FD">
                <w:rPr>
                  <w:rStyle w:val="Hyperlink"/>
                  <w:rFonts w:cs="Arial"/>
                  <w:sz w:val="20"/>
                  <w:szCs w:val="20"/>
                  <w:lang w:val="en-GB"/>
                </w:rPr>
                <w:t>7.COM 5.BUR</w:t>
              </w:r>
            </w:hyperlink>
            <w:r w:rsidRPr="003316FD">
              <w:rPr>
                <w:rFonts w:cs="Arial"/>
                <w:color w:val="000000"/>
                <w:sz w:val="20"/>
                <w:szCs w:val="20"/>
                <w:lang w:val="en-GB"/>
              </w:rPr>
              <w:t>)</w:t>
            </w:r>
          </w:p>
        </w:tc>
      </w:tr>
      <w:tr w:rsidR="00822137" w:rsidRPr="003316FD" w14:paraId="013FAA5A" w14:textId="77777777" w:rsidTr="00F02F65">
        <w:trPr>
          <w:cantSplit/>
        </w:trPr>
        <w:tc>
          <w:tcPr>
            <w:tcW w:w="2025" w:type="dxa"/>
            <w:shd w:val="clear" w:color="auto" w:fill="auto"/>
          </w:tcPr>
          <w:p w14:paraId="40C0C99D" w14:textId="77777777" w:rsidR="00822137" w:rsidRPr="003316FD" w:rsidRDefault="00822137" w:rsidP="00F02F65">
            <w:pPr>
              <w:pStyle w:val="Marge"/>
              <w:keepNext/>
              <w:tabs>
                <w:tab w:val="clear" w:pos="567"/>
              </w:tabs>
              <w:spacing w:before="120" w:after="120"/>
              <w:jc w:val="right"/>
              <w:outlineLvl w:val="0"/>
              <w:rPr>
                <w:rFonts w:cs="Arial"/>
                <w:i/>
                <w:color w:val="000000"/>
                <w:sz w:val="20"/>
                <w:szCs w:val="20"/>
                <w:lang w:val="en-GB"/>
              </w:rPr>
            </w:pPr>
            <w:r w:rsidRPr="003316FD">
              <w:rPr>
                <w:rFonts w:cs="Arial"/>
                <w:i/>
                <w:color w:val="000000"/>
                <w:sz w:val="20"/>
                <w:szCs w:val="20"/>
                <w:lang w:val="en-GB"/>
              </w:rPr>
              <w:t>Reporting period:</w:t>
            </w:r>
          </w:p>
        </w:tc>
        <w:tc>
          <w:tcPr>
            <w:tcW w:w="7633" w:type="dxa"/>
            <w:gridSpan w:val="2"/>
            <w:shd w:val="clear" w:color="auto" w:fill="auto"/>
          </w:tcPr>
          <w:p w14:paraId="3F036B7F" w14:textId="0EB1398B" w:rsidR="00822137" w:rsidRPr="003316FD" w:rsidRDefault="00026925" w:rsidP="001B4C14">
            <w:pPr>
              <w:pStyle w:val="Marge"/>
              <w:keepNext/>
              <w:tabs>
                <w:tab w:val="clear" w:pos="567"/>
              </w:tabs>
              <w:spacing w:before="120" w:after="120"/>
              <w:jc w:val="left"/>
              <w:outlineLvl w:val="0"/>
              <w:rPr>
                <w:rFonts w:cs="Arial"/>
                <w:color w:val="000000"/>
                <w:sz w:val="20"/>
                <w:szCs w:val="20"/>
                <w:lang w:val="en-GB"/>
              </w:rPr>
            </w:pPr>
            <w:r w:rsidRPr="003316FD">
              <w:rPr>
                <w:rFonts w:cs="Arial"/>
                <w:color w:val="000000"/>
                <w:sz w:val="20"/>
                <w:szCs w:val="20"/>
                <w:lang w:val="en-GB"/>
              </w:rPr>
              <w:t>30/</w:t>
            </w:r>
            <w:r w:rsidR="00DA3E39" w:rsidRPr="003316FD">
              <w:rPr>
                <w:rFonts w:cs="Arial"/>
                <w:color w:val="000000"/>
                <w:sz w:val="20"/>
                <w:szCs w:val="20"/>
                <w:lang w:val="en-GB"/>
              </w:rPr>
              <w:t>0</w:t>
            </w:r>
            <w:r w:rsidR="00DA3E39">
              <w:rPr>
                <w:rFonts w:cs="Arial"/>
                <w:color w:val="000000"/>
                <w:sz w:val="20"/>
                <w:szCs w:val="20"/>
                <w:lang w:val="en-GB"/>
              </w:rPr>
              <w:t>9</w:t>
            </w:r>
            <w:r w:rsidRPr="003316FD">
              <w:rPr>
                <w:rFonts w:cs="Arial"/>
                <w:color w:val="000000"/>
                <w:sz w:val="20"/>
                <w:szCs w:val="20"/>
                <w:lang w:val="en-GB"/>
              </w:rPr>
              <w:t>/2013 – 30/06/2016</w:t>
            </w:r>
          </w:p>
        </w:tc>
      </w:tr>
      <w:tr w:rsidR="00822137" w:rsidRPr="00D06268" w14:paraId="08408483" w14:textId="77777777" w:rsidTr="00F02F65">
        <w:trPr>
          <w:cantSplit/>
        </w:trPr>
        <w:tc>
          <w:tcPr>
            <w:tcW w:w="2025" w:type="dxa"/>
            <w:shd w:val="clear" w:color="auto" w:fill="auto"/>
            <w:vAlign w:val="center"/>
          </w:tcPr>
          <w:p w14:paraId="0276EF8D" w14:textId="77777777" w:rsidR="00822137" w:rsidRPr="003316FD" w:rsidRDefault="00822137" w:rsidP="00F02F65">
            <w:pPr>
              <w:pStyle w:val="Marge"/>
              <w:keepNext/>
              <w:spacing w:before="120" w:after="120"/>
              <w:jc w:val="right"/>
              <w:rPr>
                <w:rFonts w:cs="Arial"/>
                <w:i/>
                <w:color w:val="000000"/>
                <w:sz w:val="20"/>
                <w:szCs w:val="20"/>
                <w:lang w:val="en-GB"/>
              </w:rPr>
            </w:pPr>
            <w:r w:rsidRPr="003316FD">
              <w:rPr>
                <w:rFonts w:cs="Arial"/>
                <w:i/>
                <w:color w:val="000000"/>
                <w:sz w:val="20"/>
                <w:szCs w:val="20"/>
                <w:lang w:val="en-GB"/>
              </w:rPr>
              <w:t xml:space="preserve">Related element: </w:t>
            </w:r>
          </w:p>
        </w:tc>
        <w:tc>
          <w:tcPr>
            <w:tcW w:w="7633" w:type="dxa"/>
            <w:gridSpan w:val="2"/>
            <w:shd w:val="clear" w:color="auto" w:fill="auto"/>
            <w:vAlign w:val="center"/>
          </w:tcPr>
          <w:p w14:paraId="27D0B830" w14:textId="118B38A8" w:rsidR="00822137" w:rsidRPr="003316FD" w:rsidRDefault="00026925" w:rsidP="00F02F65">
            <w:pPr>
              <w:pStyle w:val="Marge"/>
              <w:keepNext/>
              <w:spacing w:before="120" w:after="120"/>
              <w:jc w:val="left"/>
              <w:rPr>
                <w:rFonts w:cs="Arial"/>
                <w:color w:val="000000"/>
                <w:sz w:val="20"/>
                <w:szCs w:val="20"/>
                <w:lang w:val="en-GB"/>
              </w:rPr>
            </w:pPr>
            <w:r w:rsidRPr="003316FD">
              <w:rPr>
                <w:rFonts w:cs="Arial"/>
                <w:color w:val="000000"/>
                <w:sz w:val="20"/>
                <w:szCs w:val="20"/>
                <w:lang w:val="en-GB"/>
              </w:rPr>
              <w:t xml:space="preserve">Mongol </w:t>
            </w:r>
            <w:proofErr w:type="spellStart"/>
            <w:r w:rsidRPr="003316FD">
              <w:rPr>
                <w:rFonts w:cs="Arial"/>
                <w:color w:val="000000"/>
                <w:sz w:val="20"/>
                <w:szCs w:val="20"/>
                <w:lang w:val="en-GB"/>
              </w:rPr>
              <w:t>Tuuli</w:t>
            </w:r>
            <w:proofErr w:type="spellEnd"/>
            <w:r w:rsidRPr="003316FD">
              <w:rPr>
                <w:rFonts w:cs="Arial"/>
                <w:color w:val="000000"/>
                <w:sz w:val="20"/>
                <w:szCs w:val="20"/>
                <w:lang w:val="en-GB"/>
              </w:rPr>
              <w:t xml:space="preserve">, Mongolian epic </w:t>
            </w:r>
            <w:r w:rsidR="00822137" w:rsidRPr="003316FD">
              <w:rPr>
                <w:rFonts w:cs="Arial"/>
                <w:color w:val="000000"/>
                <w:sz w:val="20"/>
                <w:szCs w:val="20"/>
                <w:lang w:val="en-GB"/>
              </w:rPr>
              <w:t>(inscribed in 2009 on the Urgent Safeguarding List)</w:t>
            </w:r>
          </w:p>
          <w:p w14:paraId="0D36BEC0" w14:textId="2A8B1645" w:rsidR="00822137" w:rsidRPr="00A02FDA" w:rsidRDefault="00822137" w:rsidP="00026925">
            <w:pPr>
              <w:pStyle w:val="Marge"/>
              <w:keepNext/>
              <w:spacing w:before="120" w:after="120"/>
              <w:jc w:val="left"/>
              <w:rPr>
                <w:rFonts w:eastAsia="Malgun Gothic" w:cs="Arial"/>
                <w:color w:val="000000"/>
                <w:sz w:val="20"/>
                <w:szCs w:val="20"/>
                <w:lang w:val="en-GB" w:eastAsia="ko-KR"/>
              </w:rPr>
            </w:pPr>
            <w:r w:rsidRPr="003316FD">
              <w:rPr>
                <w:rFonts w:cs="Arial"/>
                <w:color w:val="000000"/>
                <w:sz w:val="20"/>
                <w:szCs w:val="20"/>
                <w:lang w:val="en-GB"/>
              </w:rPr>
              <w:t>Quadrennial r</w:t>
            </w:r>
            <w:r w:rsidR="00ED6383">
              <w:rPr>
                <w:rFonts w:cs="Arial"/>
                <w:color w:val="000000"/>
                <w:sz w:val="20"/>
                <w:szCs w:val="20"/>
                <w:lang w:val="en-GB"/>
              </w:rPr>
              <w:t>e</w:t>
            </w:r>
            <w:r w:rsidRPr="003316FD">
              <w:rPr>
                <w:rFonts w:cs="Arial"/>
                <w:color w:val="000000"/>
                <w:sz w:val="20"/>
                <w:szCs w:val="20"/>
                <w:lang w:val="en-GB"/>
              </w:rPr>
              <w:t>port available at</w:t>
            </w:r>
            <w:r w:rsidR="003E15C7">
              <w:rPr>
                <w:rFonts w:cs="Arial"/>
                <w:color w:val="000000"/>
                <w:sz w:val="20"/>
                <w:szCs w:val="20"/>
                <w:lang w:val="en-GB"/>
              </w:rPr>
              <w:t>:</w:t>
            </w:r>
            <w:r w:rsidRPr="003316FD">
              <w:rPr>
                <w:rFonts w:cs="Arial"/>
                <w:color w:val="000000"/>
                <w:sz w:val="20"/>
                <w:szCs w:val="20"/>
                <w:lang w:val="en-GB"/>
              </w:rPr>
              <w:t xml:space="preserve"> </w:t>
            </w:r>
            <w:hyperlink r:id="rId46" w:history="1">
              <w:r w:rsidR="00026925" w:rsidRPr="003316FD">
                <w:rPr>
                  <w:rStyle w:val="Hyperlink"/>
                  <w:rFonts w:cs="Arial"/>
                  <w:sz w:val="20"/>
                  <w:szCs w:val="20"/>
                  <w:lang w:val="en-GB"/>
                </w:rPr>
                <w:t>http://www.unesco.org/culture/ich/doc/download.php?versionID=33099</w:t>
              </w:r>
            </w:hyperlink>
            <w:r w:rsidR="00A02FDA">
              <w:rPr>
                <w:rFonts w:cs="Arial"/>
                <w:color w:val="000000"/>
                <w:sz w:val="20"/>
                <w:szCs w:val="20"/>
                <w:lang w:val="en-GB"/>
              </w:rPr>
              <w:t>.</w:t>
            </w:r>
          </w:p>
        </w:tc>
      </w:tr>
    </w:tbl>
    <w:p w14:paraId="1C3B78E5" w14:textId="4232A505" w:rsidR="00822137" w:rsidRPr="00B1435C" w:rsidRDefault="00F02F65" w:rsidP="00260258">
      <w:pPr>
        <w:pStyle w:val="Marge"/>
        <w:tabs>
          <w:tab w:val="clear" w:pos="567"/>
        </w:tabs>
        <w:spacing w:before="120" w:after="120"/>
        <w:outlineLvl w:val="0"/>
        <w:rPr>
          <w:rFonts w:eastAsia="Malgun Gothic"/>
          <w:lang w:val="en-GB" w:eastAsia="ko-KR"/>
        </w:rPr>
      </w:pPr>
      <w:r w:rsidRPr="003316FD">
        <w:rPr>
          <w:rFonts w:cs="Arial"/>
          <w:color w:val="000000"/>
          <w:szCs w:val="22"/>
          <w:lang w:val="en-GB"/>
        </w:rPr>
        <w:t>Regarded as a living encyclopaedia of</w:t>
      </w:r>
      <w:r w:rsidR="00371B25" w:rsidRPr="003316FD">
        <w:rPr>
          <w:rFonts w:cs="Arial"/>
          <w:color w:val="000000"/>
          <w:szCs w:val="22"/>
          <w:lang w:val="en-GB"/>
        </w:rPr>
        <w:t xml:space="preserve"> </w:t>
      </w:r>
      <w:r w:rsidRPr="003316FD">
        <w:rPr>
          <w:rFonts w:cs="Arial"/>
          <w:color w:val="000000"/>
          <w:szCs w:val="22"/>
          <w:lang w:val="en-GB"/>
        </w:rPr>
        <w:t>the history of the Mongolian people</w:t>
      </w:r>
      <w:r w:rsidR="00ED6383">
        <w:rPr>
          <w:rFonts w:cs="Arial"/>
          <w:color w:val="000000"/>
          <w:szCs w:val="22"/>
          <w:lang w:val="en-GB"/>
        </w:rPr>
        <w:t xml:space="preserve"> and their</w:t>
      </w:r>
      <w:r w:rsidR="00ED6383" w:rsidRPr="003316FD">
        <w:rPr>
          <w:rFonts w:cs="Arial"/>
          <w:color w:val="000000"/>
          <w:szCs w:val="22"/>
          <w:lang w:val="en-GB"/>
        </w:rPr>
        <w:t xml:space="preserve"> oral traditions</w:t>
      </w:r>
      <w:r w:rsidR="00371B25" w:rsidRPr="003316FD">
        <w:rPr>
          <w:rFonts w:cs="Arial"/>
          <w:color w:val="000000"/>
          <w:szCs w:val="22"/>
          <w:lang w:val="en-GB"/>
        </w:rPr>
        <w:t xml:space="preserve">, the Mongolian traditional epic </w:t>
      </w:r>
      <w:r w:rsidRPr="003316FD">
        <w:rPr>
          <w:rFonts w:cs="Arial"/>
          <w:color w:val="000000"/>
          <w:szCs w:val="22"/>
          <w:lang w:val="en-GB"/>
        </w:rPr>
        <w:t>combine</w:t>
      </w:r>
      <w:r w:rsidR="00371B25" w:rsidRPr="003316FD">
        <w:rPr>
          <w:rFonts w:cs="Arial"/>
          <w:color w:val="000000"/>
          <w:szCs w:val="22"/>
          <w:lang w:val="en-GB"/>
        </w:rPr>
        <w:t>s</w:t>
      </w:r>
      <w:r w:rsidRPr="003316FD">
        <w:rPr>
          <w:rFonts w:cs="Arial"/>
          <w:color w:val="000000"/>
          <w:szCs w:val="22"/>
          <w:lang w:val="en-GB"/>
        </w:rPr>
        <w:t xml:space="preserve"> </w:t>
      </w:r>
      <w:r w:rsidR="000C32D2">
        <w:rPr>
          <w:rFonts w:cs="Arial"/>
          <w:color w:val="000000"/>
          <w:szCs w:val="22"/>
          <w:lang w:val="en-GB"/>
        </w:rPr>
        <w:t xml:space="preserve">heroism, </w:t>
      </w:r>
      <w:r w:rsidR="000C32D2" w:rsidRPr="003316FD">
        <w:rPr>
          <w:rFonts w:cs="Arial"/>
          <w:color w:val="000000"/>
          <w:szCs w:val="22"/>
          <w:lang w:val="en-GB"/>
        </w:rPr>
        <w:t>eulogies</w:t>
      </w:r>
      <w:r w:rsidR="00D76DC1">
        <w:rPr>
          <w:rFonts w:cs="Arial"/>
          <w:color w:val="000000"/>
          <w:szCs w:val="22"/>
          <w:lang w:val="en-GB"/>
        </w:rPr>
        <w:t xml:space="preserve">, benedictions and </w:t>
      </w:r>
      <w:r w:rsidR="00D76DC1" w:rsidRPr="003316FD">
        <w:rPr>
          <w:rFonts w:cs="Arial"/>
          <w:color w:val="000000"/>
          <w:szCs w:val="22"/>
          <w:lang w:val="en-GB"/>
        </w:rPr>
        <w:t>spells</w:t>
      </w:r>
      <w:r w:rsidR="00D76DC1">
        <w:rPr>
          <w:rFonts w:cs="Arial"/>
          <w:color w:val="000000"/>
          <w:szCs w:val="22"/>
          <w:lang w:val="en-GB"/>
        </w:rPr>
        <w:t xml:space="preserve"> with </w:t>
      </w:r>
      <w:r w:rsidR="00D76DC1" w:rsidRPr="003316FD">
        <w:rPr>
          <w:rFonts w:cs="Arial"/>
          <w:color w:val="000000"/>
          <w:szCs w:val="22"/>
          <w:lang w:val="en-GB"/>
        </w:rPr>
        <w:t>myths</w:t>
      </w:r>
      <w:r w:rsidR="00D76DC1">
        <w:rPr>
          <w:rFonts w:cs="Arial"/>
          <w:color w:val="000000"/>
          <w:szCs w:val="22"/>
          <w:lang w:val="en-GB"/>
        </w:rPr>
        <w:t xml:space="preserve"> </w:t>
      </w:r>
      <w:r w:rsidR="008F1881">
        <w:rPr>
          <w:rFonts w:cs="Arial"/>
          <w:color w:val="000000"/>
          <w:szCs w:val="22"/>
          <w:lang w:val="en-GB"/>
        </w:rPr>
        <w:t>fairy</w:t>
      </w:r>
      <w:r w:rsidR="008F1881" w:rsidRPr="003316FD">
        <w:rPr>
          <w:rFonts w:cs="Arial"/>
          <w:color w:val="000000"/>
          <w:szCs w:val="22"/>
          <w:lang w:val="en-GB"/>
        </w:rPr>
        <w:t xml:space="preserve"> tales</w:t>
      </w:r>
      <w:r w:rsidR="000C32D2">
        <w:rPr>
          <w:rFonts w:cs="Arial"/>
          <w:color w:val="000000"/>
          <w:szCs w:val="22"/>
          <w:lang w:val="en-GB"/>
        </w:rPr>
        <w:t xml:space="preserve"> and </w:t>
      </w:r>
      <w:r w:rsidR="000C32D2" w:rsidRPr="003316FD">
        <w:rPr>
          <w:rFonts w:cs="Arial"/>
          <w:color w:val="000000"/>
          <w:szCs w:val="22"/>
          <w:lang w:val="en-GB"/>
        </w:rPr>
        <w:t>idiomatic phrases</w:t>
      </w:r>
      <w:r w:rsidRPr="003316FD">
        <w:rPr>
          <w:rFonts w:cs="Arial"/>
          <w:color w:val="000000"/>
          <w:szCs w:val="22"/>
          <w:lang w:val="en-GB"/>
        </w:rPr>
        <w:t xml:space="preserve">. </w:t>
      </w:r>
      <w:r w:rsidR="00371B25" w:rsidRPr="003316FD">
        <w:rPr>
          <w:rFonts w:cs="Arial"/>
          <w:color w:val="000000"/>
          <w:szCs w:val="22"/>
          <w:lang w:val="en-GB"/>
        </w:rPr>
        <w:t xml:space="preserve">Owned by nomadic communities in which many </w:t>
      </w:r>
      <w:r w:rsidR="000C32D2">
        <w:rPr>
          <w:rFonts w:cs="Arial"/>
          <w:color w:val="000000"/>
          <w:szCs w:val="22"/>
          <w:lang w:val="en-GB"/>
        </w:rPr>
        <w:t>had</w:t>
      </w:r>
      <w:r w:rsidR="00371B25" w:rsidRPr="003316FD">
        <w:rPr>
          <w:rFonts w:cs="Arial"/>
          <w:color w:val="000000"/>
          <w:szCs w:val="22"/>
          <w:lang w:val="en-GB"/>
        </w:rPr>
        <w:t xml:space="preserve"> not master</w:t>
      </w:r>
      <w:r w:rsidR="000C32D2">
        <w:rPr>
          <w:rFonts w:cs="Arial"/>
          <w:color w:val="000000"/>
          <w:szCs w:val="22"/>
          <w:lang w:val="en-GB"/>
        </w:rPr>
        <w:t>ed</w:t>
      </w:r>
      <w:r w:rsidR="00371B25" w:rsidRPr="003316FD">
        <w:rPr>
          <w:rFonts w:cs="Arial"/>
          <w:color w:val="000000"/>
          <w:szCs w:val="22"/>
          <w:lang w:val="en-GB"/>
        </w:rPr>
        <w:t xml:space="preserve"> reading or writing, the Mongolian traditional epic </w:t>
      </w:r>
      <w:r w:rsidR="00371B25" w:rsidRPr="003316FD">
        <w:rPr>
          <w:lang w:val="en-GB"/>
        </w:rPr>
        <w:t>played an irreplaceable role in the transmission of their cultural heritage.</w:t>
      </w:r>
      <w:r w:rsidR="00371B25" w:rsidRPr="003316FD">
        <w:rPr>
          <w:rFonts w:cs="Arial"/>
          <w:color w:val="000000"/>
          <w:szCs w:val="22"/>
          <w:lang w:val="en-GB"/>
        </w:rPr>
        <w:t xml:space="preserve"> </w:t>
      </w:r>
      <w:r w:rsidRPr="003316FD">
        <w:rPr>
          <w:rFonts w:cs="Arial"/>
          <w:color w:val="000000"/>
          <w:szCs w:val="22"/>
          <w:lang w:val="en-GB"/>
        </w:rPr>
        <w:t>Today, the number of epic trainers and learners is decreasing</w:t>
      </w:r>
      <w:r w:rsidR="00217AFE">
        <w:rPr>
          <w:rFonts w:cs="Arial"/>
          <w:color w:val="000000"/>
          <w:szCs w:val="22"/>
          <w:lang w:val="en-GB"/>
        </w:rPr>
        <w:t xml:space="preserve"> resulting in </w:t>
      </w:r>
      <w:r w:rsidRPr="003316FD">
        <w:rPr>
          <w:rFonts w:cs="Arial"/>
          <w:color w:val="000000"/>
          <w:szCs w:val="22"/>
          <w:lang w:val="en-GB"/>
        </w:rPr>
        <w:t>the gradual disappearance of the Mongol epic</w:t>
      </w:r>
      <w:r w:rsidR="00B47E67">
        <w:rPr>
          <w:rFonts w:cs="Arial"/>
          <w:color w:val="000000"/>
          <w:szCs w:val="22"/>
          <w:lang w:val="en-GB"/>
        </w:rPr>
        <w:t xml:space="preserve"> </w:t>
      </w:r>
      <w:r w:rsidR="00217AFE">
        <w:rPr>
          <w:rFonts w:cs="Arial"/>
          <w:color w:val="000000"/>
          <w:szCs w:val="22"/>
          <w:lang w:val="en-GB"/>
        </w:rPr>
        <w:t xml:space="preserve">and a weakening of the </w:t>
      </w:r>
      <w:r w:rsidR="00B47E67">
        <w:rPr>
          <w:rFonts w:cs="Arial"/>
          <w:color w:val="000000"/>
          <w:szCs w:val="22"/>
          <w:lang w:val="en-GB"/>
        </w:rPr>
        <w:t xml:space="preserve">communities’ </w:t>
      </w:r>
      <w:r w:rsidR="00217AFE">
        <w:rPr>
          <w:rFonts w:cs="Arial"/>
          <w:color w:val="000000"/>
          <w:szCs w:val="22"/>
          <w:lang w:val="en-GB"/>
        </w:rPr>
        <w:t xml:space="preserve">knowledge </w:t>
      </w:r>
      <w:r w:rsidR="00217AFE" w:rsidRPr="003316FD">
        <w:rPr>
          <w:rFonts w:cs="Arial"/>
          <w:color w:val="000000"/>
          <w:szCs w:val="22"/>
          <w:lang w:val="en-GB"/>
        </w:rPr>
        <w:t>transmi</w:t>
      </w:r>
      <w:r w:rsidR="00217AFE">
        <w:rPr>
          <w:rFonts w:cs="Arial"/>
          <w:color w:val="000000"/>
          <w:szCs w:val="22"/>
          <w:lang w:val="en-GB"/>
        </w:rPr>
        <w:t xml:space="preserve">ssion </w:t>
      </w:r>
      <w:r w:rsidR="00217AFE" w:rsidRPr="003316FD">
        <w:rPr>
          <w:rFonts w:cs="Arial"/>
          <w:color w:val="000000"/>
          <w:szCs w:val="22"/>
          <w:lang w:val="en-GB"/>
        </w:rPr>
        <w:t>system o</w:t>
      </w:r>
      <w:r w:rsidR="00217AFE">
        <w:rPr>
          <w:rFonts w:cs="Arial"/>
          <w:color w:val="000000"/>
          <w:szCs w:val="22"/>
          <w:lang w:val="en-GB"/>
        </w:rPr>
        <w:t>n</w:t>
      </w:r>
      <w:r w:rsidR="00217AFE" w:rsidRPr="003316FD">
        <w:rPr>
          <w:rFonts w:cs="Arial"/>
          <w:color w:val="000000"/>
          <w:szCs w:val="22"/>
          <w:lang w:val="en-GB"/>
        </w:rPr>
        <w:t xml:space="preserve"> </w:t>
      </w:r>
      <w:r w:rsidR="00217AFE">
        <w:rPr>
          <w:rFonts w:cs="Arial"/>
          <w:color w:val="000000"/>
          <w:szCs w:val="22"/>
          <w:lang w:val="en-GB"/>
        </w:rPr>
        <w:t>their c</w:t>
      </w:r>
      <w:r w:rsidR="00B47E67">
        <w:rPr>
          <w:rFonts w:cs="Arial"/>
          <w:color w:val="000000"/>
          <w:szCs w:val="22"/>
          <w:lang w:val="en-GB"/>
        </w:rPr>
        <w:t xml:space="preserve">ulture and </w:t>
      </w:r>
      <w:r w:rsidR="00B47E67" w:rsidRPr="003316FD">
        <w:rPr>
          <w:rFonts w:cs="Arial"/>
          <w:color w:val="000000"/>
          <w:szCs w:val="22"/>
          <w:lang w:val="en-GB"/>
        </w:rPr>
        <w:t>histor</w:t>
      </w:r>
      <w:r w:rsidR="00B47E67">
        <w:rPr>
          <w:rFonts w:cs="Arial"/>
          <w:color w:val="000000"/>
          <w:szCs w:val="22"/>
          <w:lang w:val="en-GB"/>
        </w:rPr>
        <w:t>y</w:t>
      </w:r>
      <w:r w:rsidRPr="003316FD">
        <w:rPr>
          <w:rFonts w:cs="Arial"/>
          <w:color w:val="000000"/>
          <w:szCs w:val="22"/>
          <w:lang w:val="en-GB"/>
        </w:rPr>
        <w:t>.</w:t>
      </w:r>
      <w:r w:rsidR="00371B25" w:rsidRPr="003316FD">
        <w:rPr>
          <w:rFonts w:cs="Arial"/>
          <w:color w:val="000000"/>
          <w:szCs w:val="22"/>
          <w:lang w:val="en-GB"/>
        </w:rPr>
        <w:t xml:space="preserve"> </w:t>
      </w:r>
      <w:r w:rsidR="00371B25" w:rsidRPr="003316FD">
        <w:rPr>
          <w:lang w:val="en-GB"/>
        </w:rPr>
        <w:t>The project implemented some of the measures included in the safeguarding plan proposed in the nomination with a view to revitalizing the tradition</w:t>
      </w:r>
      <w:r w:rsidR="00D76DC1">
        <w:rPr>
          <w:lang w:val="en-GB"/>
        </w:rPr>
        <w:t>,</w:t>
      </w:r>
      <w:r w:rsidR="00371B25" w:rsidRPr="003316FD">
        <w:rPr>
          <w:lang w:val="en-GB"/>
        </w:rPr>
        <w:t xml:space="preserve"> particularly through </w:t>
      </w:r>
      <w:r w:rsidR="00BD6BBB" w:rsidRPr="003316FD">
        <w:rPr>
          <w:lang w:val="en-GB"/>
        </w:rPr>
        <w:t>enhanced</w:t>
      </w:r>
      <w:r w:rsidR="00371B25" w:rsidRPr="003316FD">
        <w:rPr>
          <w:lang w:val="en-GB"/>
        </w:rPr>
        <w:t xml:space="preserve"> documentation and train</w:t>
      </w:r>
      <w:r w:rsidR="00BD6BBB" w:rsidRPr="003316FD">
        <w:rPr>
          <w:lang w:val="en-GB"/>
        </w:rPr>
        <w:t xml:space="preserve">ing </w:t>
      </w:r>
      <w:r w:rsidR="00371B25" w:rsidRPr="003316FD">
        <w:rPr>
          <w:lang w:val="en-GB"/>
        </w:rPr>
        <w:t>young apprentices.</w:t>
      </w:r>
    </w:p>
    <w:p w14:paraId="78216DC4" w14:textId="1BB76CF8" w:rsidR="002F07D9" w:rsidRPr="002F07D9" w:rsidRDefault="00BD6BBB" w:rsidP="002F07D9">
      <w:pPr>
        <w:pStyle w:val="Marge"/>
        <w:tabs>
          <w:tab w:val="clear" w:pos="567"/>
        </w:tabs>
        <w:spacing w:before="120"/>
        <w:outlineLvl w:val="0"/>
        <w:rPr>
          <w:lang w:val="en-GB"/>
        </w:rPr>
      </w:pPr>
      <w:r w:rsidRPr="003316FD">
        <w:rPr>
          <w:lang w:val="en-GB"/>
        </w:rPr>
        <w:t xml:space="preserve">Starting with a field study on the current status of the epic, its repertoire and associated practices, the project trained 25 people, including performers and apprentices. Training </w:t>
      </w:r>
      <w:r w:rsidR="0093722C" w:rsidRPr="003316FD">
        <w:rPr>
          <w:lang w:val="en-GB"/>
        </w:rPr>
        <w:t>centres</w:t>
      </w:r>
      <w:r w:rsidRPr="003316FD">
        <w:rPr>
          <w:lang w:val="en-GB"/>
        </w:rPr>
        <w:t xml:space="preserve"> were set up in schools and </w:t>
      </w:r>
      <w:r w:rsidR="0093722C" w:rsidRPr="003316FD">
        <w:rPr>
          <w:lang w:val="en-GB"/>
        </w:rPr>
        <w:t>theatres</w:t>
      </w:r>
      <w:r w:rsidRPr="003316FD">
        <w:rPr>
          <w:lang w:val="en-GB"/>
        </w:rPr>
        <w:t xml:space="preserve"> with the participation of practitioners and academicians relying on audiovisual recordings to restore forgotten epics. </w:t>
      </w:r>
      <w:r w:rsidR="002D2AD2">
        <w:rPr>
          <w:lang w:val="en-GB"/>
        </w:rPr>
        <w:t>T</w:t>
      </w:r>
      <w:r w:rsidR="0011642F" w:rsidRPr="003316FD">
        <w:rPr>
          <w:lang w:val="en-GB"/>
        </w:rPr>
        <w:t xml:space="preserve">hroughout </w:t>
      </w:r>
      <w:r w:rsidR="002D2AD2">
        <w:rPr>
          <w:lang w:val="en-GB"/>
        </w:rPr>
        <w:t>this period</w:t>
      </w:r>
      <w:r w:rsidR="004B546B">
        <w:rPr>
          <w:lang w:val="en-GB"/>
        </w:rPr>
        <w:t>,</w:t>
      </w:r>
      <w:r w:rsidR="002D2AD2">
        <w:rPr>
          <w:lang w:val="en-GB"/>
        </w:rPr>
        <w:t xml:space="preserve"> </w:t>
      </w:r>
      <w:r w:rsidR="002D2AD2" w:rsidRPr="003316FD">
        <w:rPr>
          <w:lang w:val="en-GB"/>
        </w:rPr>
        <w:t>knowledge acqui</w:t>
      </w:r>
      <w:r w:rsidR="002D2AD2">
        <w:rPr>
          <w:lang w:val="en-GB"/>
        </w:rPr>
        <w:t>red</w:t>
      </w:r>
      <w:r w:rsidR="002D2AD2" w:rsidRPr="003316FD">
        <w:rPr>
          <w:lang w:val="en-GB"/>
        </w:rPr>
        <w:t xml:space="preserve"> by </w:t>
      </w:r>
      <w:r w:rsidR="002D2AD2">
        <w:rPr>
          <w:lang w:val="en-GB"/>
        </w:rPr>
        <w:t xml:space="preserve">the </w:t>
      </w:r>
      <w:r w:rsidR="002D2AD2" w:rsidRPr="003316FD">
        <w:rPr>
          <w:lang w:val="en-GB"/>
        </w:rPr>
        <w:t>trainers and apprentices</w:t>
      </w:r>
      <w:r w:rsidR="002D2AD2">
        <w:rPr>
          <w:lang w:val="en-GB"/>
        </w:rPr>
        <w:t xml:space="preserve"> was tested a</w:t>
      </w:r>
      <w:r w:rsidR="002D2AD2" w:rsidRPr="003316FD">
        <w:rPr>
          <w:lang w:val="en-GB"/>
        </w:rPr>
        <w:t xml:space="preserve">s part of </w:t>
      </w:r>
      <w:r w:rsidR="002D2AD2">
        <w:rPr>
          <w:lang w:val="en-GB"/>
        </w:rPr>
        <w:t xml:space="preserve">the project’s </w:t>
      </w:r>
      <w:r w:rsidR="002D2AD2" w:rsidRPr="003316FD">
        <w:rPr>
          <w:lang w:val="en-GB"/>
        </w:rPr>
        <w:t>evaluation</w:t>
      </w:r>
      <w:r w:rsidR="002D2AD2">
        <w:rPr>
          <w:lang w:val="en-GB"/>
        </w:rPr>
        <w:t xml:space="preserve"> processes</w:t>
      </w:r>
      <w:r w:rsidR="0011642F" w:rsidRPr="003316FD">
        <w:rPr>
          <w:lang w:val="en-GB"/>
        </w:rPr>
        <w:t xml:space="preserve">. </w:t>
      </w:r>
      <w:r w:rsidR="00D76DC1">
        <w:rPr>
          <w:lang w:val="en-GB"/>
        </w:rPr>
        <w:t>I</w:t>
      </w:r>
      <w:r w:rsidRPr="003316FD">
        <w:rPr>
          <w:lang w:val="en-GB"/>
        </w:rPr>
        <w:t>n close cooperation</w:t>
      </w:r>
      <w:r w:rsidR="00D76DC1">
        <w:rPr>
          <w:lang w:val="en-GB"/>
        </w:rPr>
        <w:t>, t</w:t>
      </w:r>
      <w:r w:rsidR="00D76DC1" w:rsidRPr="003316FD">
        <w:rPr>
          <w:lang w:val="en-GB"/>
        </w:rPr>
        <w:t>he Centre of Cultural Heritage</w:t>
      </w:r>
      <w:r w:rsidRPr="003316FD">
        <w:rPr>
          <w:lang w:val="en-GB"/>
        </w:rPr>
        <w:t xml:space="preserve"> published a guidebook for epic practitioners on </w:t>
      </w:r>
      <w:r w:rsidR="0011642F" w:rsidRPr="003316FD">
        <w:rPr>
          <w:lang w:val="en-GB"/>
        </w:rPr>
        <w:t>the different techniques of performing epic and traditional modes of transmission. A series of 11</w:t>
      </w:r>
      <w:r w:rsidR="00D440E2" w:rsidRPr="003316FD">
        <w:rPr>
          <w:lang w:val="en-GB"/>
        </w:rPr>
        <w:t> </w:t>
      </w:r>
      <w:r w:rsidR="0011642F" w:rsidRPr="003316FD">
        <w:rPr>
          <w:lang w:val="en-GB"/>
        </w:rPr>
        <w:t>volumes collecting the epic texts as declaimed by different ethnic groups was also published.</w:t>
      </w:r>
      <w:r w:rsidR="00D440E2" w:rsidRPr="003316FD">
        <w:rPr>
          <w:lang w:val="en-GB"/>
        </w:rPr>
        <w:t xml:space="preserve"> The project provided an opportunity for cultur</w:t>
      </w:r>
      <w:r w:rsidR="002D2AD2">
        <w:rPr>
          <w:lang w:val="en-GB"/>
        </w:rPr>
        <w:t>e</w:t>
      </w:r>
      <w:r w:rsidR="00D440E2" w:rsidRPr="003316FD">
        <w:rPr>
          <w:lang w:val="en-GB"/>
        </w:rPr>
        <w:t xml:space="preserve"> officers to gain hands-on experience in the identification and documentation of intangible cultural heritage and for practitioners to develop transmission systems appropriate to the current contexts in Mongolia.</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2F07D9" w:rsidRPr="003316FD" w14:paraId="15D61634" w14:textId="77777777" w:rsidTr="00A4198D">
        <w:trPr>
          <w:cantSplit/>
        </w:trPr>
        <w:tc>
          <w:tcPr>
            <w:tcW w:w="2025" w:type="dxa"/>
            <w:shd w:val="clear" w:color="auto" w:fill="auto"/>
            <w:vAlign w:val="center"/>
          </w:tcPr>
          <w:p w14:paraId="357CE706" w14:textId="77777777" w:rsidR="002F07D9" w:rsidRPr="003316FD" w:rsidRDefault="002F07D9" w:rsidP="00A4198D">
            <w:pPr>
              <w:pStyle w:val="Marge"/>
              <w:keepNext/>
              <w:tabs>
                <w:tab w:val="clear" w:pos="567"/>
              </w:tabs>
              <w:spacing w:before="120" w:after="120"/>
              <w:jc w:val="center"/>
              <w:outlineLvl w:val="0"/>
              <w:rPr>
                <w:rFonts w:cs="Arial"/>
                <w:b/>
                <w:color w:val="000000"/>
                <w:sz w:val="20"/>
                <w:szCs w:val="20"/>
                <w:lang w:val="en-GB"/>
              </w:rPr>
            </w:pPr>
            <w:r w:rsidRPr="003316FD">
              <w:rPr>
                <w:rFonts w:cs="Arial"/>
                <w:b/>
                <w:color w:val="000000"/>
                <w:sz w:val="20"/>
                <w:szCs w:val="20"/>
                <w:lang w:val="en-GB"/>
              </w:rPr>
              <w:t>Morocco</w:t>
            </w:r>
          </w:p>
        </w:tc>
        <w:tc>
          <w:tcPr>
            <w:tcW w:w="1560" w:type="dxa"/>
            <w:shd w:val="clear" w:color="auto" w:fill="auto"/>
            <w:vAlign w:val="center"/>
          </w:tcPr>
          <w:p w14:paraId="13B79D89" w14:textId="77777777" w:rsidR="002F07D9" w:rsidRPr="003316FD" w:rsidRDefault="002F07D9" w:rsidP="00A4198D">
            <w:pPr>
              <w:pStyle w:val="Marge"/>
              <w:keepNext/>
              <w:tabs>
                <w:tab w:val="clear" w:pos="567"/>
              </w:tabs>
              <w:spacing w:before="120" w:after="120"/>
              <w:jc w:val="left"/>
              <w:outlineLvl w:val="0"/>
              <w:rPr>
                <w:rFonts w:cs="Arial"/>
                <w:b/>
                <w:color w:val="000000"/>
                <w:sz w:val="20"/>
                <w:szCs w:val="20"/>
                <w:lang w:val="en-GB"/>
              </w:rPr>
            </w:pPr>
            <w:r w:rsidRPr="003316FD">
              <w:rPr>
                <w:rFonts w:cs="Arial"/>
                <w:b/>
                <w:sz w:val="20"/>
                <w:szCs w:val="20"/>
                <w:lang w:val="en-GB"/>
              </w:rPr>
              <w:t>US$14,100</w:t>
            </w:r>
          </w:p>
        </w:tc>
        <w:tc>
          <w:tcPr>
            <w:tcW w:w="6073" w:type="dxa"/>
            <w:shd w:val="clear" w:color="auto" w:fill="auto"/>
            <w:vAlign w:val="center"/>
          </w:tcPr>
          <w:p w14:paraId="062347C5" w14:textId="77777777" w:rsidR="002F07D9" w:rsidRPr="003316FD" w:rsidRDefault="002F07D9" w:rsidP="00A4198D">
            <w:pPr>
              <w:pStyle w:val="Marge"/>
              <w:keepNext/>
              <w:tabs>
                <w:tab w:val="clear" w:pos="567"/>
              </w:tabs>
              <w:spacing w:before="120" w:after="120"/>
              <w:jc w:val="left"/>
              <w:outlineLvl w:val="0"/>
              <w:rPr>
                <w:rFonts w:cs="Arial"/>
                <w:color w:val="000000"/>
                <w:sz w:val="20"/>
                <w:szCs w:val="20"/>
                <w:lang w:val="en-GB"/>
              </w:rPr>
            </w:pPr>
            <w:proofErr w:type="spellStart"/>
            <w:r w:rsidRPr="003316FD">
              <w:rPr>
                <w:rFonts w:cs="Arial"/>
                <w:b/>
                <w:color w:val="000000"/>
                <w:sz w:val="20"/>
                <w:szCs w:val="20"/>
                <w:lang w:val="en-GB"/>
              </w:rPr>
              <w:t>Taskiwine</w:t>
            </w:r>
            <w:proofErr w:type="spellEnd"/>
            <w:r w:rsidRPr="003316FD">
              <w:rPr>
                <w:rFonts w:cs="Arial"/>
                <w:b/>
                <w:color w:val="000000"/>
                <w:sz w:val="20"/>
                <w:szCs w:val="20"/>
                <w:lang w:val="en-GB"/>
              </w:rPr>
              <w:t xml:space="preserve">, Amazigh dance and songs of the western High Atlas </w:t>
            </w:r>
            <w:r w:rsidRPr="003316FD">
              <w:rPr>
                <w:rFonts w:cs="Arial"/>
                <w:color w:val="000000"/>
                <w:sz w:val="20"/>
                <w:szCs w:val="20"/>
                <w:lang w:val="en-GB"/>
              </w:rPr>
              <w:t>(No. 01052)</w:t>
            </w:r>
          </w:p>
          <w:p w14:paraId="1285107C" w14:textId="77777777" w:rsidR="002F07D9" w:rsidRPr="003316FD" w:rsidRDefault="002F07D9" w:rsidP="00A4198D">
            <w:pPr>
              <w:pStyle w:val="Marge"/>
              <w:keepNext/>
              <w:tabs>
                <w:tab w:val="clear" w:pos="567"/>
              </w:tabs>
              <w:spacing w:before="120" w:after="120"/>
              <w:jc w:val="left"/>
              <w:outlineLvl w:val="0"/>
              <w:rPr>
                <w:rFonts w:cs="Arial"/>
                <w:b/>
                <w:color w:val="000000"/>
                <w:sz w:val="20"/>
                <w:szCs w:val="20"/>
                <w:lang w:val="en-GB"/>
              </w:rPr>
            </w:pPr>
            <w:r w:rsidRPr="003316FD">
              <w:rPr>
                <w:rFonts w:cs="Arial"/>
                <w:color w:val="000000"/>
                <w:sz w:val="20"/>
                <w:szCs w:val="20"/>
                <w:lang w:val="en-GB"/>
              </w:rPr>
              <w:t>Preparatory Assistance</w:t>
            </w:r>
          </w:p>
        </w:tc>
      </w:tr>
      <w:tr w:rsidR="002F07D9" w:rsidRPr="003316FD" w14:paraId="1EB8AFEF" w14:textId="77777777" w:rsidTr="00A4198D">
        <w:trPr>
          <w:cantSplit/>
        </w:trPr>
        <w:tc>
          <w:tcPr>
            <w:tcW w:w="2025" w:type="dxa"/>
            <w:shd w:val="clear" w:color="auto" w:fill="auto"/>
          </w:tcPr>
          <w:p w14:paraId="511E825C" w14:textId="77777777" w:rsidR="002F07D9" w:rsidRPr="003316FD" w:rsidRDefault="002F07D9" w:rsidP="00A4198D">
            <w:pPr>
              <w:pStyle w:val="Marge"/>
              <w:keepNext/>
              <w:tabs>
                <w:tab w:val="clear" w:pos="567"/>
              </w:tabs>
              <w:spacing w:before="120" w:after="120"/>
              <w:jc w:val="right"/>
              <w:outlineLvl w:val="0"/>
              <w:rPr>
                <w:rFonts w:cs="Arial"/>
                <w:i/>
                <w:color w:val="000000"/>
                <w:sz w:val="20"/>
                <w:szCs w:val="20"/>
                <w:lang w:val="en-GB"/>
              </w:rPr>
            </w:pPr>
            <w:r w:rsidRPr="003316FD">
              <w:rPr>
                <w:rFonts w:cs="Arial"/>
                <w:i/>
                <w:color w:val="000000"/>
                <w:sz w:val="20"/>
                <w:szCs w:val="20"/>
                <w:lang w:val="en-GB"/>
              </w:rPr>
              <w:t>Granted:</w:t>
            </w:r>
          </w:p>
        </w:tc>
        <w:tc>
          <w:tcPr>
            <w:tcW w:w="7633" w:type="dxa"/>
            <w:gridSpan w:val="2"/>
            <w:shd w:val="clear" w:color="auto" w:fill="auto"/>
          </w:tcPr>
          <w:p w14:paraId="1A7BE97A" w14:textId="77777777" w:rsidR="002F07D9" w:rsidRPr="003316FD" w:rsidRDefault="002F07D9" w:rsidP="00A4198D">
            <w:pPr>
              <w:pStyle w:val="Marge"/>
              <w:keepNext/>
              <w:tabs>
                <w:tab w:val="clear" w:pos="567"/>
              </w:tabs>
              <w:spacing w:before="120" w:after="120"/>
              <w:jc w:val="left"/>
              <w:outlineLvl w:val="0"/>
              <w:rPr>
                <w:rFonts w:cs="Arial"/>
                <w:color w:val="000000"/>
                <w:sz w:val="20"/>
                <w:szCs w:val="20"/>
                <w:lang w:val="en-GB"/>
              </w:rPr>
            </w:pPr>
            <w:r w:rsidRPr="003316FD">
              <w:rPr>
                <w:rFonts w:cs="Arial"/>
                <w:color w:val="000000"/>
                <w:sz w:val="20"/>
                <w:szCs w:val="20"/>
                <w:lang w:val="en-GB"/>
              </w:rPr>
              <w:t>2014 (</w:t>
            </w:r>
            <w:hyperlink r:id="rId47" w:history="1">
              <w:r w:rsidRPr="003316FD">
                <w:rPr>
                  <w:rStyle w:val="Hyperlink"/>
                  <w:rFonts w:cs="Arial"/>
                  <w:sz w:val="20"/>
                  <w:szCs w:val="20"/>
                  <w:lang w:val="en-GB"/>
                </w:rPr>
                <w:t>Decision 9.COM 4.BUR 2</w:t>
              </w:r>
            </w:hyperlink>
            <w:r w:rsidRPr="003316FD">
              <w:rPr>
                <w:rFonts w:cs="Arial"/>
                <w:color w:val="000000"/>
                <w:sz w:val="20"/>
                <w:szCs w:val="20"/>
                <w:lang w:val="en-GB"/>
              </w:rPr>
              <w:t>)</w:t>
            </w:r>
          </w:p>
        </w:tc>
      </w:tr>
      <w:tr w:rsidR="002F07D9" w:rsidRPr="003316FD" w14:paraId="5FC3088B" w14:textId="77777777" w:rsidTr="00A4198D">
        <w:trPr>
          <w:cantSplit/>
        </w:trPr>
        <w:tc>
          <w:tcPr>
            <w:tcW w:w="2025" w:type="dxa"/>
            <w:shd w:val="clear" w:color="auto" w:fill="auto"/>
          </w:tcPr>
          <w:p w14:paraId="2E4229A9" w14:textId="77777777" w:rsidR="002F07D9" w:rsidRPr="003316FD" w:rsidRDefault="002F07D9" w:rsidP="00A4198D">
            <w:pPr>
              <w:pStyle w:val="Marge"/>
              <w:keepNext/>
              <w:tabs>
                <w:tab w:val="clear" w:pos="567"/>
              </w:tabs>
              <w:spacing w:before="120" w:after="120"/>
              <w:jc w:val="right"/>
              <w:outlineLvl w:val="0"/>
              <w:rPr>
                <w:rFonts w:cs="Arial"/>
                <w:i/>
                <w:color w:val="000000"/>
                <w:sz w:val="20"/>
                <w:szCs w:val="20"/>
                <w:lang w:val="en-GB"/>
              </w:rPr>
            </w:pPr>
            <w:r w:rsidRPr="003316FD">
              <w:rPr>
                <w:rFonts w:cs="Arial"/>
                <w:i/>
                <w:color w:val="000000"/>
                <w:sz w:val="20"/>
                <w:szCs w:val="20"/>
                <w:lang w:val="en-GB"/>
              </w:rPr>
              <w:t>Reporting period:</w:t>
            </w:r>
          </w:p>
        </w:tc>
        <w:tc>
          <w:tcPr>
            <w:tcW w:w="7633" w:type="dxa"/>
            <w:gridSpan w:val="2"/>
            <w:shd w:val="clear" w:color="auto" w:fill="auto"/>
          </w:tcPr>
          <w:p w14:paraId="3B44F6F6" w14:textId="77777777" w:rsidR="002F07D9" w:rsidRPr="003316FD" w:rsidRDefault="002F07D9" w:rsidP="00A4198D">
            <w:pPr>
              <w:pStyle w:val="Marge"/>
              <w:keepNext/>
              <w:tabs>
                <w:tab w:val="clear" w:pos="567"/>
              </w:tabs>
              <w:spacing w:before="120" w:after="120"/>
              <w:jc w:val="left"/>
              <w:outlineLvl w:val="0"/>
              <w:rPr>
                <w:rFonts w:cs="Arial"/>
                <w:color w:val="000000"/>
                <w:sz w:val="20"/>
                <w:szCs w:val="20"/>
                <w:lang w:val="en-GB"/>
              </w:rPr>
            </w:pPr>
            <w:r w:rsidRPr="003316FD">
              <w:rPr>
                <w:rFonts w:cs="Arial"/>
                <w:color w:val="000000"/>
                <w:sz w:val="20"/>
                <w:szCs w:val="20"/>
                <w:lang w:val="en-GB"/>
              </w:rPr>
              <w:t>15/12/2014</w:t>
            </w:r>
            <w:r>
              <w:rPr>
                <w:rFonts w:cs="Arial"/>
                <w:color w:val="000000"/>
                <w:sz w:val="20"/>
                <w:szCs w:val="20"/>
                <w:lang w:val="en-GB"/>
              </w:rPr>
              <w:t xml:space="preserve"> </w:t>
            </w:r>
            <w:r w:rsidRPr="003316FD">
              <w:rPr>
                <w:rFonts w:cs="Arial"/>
                <w:color w:val="000000"/>
                <w:sz w:val="20"/>
                <w:szCs w:val="20"/>
                <w:lang w:val="en-GB"/>
              </w:rPr>
              <w:t>–</w:t>
            </w:r>
            <w:r>
              <w:rPr>
                <w:rFonts w:cs="Arial"/>
                <w:color w:val="000000"/>
                <w:sz w:val="20"/>
                <w:szCs w:val="20"/>
                <w:lang w:val="en-GB"/>
              </w:rPr>
              <w:t xml:space="preserve"> </w:t>
            </w:r>
            <w:r w:rsidRPr="003316FD">
              <w:rPr>
                <w:rFonts w:cs="Arial"/>
                <w:color w:val="000000"/>
                <w:sz w:val="20"/>
                <w:szCs w:val="20"/>
                <w:lang w:val="en-GB"/>
              </w:rPr>
              <w:t>30/04/2016</w:t>
            </w:r>
          </w:p>
        </w:tc>
      </w:tr>
    </w:tbl>
    <w:p w14:paraId="5D51D1BD" w14:textId="66F6D115" w:rsidR="002F07D9" w:rsidRPr="0079557C" w:rsidRDefault="002F07D9" w:rsidP="002F07D9">
      <w:pPr>
        <w:pStyle w:val="Marge"/>
        <w:tabs>
          <w:tab w:val="clear" w:pos="567"/>
        </w:tabs>
        <w:spacing w:before="120"/>
        <w:outlineLvl w:val="0"/>
        <w:rPr>
          <w:rFonts w:cs="Arial"/>
          <w:szCs w:val="22"/>
          <w:lang w:val="en-US"/>
        </w:rPr>
      </w:pPr>
      <w:r w:rsidRPr="0079557C">
        <w:rPr>
          <w:rFonts w:cs="Arial"/>
          <w:szCs w:val="22"/>
          <w:lang w:val="en-US"/>
        </w:rPr>
        <w:t xml:space="preserve">The objective of this project was to contribute to revitalizing the </w:t>
      </w:r>
      <w:proofErr w:type="spellStart"/>
      <w:r w:rsidRPr="0079557C">
        <w:rPr>
          <w:rFonts w:cs="Arial"/>
          <w:szCs w:val="22"/>
          <w:lang w:val="en-US"/>
        </w:rPr>
        <w:t>Taskiwine</w:t>
      </w:r>
      <w:proofErr w:type="spellEnd"/>
      <w:r w:rsidRPr="0079557C">
        <w:rPr>
          <w:rFonts w:cs="Arial"/>
          <w:szCs w:val="22"/>
          <w:lang w:val="en-US"/>
        </w:rPr>
        <w:t>, Amazigh dance and songs of the western High Atlas, through the preparation of a nomination for inscription on the List of Intangible Cultural Heritage in Need of Urgent Safeguarding. More specifically, the project seeks to: involve the communities, especially for drawing up a safeguarding plan and obtaining their consent; include the element on the inventory of the intangible cultural heritage of Morocco and produce the audio-visuals for the nomination file. The specific objectives sought have been reached, thanks mainly to the two consultation meetings with the communities and the different institutional stakeholders, as well as a field visit. Because the first consultation enjoyed widespread participation of the communities and raised many expectations, it was judged necessary to add another year to ensure a successful second consultation. Thus, the communities were able to fully contribute to the preparation of the four</w:t>
      </w:r>
      <w:r>
        <w:rPr>
          <w:rFonts w:cs="Arial"/>
          <w:szCs w:val="22"/>
          <w:lang w:val="en-US"/>
        </w:rPr>
        <w:t>-</w:t>
      </w:r>
      <w:r w:rsidRPr="0079557C">
        <w:rPr>
          <w:rFonts w:cs="Arial"/>
          <w:szCs w:val="22"/>
          <w:lang w:val="en-US"/>
        </w:rPr>
        <w:t>year safeguarding plan</w:t>
      </w:r>
      <w:r>
        <w:rPr>
          <w:rFonts w:cs="Arial"/>
          <w:szCs w:val="22"/>
          <w:lang w:val="en-US"/>
        </w:rPr>
        <w:t xml:space="preserve"> </w:t>
      </w:r>
      <w:r w:rsidRPr="0079557C">
        <w:rPr>
          <w:rFonts w:cs="Arial"/>
          <w:szCs w:val="22"/>
          <w:lang w:val="en-US"/>
        </w:rPr>
        <w:t>(2017 – 2020), the finalization of the inventory and the selection of photos and documentary film to be included in the file. The preparatory work for the nomination lasted thr</w:t>
      </w:r>
      <w:r>
        <w:rPr>
          <w:rFonts w:cs="Arial"/>
          <w:szCs w:val="22"/>
          <w:lang w:val="en-US"/>
        </w:rPr>
        <w:t>ee years and</w:t>
      </w:r>
      <w:r w:rsidRPr="0079557C">
        <w:rPr>
          <w:rFonts w:cs="Arial"/>
          <w:szCs w:val="22"/>
          <w:lang w:val="en-US"/>
        </w:rPr>
        <w:t xml:space="preserve"> many communities, institutions and media </w:t>
      </w:r>
      <w:r>
        <w:rPr>
          <w:rFonts w:cs="Arial"/>
          <w:szCs w:val="22"/>
          <w:lang w:val="en-US"/>
        </w:rPr>
        <w:t>rallied for the</w:t>
      </w:r>
      <w:r w:rsidRPr="0079557C">
        <w:rPr>
          <w:rFonts w:cs="Arial"/>
          <w:szCs w:val="22"/>
          <w:lang w:val="en-US"/>
        </w:rPr>
        <w:t xml:space="preserve"> revitaliz</w:t>
      </w:r>
      <w:r>
        <w:rPr>
          <w:rFonts w:cs="Arial"/>
          <w:szCs w:val="22"/>
          <w:lang w:val="en-US"/>
        </w:rPr>
        <w:t>ation of</w:t>
      </w:r>
      <w:r w:rsidRPr="0079557C">
        <w:rPr>
          <w:rFonts w:cs="Arial"/>
          <w:szCs w:val="22"/>
          <w:lang w:val="en-US"/>
        </w:rPr>
        <w:t xml:space="preserve"> this element. The first safeguarding measures will be </w:t>
      </w:r>
      <w:r w:rsidRPr="0079557C">
        <w:rPr>
          <w:rFonts w:cs="Arial"/>
          <w:szCs w:val="22"/>
          <w:lang w:val="en-US"/>
        </w:rPr>
        <w:lastRenderedPageBreak/>
        <w:t xml:space="preserve">implemented in autumn 2016. To finance the safeguarding plan, it is planned to prepare a request for </w:t>
      </w:r>
      <w:r>
        <w:rPr>
          <w:rFonts w:cs="Arial"/>
          <w:szCs w:val="22"/>
          <w:lang w:val="en-US"/>
        </w:rPr>
        <w:t>International Assistance</w:t>
      </w:r>
      <w:r w:rsidRPr="0079557C">
        <w:rPr>
          <w:rFonts w:cs="Arial"/>
          <w:szCs w:val="22"/>
          <w:lang w:val="en-US"/>
        </w:rPr>
        <w:t xml:space="preserve"> in addition to the State’s </w:t>
      </w:r>
      <w:r>
        <w:rPr>
          <w:rFonts w:cs="Arial"/>
          <w:szCs w:val="22"/>
          <w:lang w:val="en-US"/>
        </w:rPr>
        <w:t>contribution</w:t>
      </w:r>
      <w:r w:rsidRPr="0079557C">
        <w:rPr>
          <w:rFonts w:cs="Arial"/>
          <w:szCs w:val="22"/>
          <w:lang w:val="en-US"/>
        </w:rPr>
        <w:t>.</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2F07D9" w:rsidRPr="00D06268" w14:paraId="669C9295" w14:textId="77777777" w:rsidTr="00A4198D">
        <w:trPr>
          <w:cantSplit/>
        </w:trPr>
        <w:tc>
          <w:tcPr>
            <w:tcW w:w="2025" w:type="dxa"/>
            <w:shd w:val="clear" w:color="auto" w:fill="auto"/>
            <w:vAlign w:val="center"/>
          </w:tcPr>
          <w:p w14:paraId="26E8165B" w14:textId="77777777" w:rsidR="002F07D9" w:rsidRPr="003316FD" w:rsidRDefault="002F07D9" w:rsidP="00A4198D">
            <w:pPr>
              <w:pStyle w:val="Marge"/>
              <w:keepNext/>
              <w:tabs>
                <w:tab w:val="clear" w:pos="567"/>
              </w:tabs>
              <w:spacing w:before="120" w:after="120"/>
              <w:jc w:val="center"/>
              <w:outlineLvl w:val="0"/>
              <w:rPr>
                <w:rFonts w:cs="Arial"/>
                <w:b/>
                <w:color w:val="000000"/>
                <w:sz w:val="20"/>
                <w:szCs w:val="20"/>
                <w:lang w:val="en-GB"/>
              </w:rPr>
            </w:pPr>
            <w:r w:rsidRPr="003316FD">
              <w:rPr>
                <w:rFonts w:cs="Arial"/>
                <w:b/>
                <w:color w:val="000000"/>
                <w:sz w:val="20"/>
                <w:szCs w:val="20"/>
                <w:lang w:val="en-GB"/>
              </w:rPr>
              <w:t>Mongolia</w:t>
            </w:r>
          </w:p>
        </w:tc>
        <w:tc>
          <w:tcPr>
            <w:tcW w:w="1560" w:type="dxa"/>
            <w:shd w:val="clear" w:color="auto" w:fill="auto"/>
            <w:vAlign w:val="center"/>
          </w:tcPr>
          <w:p w14:paraId="30AE5A9B" w14:textId="77777777" w:rsidR="002F07D9" w:rsidRPr="003316FD" w:rsidRDefault="002F07D9" w:rsidP="00A4198D">
            <w:pPr>
              <w:pStyle w:val="Marge"/>
              <w:keepNext/>
              <w:tabs>
                <w:tab w:val="clear" w:pos="567"/>
              </w:tabs>
              <w:spacing w:before="120" w:after="120"/>
              <w:jc w:val="left"/>
              <w:outlineLvl w:val="0"/>
              <w:rPr>
                <w:rFonts w:cs="Arial"/>
                <w:b/>
                <w:color w:val="000000"/>
                <w:sz w:val="20"/>
                <w:szCs w:val="20"/>
                <w:lang w:val="en-GB"/>
              </w:rPr>
            </w:pPr>
            <w:r w:rsidRPr="003316FD">
              <w:rPr>
                <w:rFonts w:cs="Arial"/>
                <w:b/>
                <w:sz w:val="20"/>
                <w:szCs w:val="20"/>
                <w:lang w:val="en-GB"/>
              </w:rPr>
              <w:t>US$24,900</w:t>
            </w:r>
          </w:p>
        </w:tc>
        <w:tc>
          <w:tcPr>
            <w:tcW w:w="6073" w:type="dxa"/>
            <w:shd w:val="clear" w:color="auto" w:fill="auto"/>
            <w:vAlign w:val="center"/>
          </w:tcPr>
          <w:p w14:paraId="2BD6B2F8" w14:textId="77777777" w:rsidR="002F07D9" w:rsidRPr="003316FD" w:rsidRDefault="002F07D9" w:rsidP="00A4198D">
            <w:pPr>
              <w:pStyle w:val="Marge"/>
              <w:keepNext/>
              <w:tabs>
                <w:tab w:val="clear" w:pos="567"/>
              </w:tabs>
              <w:spacing w:before="120" w:after="120"/>
              <w:jc w:val="left"/>
              <w:outlineLvl w:val="0"/>
              <w:rPr>
                <w:rFonts w:cs="Arial"/>
                <w:b/>
                <w:color w:val="000000"/>
                <w:sz w:val="20"/>
                <w:szCs w:val="20"/>
                <w:lang w:val="en-GB"/>
              </w:rPr>
            </w:pPr>
            <w:r w:rsidRPr="003316FD">
              <w:rPr>
                <w:rFonts w:cs="Arial"/>
                <w:b/>
                <w:color w:val="000000"/>
                <w:sz w:val="20"/>
                <w:szCs w:val="20"/>
                <w:lang w:val="en-GB"/>
              </w:rPr>
              <w:t xml:space="preserve">Improving the capacities of intangible cultural heritage related NGOs in Mongolia </w:t>
            </w:r>
            <w:r w:rsidRPr="003316FD">
              <w:rPr>
                <w:rFonts w:cs="Arial"/>
                <w:color w:val="000000"/>
                <w:sz w:val="20"/>
                <w:szCs w:val="20"/>
                <w:lang w:val="en-GB"/>
              </w:rPr>
              <w:t>(No. 00910)</w:t>
            </w:r>
          </w:p>
        </w:tc>
      </w:tr>
      <w:tr w:rsidR="002F07D9" w:rsidRPr="003316FD" w14:paraId="1B4DFF43" w14:textId="77777777" w:rsidTr="00A4198D">
        <w:trPr>
          <w:cantSplit/>
        </w:trPr>
        <w:tc>
          <w:tcPr>
            <w:tcW w:w="2025" w:type="dxa"/>
            <w:shd w:val="clear" w:color="auto" w:fill="auto"/>
          </w:tcPr>
          <w:p w14:paraId="1FB04AB4" w14:textId="77777777" w:rsidR="002F07D9" w:rsidRPr="003316FD" w:rsidRDefault="002F07D9" w:rsidP="00A4198D">
            <w:pPr>
              <w:pStyle w:val="Marge"/>
              <w:keepNext/>
              <w:tabs>
                <w:tab w:val="clear" w:pos="567"/>
              </w:tabs>
              <w:spacing w:before="120" w:after="120"/>
              <w:jc w:val="right"/>
              <w:outlineLvl w:val="0"/>
              <w:rPr>
                <w:rFonts w:cs="Arial"/>
                <w:i/>
                <w:color w:val="000000"/>
                <w:sz w:val="20"/>
                <w:szCs w:val="20"/>
                <w:lang w:val="en-GB"/>
              </w:rPr>
            </w:pPr>
            <w:r w:rsidRPr="003316FD">
              <w:rPr>
                <w:rFonts w:cs="Arial"/>
                <w:i/>
                <w:color w:val="000000"/>
                <w:sz w:val="20"/>
                <w:szCs w:val="20"/>
                <w:lang w:val="en-GB"/>
              </w:rPr>
              <w:t>Granted:</w:t>
            </w:r>
          </w:p>
        </w:tc>
        <w:tc>
          <w:tcPr>
            <w:tcW w:w="7633" w:type="dxa"/>
            <w:gridSpan w:val="2"/>
            <w:shd w:val="clear" w:color="auto" w:fill="auto"/>
          </w:tcPr>
          <w:p w14:paraId="492E966F" w14:textId="77777777" w:rsidR="002F07D9" w:rsidRPr="003316FD" w:rsidRDefault="002F07D9" w:rsidP="00A4198D">
            <w:pPr>
              <w:pStyle w:val="Marge"/>
              <w:keepNext/>
              <w:tabs>
                <w:tab w:val="clear" w:pos="567"/>
              </w:tabs>
              <w:spacing w:before="120" w:after="120"/>
              <w:jc w:val="left"/>
              <w:outlineLvl w:val="0"/>
              <w:rPr>
                <w:rFonts w:cs="Arial"/>
                <w:color w:val="000000"/>
                <w:sz w:val="20"/>
                <w:szCs w:val="20"/>
                <w:lang w:val="en-GB"/>
              </w:rPr>
            </w:pPr>
            <w:r w:rsidRPr="003316FD">
              <w:rPr>
                <w:rFonts w:cs="Arial"/>
                <w:color w:val="000000"/>
                <w:sz w:val="20"/>
                <w:szCs w:val="20"/>
                <w:lang w:val="en-GB"/>
              </w:rPr>
              <w:t>2014 (</w:t>
            </w:r>
            <w:hyperlink r:id="rId48" w:history="1">
              <w:r w:rsidRPr="003316FD">
                <w:rPr>
                  <w:rStyle w:val="Hyperlink"/>
                  <w:rFonts w:cs="Arial"/>
                  <w:sz w:val="20"/>
                  <w:szCs w:val="20"/>
                  <w:lang w:val="en-GB"/>
                </w:rPr>
                <w:t>Decision 9.COM 4.BUR 1.2</w:t>
              </w:r>
            </w:hyperlink>
            <w:r w:rsidRPr="003316FD">
              <w:rPr>
                <w:rFonts w:cs="Arial"/>
                <w:color w:val="000000"/>
                <w:sz w:val="20"/>
                <w:szCs w:val="20"/>
                <w:lang w:val="en-GB"/>
              </w:rPr>
              <w:t>)</w:t>
            </w:r>
          </w:p>
        </w:tc>
      </w:tr>
      <w:tr w:rsidR="002F07D9" w:rsidRPr="003316FD" w14:paraId="53073C35" w14:textId="77777777" w:rsidTr="00A4198D">
        <w:trPr>
          <w:cantSplit/>
        </w:trPr>
        <w:tc>
          <w:tcPr>
            <w:tcW w:w="2025" w:type="dxa"/>
            <w:shd w:val="clear" w:color="auto" w:fill="auto"/>
          </w:tcPr>
          <w:p w14:paraId="1A466623" w14:textId="77777777" w:rsidR="002F07D9" w:rsidRPr="003316FD" w:rsidRDefault="002F07D9" w:rsidP="00A4198D">
            <w:pPr>
              <w:pStyle w:val="Marge"/>
              <w:keepNext/>
              <w:tabs>
                <w:tab w:val="clear" w:pos="567"/>
              </w:tabs>
              <w:spacing w:before="120" w:after="120"/>
              <w:jc w:val="right"/>
              <w:outlineLvl w:val="0"/>
              <w:rPr>
                <w:rFonts w:cs="Arial"/>
                <w:i/>
                <w:color w:val="000000"/>
                <w:sz w:val="20"/>
                <w:szCs w:val="20"/>
                <w:lang w:val="en-GB"/>
              </w:rPr>
            </w:pPr>
            <w:r w:rsidRPr="003316FD">
              <w:rPr>
                <w:rFonts w:cs="Arial"/>
                <w:i/>
                <w:color w:val="000000"/>
                <w:sz w:val="20"/>
                <w:szCs w:val="20"/>
                <w:lang w:val="en-GB"/>
              </w:rPr>
              <w:t>Reporting period:</w:t>
            </w:r>
          </w:p>
        </w:tc>
        <w:tc>
          <w:tcPr>
            <w:tcW w:w="7633" w:type="dxa"/>
            <w:gridSpan w:val="2"/>
            <w:shd w:val="clear" w:color="auto" w:fill="auto"/>
          </w:tcPr>
          <w:p w14:paraId="19C91A6B" w14:textId="77777777" w:rsidR="002F07D9" w:rsidRPr="003316FD" w:rsidRDefault="002F07D9" w:rsidP="00A4198D">
            <w:pPr>
              <w:pStyle w:val="Marge"/>
              <w:keepNext/>
              <w:tabs>
                <w:tab w:val="clear" w:pos="567"/>
              </w:tabs>
              <w:spacing w:before="120" w:after="120"/>
              <w:jc w:val="left"/>
              <w:outlineLvl w:val="0"/>
              <w:rPr>
                <w:rFonts w:cs="Arial"/>
                <w:color w:val="000000"/>
                <w:sz w:val="20"/>
                <w:szCs w:val="20"/>
                <w:lang w:val="en-GB"/>
              </w:rPr>
            </w:pPr>
            <w:r w:rsidRPr="003316FD">
              <w:rPr>
                <w:rFonts w:cs="Arial"/>
                <w:color w:val="000000"/>
                <w:sz w:val="20"/>
                <w:szCs w:val="20"/>
                <w:lang w:val="en-GB"/>
              </w:rPr>
              <w:t>17/04/2015</w:t>
            </w:r>
            <w:r>
              <w:rPr>
                <w:rFonts w:cs="Arial"/>
                <w:color w:val="000000"/>
                <w:sz w:val="20"/>
                <w:szCs w:val="20"/>
                <w:lang w:val="en-GB"/>
              </w:rPr>
              <w:t xml:space="preserve"> </w:t>
            </w:r>
            <w:r w:rsidRPr="003316FD">
              <w:rPr>
                <w:rFonts w:cs="Arial"/>
                <w:color w:val="000000"/>
                <w:sz w:val="20"/>
                <w:szCs w:val="20"/>
                <w:lang w:val="en-GB"/>
              </w:rPr>
              <w:t>–</w:t>
            </w:r>
            <w:r>
              <w:rPr>
                <w:rFonts w:cs="Arial"/>
                <w:color w:val="000000"/>
                <w:sz w:val="20"/>
                <w:szCs w:val="20"/>
                <w:lang w:val="en-GB"/>
              </w:rPr>
              <w:t xml:space="preserve"> </w:t>
            </w:r>
            <w:r w:rsidRPr="003316FD">
              <w:rPr>
                <w:rFonts w:cs="Arial"/>
                <w:color w:val="000000"/>
                <w:sz w:val="20"/>
                <w:szCs w:val="20"/>
                <w:lang w:val="en-GB"/>
              </w:rPr>
              <w:t>31/12/2015</w:t>
            </w:r>
          </w:p>
        </w:tc>
      </w:tr>
    </w:tbl>
    <w:p w14:paraId="579DA614" w14:textId="77777777" w:rsidR="002F07D9" w:rsidRPr="00B1435C" w:rsidRDefault="002F07D9" w:rsidP="002F07D9">
      <w:pPr>
        <w:pStyle w:val="Marge"/>
        <w:tabs>
          <w:tab w:val="clear" w:pos="567"/>
        </w:tabs>
        <w:spacing w:before="120" w:after="120"/>
        <w:outlineLvl w:val="0"/>
        <w:rPr>
          <w:rFonts w:eastAsia="Malgun Gothic"/>
          <w:lang w:val="en-GB" w:eastAsia="ko-KR"/>
        </w:rPr>
      </w:pPr>
      <w:r w:rsidRPr="003316FD">
        <w:rPr>
          <w:lang w:val="en-GB"/>
        </w:rPr>
        <w:t xml:space="preserve">The project addressed the need to strengthen the capacities of non-governmental organizations active in the field of safeguarding intangible cultural heritage since so far, </w:t>
      </w:r>
      <w:r>
        <w:rPr>
          <w:lang w:val="en-GB"/>
        </w:rPr>
        <w:t>similar</w:t>
      </w:r>
      <w:r w:rsidRPr="003316FD">
        <w:rPr>
          <w:lang w:val="en-GB"/>
        </w:rPr>
        <w:t xml:space="preserve"> effort</w:t>
      </w:r>
      <w:r>
        <w:rPr>
          <w:lang w:val="en-GB"/>
        </w:rPr>
        <w:t>s</w:t>
      </w:r>
      <w:r w:rsidRPr="003316FD">
        <w:rPr>
          <w:lang w:val="en-GB"/>
        </w:rPr>
        <w:t xml:space="preserve"> ha</w:t>
      </w:r>
      <w:r>
        <w:rPr>
          <w:lang w:val="en-GB"/>
        </w:rPr>
        <w:t>d</w:t>
      </w:r>
      <w:r w:rsidRPr="003316FD">
        <w:rPr>
          <w:lang w:val="en-GB"/>
        </w:rPr>
        <w:t xml:space="preserve"> focused on government </w:t>
      </w:r>
      <w:r>
        <w:rPr>
          <w:lang w:val="en-GB"/>
        </w:rPr>
        <w:t>officials</w:t>
      </w:r>
      <w:r w:rsidRPr="003316FD">
        <w:rPr>
          <w:lang w:val="en-GB"/>
        </w:rPr>
        <w:t>.</w:t>
      </w:r>
      <w:r>
        <w:rPr>
          <w:lang w:val="en-GB"/>
        </w:rPr>
        <w:t xml:space="preserve"> Led by one of these organizations (</w:t>
      </w:r>
      <w:r w:rsidRPr="003316FD">
        <w:rPr>
          <w:lang w:val="en-GB"/>
        </w:rPr>
        <w:t>the Foundation for the Protection of Natural and Cultural Heritage</w:t>
      </w:r>
      <w:r>
        <w:rPr>
          <w:lang w:val="en-GB"/>
        </w:rPr>
        <w:t>, accredited to act in an advisory capacity to the Committee), the project aimed to equip its peers and community-based organizations with the appropriate knowledge to conduct fieldwork and train a group of trainers and culture workers, as well as enhance visibility of non-governmental organizations working in safeguarding intangible cultural heritage. A nationwide contest for selecting best practices from non-governmental organizations was organized as a means of attracting a wide range of organizations to the project. At least 200 proposals were received. This initiative revealed more than 30 non-governmental organizations involved in safeguarding activities and, ultimately, to create a network with more than 100 entities.</w:t>
      </w:r>
    </w:p>
    <w:p w14:paraId="79F8EABA" w14:textId="55F92B86" w:rsidR="002F07D9" w:rsidRPr="003316FD" w:rsidRDefault="002F07D9" w:rsidP="002F07D9">
      <w:pPr>
        <w:pStyle w:val="Marge"/>
        <w:tabs>
          <w:tab w:val="clear" w:pos="567"/>
        </w:tabs>
        <w:spacing w:before="120"/>
        <w:outlineLvl w:val="0"/>
        <w:rPr>
          <w:lang w:val="en-GB"/>
        </w:rPr>
      </w:pPr>
      <w:r>
        <w:rPr>
          <w:lang w:val="en-GB"/>
        </w:rPr>
        <w:t>Eighty representatives from non-governmental organizations received training on implementation of the Convention at the national level during a two-day workshop in Ulaanbaatar. At the workshop, contest winners were invited to present their safeguarding initiatives. A handbook on intangible cultural heritage designed specifically for non-governmental organizations was developed and 500 copies were produced. Creation of the Foundation’s website (</w:t>
      </w:r>
      <w:hyperlink r:id="rId49" w:history="1">
        <w:r w:rsidRPr="001D20BC">
          <w:rPr>
            <w:rStyle w:val="Hyperlink"/>
            <w:lang w:val="en-GB"/>
          </w:rPr>
          <w:t>www.ich-ngo.mn</w:t>
        </w:r>
      </w:hyperlink>
      <w:r>
        <w:rPr>
          <w:lang w:val="en-GB"/>
        </w:rPr>
        <w:t>)</w:t>
      </w:r>
      <w:r w:rsidRPr="008D5659">
        <w:rPr>
          <w:lang w:val="en-GB"/>
        </w:rPr>
        <w:t xml:space="preserve"> </w:t>
      </w:r>
      <w:r>
        <w:rPr>
          <w:lang w:val="en-GB"/>
        </w:rPr>
        <w:t>is another project outcome serving as an exchange platform for the network of non-governmental organizations.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F52CFC" w:rsidRPr="00D06268" w14:paraId="13493C9B" w14:textId="77777777" w:rsidTr="00F02F65">
        <w:trPr>
          <w:cantSplit/>
        </w:trPr>
        <w:tc>
          <w:tcPr>
            <w:tcW w:w="2025" w:type="dxa"/>
            <w:shd w:val="clear" w:color="auto" w:fill="auto"/>
            <w:vAlign w:val="center"/>
          </w:tcPr>
          <w:p w14:paraId="5B3EDC57" w14:textId="4ABA3BA6" w:rsidR="00F52CFC" w:rsidRPr="003316FD" w:rsidRDefault="00F52CFC" w:rsidP="00F02F65">
            <w:pPr>
              <w:pStyle w:val="Marge"/>
              <w:keepNext/>
              <w:tabs>
                <w:tab w:val="clear" w:pos="567"/>
              </w:tabs>
              <w:spacing w:before="120" w:after="120"/>
              <w:jc w:val="center"/>
              <w:outlineLvl w:val="0"/>
              <w:rPr>
                <w:rFonts w:cs="Arial"/>
                <w:b/>
                <w:color w:val="000000"/>
                <w:sz w:val="20"/>
                <w:szCs w:val="20"/>
                <w:lang w:val="en-GB"/>
              </w:rPr>
            </w:pPr>
            <w:r w:rsidRPr="003316FD">
              <w:rPr>
                <w:rFonts w:cs="Arial"/>
                <w:b/>
                <w:color w:val="000000"/>
                <w:sz w:val="20"/>
                <w:szCs w:val="20"/>
                <w:lang w:val="en-GB"/>
              </w:rPr>
              <w:t>Viet Nam</w:t>
            </w:r>
          </w:p>
        </w:tc>
        <w:tc>
          <w:tcPr>
            <w:tcW w:w="1560" w:type="dxa"/>
            <w:shd w:val="clear" w:color="auto" w:fill="auto"/>
            <w:vAlign w:val="center"/>
          </w:tcPr>
          <w:p w14:paraId="1597D418" w14:textId="2B335AC2" w:rsidR="00F52CFC" w:rsidRPr="003316FD" w:rsidRDefault="00F52CFC" w:rsidP="00F52CFC">
            <w:pPr>
              <w:pStyle w:val="Marge"/>
              <w:keepNext/>
              <w:tabs>
                <w:tab w:val="clear" w:pos="567"/>
              </w:tabs>
              <w:spacing w:before="120" w:after="120"/>
              <w:jc w:val="left"/>
              <w:outlineLvl w:val="0"/>
              <w:rPr>
                <w:rFonts w:cs="Arial"/>
                <w:b/>
                <w:color w:val="000000"/>
                <w:sz w:val="20"/>
                <w:szCs w:val="20"/>
                <w:lang w:val="en-GB"/>
              </w:rPr>
            </w:pPr>
            <w:r w:rsidRPr="003316FD">
              <w:rPr>
                <w:rFonts w:cs="Arial"/>
                <w:b/>
                <w:sz w:val="20"/>
                <w:szCs w:val="20"/>
                <w:lang w:val="en-GB"/>
              </w:rPr>
              <w:t>US$24,350</w:t>
            </w:r>
          </w:p>
        </w:tc>
        <w:tc>
          <w:tcPr>
            <w:tcW w:w="6073" w:type="dxa"/>
            <w:shd w:val="clear" w:color="auto" w:fill="auto"/>
            <w:vAlign w:val="center"/>
          </w:tcPr>
          <w:p w14:paraId="7CB05210" w14:textId="71A70DB7" w:rsidR="00F52CFC" w:rsidRPr="003316FD" w:rsidRDefault="00F52CFC" w:rsidP="00F02F65">
            <w:pPr>
              <w:pStyle w:val="Marge"/>
              <w:keepNext/>
              <w:tabs>
                <w:tab w:val="clear" w:pos="567"/>
              </w:tabs>
              <w:spacing w:before="120" w:after="120"/>
              <w:jc w:val="left"/>
              <w:outlineLvl w:val="0"/>
              <w:rPr>
                <w:rFonts w:cs="Arial"/>
                <w:b/>
                <w:color w:val="000000"/>
                <w:sz w:val="20"/>
                <w:szCs w:val="20"/>
                <w:lang w:val="en-GB"/>
              </w:rPr>
            </w:pPr>
            <w:r w:rsidRPr="003316FD">
              <w:rPr>
                <w:rFonts w:cs="Arial"/>
                <w:b/>
                <w:color w:val="000000"/>
                <w:sz w:val="20"/>
                <w:szCs w:val="20"/>
                <w:lang w:val="en-GB"/>
              </w:rPr>
              <w:t xml:space="preserve">Safeguarding the oral traditions and expressions of the </w:t>
            </w:r>
            <w:proofErr w:type="spellStart"/>
            <w:r w:rsidRPr="003316FD">
              <w:rPr>
                <w:rFonts w:cs="Arial"/>
                <w:b/>
                <w:color w:val="000000"/>
                <w:sz w:val="20"/>
                <w:szCs w:val="20"/>
                <w:lang w:val="en-GB"/>
              </w:rPr>
              <w:t>Dzao</w:t>
            </w:r>
            <w:proofErr w:type="spellEnd"/>
            <w:r w:rsidRPr="003316FD">
              <w:rPr>
                <w:rFonts w:cs="Arial"/>
                <w:b/>
                <w:color w:val="000000"/>
                <w:sz w:val="20"/>
                <w:szCs w:val="20"/>
                <w:lang w:val="en-GB"/>
              </w:rPr>
              <w:t xml:space="preserve"> people of Lao </w:t>
            </w:r>
            <w:proofErr w:type="spellStart"/>
            <w:r w:rsidRPr="003316FD">
              <w:rPr>
                <w:rFonts w:cs="Arial"/>
                <w:b/>
                <w:color w:val="000000"/>
                <w:sz w:val="20"/>
                <w:szCs w:val="20"/>
                <w:lang w:val="en-GB"/>
              </w:rPr>
              <w:t>Cai</w:t>
            </w:r>
            <w:proofErr w:type="spellEnd"/>
            <w:r w:rsidRPr="003316FD">
              <w:rPr>
                <w:rFonts w:cs="Arial"/>
                <w:b/>
                <w:color w:val="000000"/>
                <w:sz w:val="20"/>
                <w:szCs w:val="20"/>
                <w:lang w:val="en-GB"/>
              </w:rPr>
              <w:t xml:space="preserve"> and Lai Chau Provinces of Viet Nam </w:t>
            </w:r>
            <w:r w:rsidR="00E97482" w:rsidRPr="003316FD">
              <w:rPr>
                <w:rFonts w:cs="Arial"/>
                <w:color w:val="000000"/>
                <w:sz w:val="20"/>
                <w:szCs w:val="20"/>
                <w:lang w:val="en-GB"/>
              </w:rPr>
              <w:t>(No. </w:t>
            </w:r>
            <w:r w:rsidRPr="003316FD">
              <w:rPr>
                <w:rFonts w:cs="Arial"/>
                <w:color w:val="000000"/>
                <w:sz w:val="20"/>
                <w:szCs w:val="20"/>
                <w:lang w:val="en-GB"/>
              </w:rPr>
              <w:t>00599)</w:t>
            </w:r>
          </w:p>
        </w:tc>
      </w:tr>
      <w:tr w:rsidR="00F52CFC" w:rsidRPr="003316FD" w14:paraId="3FC557C9" w14:textId="77777777" w:rsidTr="00F02F65">
        <w:trPr>
          <w:cantSplit/>
        </w:trPr>
        <w:tc>
          <w:tcPr>
            <w:tcW w:w="2025" w:type="dxa"/>
            <w:shd w:val="clear" w:color="auto" w:fill="auto"/>
          </w:tcPr>
          <w:p w14:paraId="7BA6C578" w14:textId="77777777" w:rsidR="00F52CFC" w:rsidRPr="003316FD" w:rsidRDefault="00F52CFC" w:rsidP="00F02F65">
            <w:pPr>
              <w:pStyle w:val="Marge"/>
              <w:keepNext/>
              <w:tabs>
                <w:tab w:val="clear" w:pos="567"/>
              </w:tabs>
              <w:spacing w:before="120" w:after="120"/>
              <w:jc w:val="right"/>
              <w:outlineLvl w:val="0"/>
              <w:rPr>
                <w:rFonts w:cs="Arial"/>
                <w:i/>
                <w:color w:val="000000"/>
                <w:sz w:val="20"/>
                <w:szCs w:val="20"/>
                <w:lang w:val="en-GB"/>
              </w:rPr>
            </w:pPr>
            <w:r w:rsidRPr="003316FD">
              <w:rPr>
                <w:rFonts w:cs="Arial"/>
                <w:i/>
                <w:color w:val="000000"/>
                <w:sz w:val="20"/>
                <w:szCs w:val="20"/>
                <w:lang w:val="en-GB"/>
              </w:rPr>
              <w:t>Granted:</w:t>
            </w:r>
          </w:p>
        </w:tc>
        <w:tc>
          <w:tcPr>
            <w:tcW w:w="7633" w:type="dxa"/>
            <w:gridSpan w:val="2"/>
            <w:shd w:val="clear" w:color="auto" w:fill="auto"/>
          </w:tcPr>
          <w:p w14:paraId="47F29184" w14:textId="1F8B3C25" w:rsidR="00F52CFC" w:rsidRPr="003316FD" w:rsidRDefault="00F52CFC" w:rsidP="00F52CFC">
            <w:pPr>
              <w:pStyle w:val="Marge"/>
              <w:keepNext/>
              <w:tabs>
                <w:tab w:val="clear" w:pos="567"/>
              </w:tabs>
              <w:spacing w:before="120" w:after="120"/>
              <w:jc w:val="left"/>
              <w:outlineLvl w:val="0"/>
              <w:rPr>
                <w:rFonts w:cs="Arial"/>
                <w:color w:val="000000"/>
                <w:sz w:val="20"/>
                <w:szCs w:val="20"/>
                <w:lang w:val="en-GB"/>
              </w:rPr>
            </w:pPr>
            <w:r w:rsidRPr="003316FD">
              <w:rPr>
                <w:rFonts w:cs="Arial"/>
                <w:color w:val="000000"/>
                <w:sz w:val="20"/>
                <w:szCs w:val="20"/>
                <w:lang w:val="en-GB"/>
              </w:rPr>
              <w:t>2014 (</w:t>
            </w:r>
            <w:hyperlink r:id="rId50" w:history="1">
              <w:r w:rsidR="008A19A1" w:rsidRPr="003316FD">
                <w:rPr>
                  <w:rStyle w:val="Hyperlink"/>
                  <w:rFonts w:cs="Arial"/>
                  <w:sz w:val="20"/>
                  <w:szCs w:val="20"/>
                  <w:lang w:val="en-GB"/>
                </w:rPr>
                <w:t>Decision </w:t>
              </w:r>
              <w:r w:rsidRPr="003316FD">
                <w:rPr>
                  <w:rStyle w:val="Hyperlink"/>
                  <w:sz w:val="20"/>
                  <w:szCs w:val="20"/>
                  <w:lang w:val="en-GB"/>
                </w:rPr>
                <w:t>9.COM 4.BUR</w:t>
              </w:r>
              <w:r w:rsidR="008A19A1" w:rsidRPr="003316FD">
                <w:rPr>
                  <w:rStyle w:val="Hyperlink"/>
                  <w:sz w:val="20"/>
                  <w:szCs w:val="20"/>
                  <w:lang w:val="en-GB"/>
                </w:rPr>
                <w:t> 1.3</w:t>
              </w:r>
            </w:hyperlink>
            <w:r w:rsidRPr="003316FD">
              <w:rPr>
                <w:rFonts w:cs="Arial"/>
                <w:color w:val="000000"/>
                <w:sz w:val="20"/>
                <w:szCs w:val="20"/>
                <w:lang w:val="en-GB"/>
              </w:rPr>
              <w:t>)</w:t>
            </w:r>
          </w:p>
        </w:tc>
      </w:tr>
      <w:tr w:rsidR="00F52CFC" w:rsidRPr="003316FD" w14:paraId="3BACF5E6" w14:textId="77777777" w:rsidTr="00F02F65">
        <w:trPr>
          <w:cantSplit/>
        </w:trPr>
        <w:tc>
          <w:tcPr>
            <w:tcW w:w="2025" w:type="dxa"/>
            <w:shd w:val="clear" w:color="auto" w:fill="auto"/>
          </w:tcPr>
          <w:p w14:paraId="10C583E7" w14:textId="77777777" w:rsidR="00F52CFC" w:rsidRPr="003316FD" w:rsidRDefault="00F52CFC" w:rsidP="00F02F65">
            <w:pPr>
              <w:pStyle w:val="Marge"/>
              <w:keepNext/>
              <w:tabs>
                <w:tab w:val="clear" w:pos="567"/>
              </w:tabs>
              <w:spacing w:before="120" w:after="120"/>
              <w:jc w:val="right"/>
              <w:outlineLvl w:val="0"/>
              <w:rPr>
                <w:rFonts w:cs="Arial"/>
                <w:i/>
                <w:color w:val="000000"/>
                <w:sz w:val="20"/>
                <w:szCs w:val="20"/>
                <w:lang w:val="en-GB"/>
              </w:rPr>
            </w:pPr>
            <w:r w:rsidRPr="003316FD">
              <w:rPr>
                <w:rFonts w:cs="Arial"/>
                <w:i/>
                <w:color w:val="000000"/>
                <w:sz w:val="20"/>
                <w:szCs w:val="20"/>
                <w:lang w:val="en-GB"/>
              </w:rPr>
              <w:t>Reporting period:</w:t>
            </w:r>
          </w:p>
        </w:tc>
        <w:tc>
          <w:tcPr>
            <w:tcW w:w="7633" w:type="dxa"/>
            <w:gridSpan w:val="2"/>
            <w:shd w:val="clear" w:color="auto" w:fill="auto"/>
          </w:tcPr>
          <w:p w14:paraId="0461EC25" w14:textId="6FFA141B" w:rsidR="00F52CFC" w:rsidRPr="003316FD" w:rsidRDefault="00E97482" w:rsidP="00F02F65">
            <w:pPr>
              <w:pStyle w:val="Marge"/>
              <w:keepNext/>
              <w:tabs>
                <w:tab w:val="clear" w:pos="567"/>
              </w:tabs>
              <w:spacing w:before="120" w:after="120"/>
              <w:jc w:val="left"/>
              <w:outlineLvl w:val="0"/>
              <w:rPr>
                <w:rFonts w:cs="Arial"/>
                <w:color w:val="000000"/>
                <w:sz w:val="20"/>
                <w:szCs w:val="20"/>
                <w:lang w:val="en-GB"/>
              </w:rPr>
            </w:pPr>
            <w:r w:rsidRPr="003316FD">
              <w:rPr>
                <w:rFonts w:cs="Arial"/>
                <w:color w:val="000000"/>
                <w:sz w:val="20"/>
                <w:szCs w:val="20"/>
                <w:lang w:val="en-GB"/>
              </w:rPr>
              <w:t>08/07/2015 – 30/06/2016</w:t>
            </w:r>
          </w:p>
        </w:tc>
      </w:tr>
    </w:tbl>
    <w:p w14:paraId="2A7605E7" w14:textId="270D298F" w:rsidR="002F07D9" w:rsidRPr="002F07D9" w:rsidRDefault="00E97482" w:rsidP="002F07D9">
      <w:pPr>
        <w:pStyle w:val="Marge"/>
        <w:tabs>
          <w:tab w:val="clear" w:pos="567"/>
        </w:tabs>
        <w:spacing w:before="120"/>
        <w:outlineLvl w:val="0"/>
        <w:rPr>
          <w:rFonts w:cs="Arial"/>
          <w:szCs w:val="22"/>
          <w:lang w:val="en-GB"/>
        </w:rPr>
      </w:pPr>
      <w:r w:rsidRPr="003316FD">
        <w:rPr>
          <w:rFonts w:cs="Arial"/>
          <w:szCs w:val="22"/>
          <w:lang w:val="en-GB"/>
        </w:rPr>
        <w:t xml:space="preserve">The </w:t>
      </w:r>
      <w:proofErr w:type="spellStart"/>
      <w:r w:rsidRPr="003316FD">
        <w:rPr>
          <w:rFonts w:cs="Arial"/>
          <w:szCs w:val="22"/>
          <w:lang w:val="en-GB"/>
        </w:rPr>
        <w:t>Dzao</w:t>
      </w:r>
      <w:proofErr w:type="spellEnd"/>
      <w:r w:rsidRPr="003316FD">
        <w:rPr>
          <w:rFonts w:cs="Arial"/>
          <w:szCs w:val="22"/>
          <w:lang w:val="en-GB"/>
        </w:rPr>
        <w:t xml:space="preserve"> in Lao </w:t>
      </w:r>
      <w:proofErr w:type="spellStart"/>
      <w:r w:rsidRPr="003316FD">
        <w:rPr>
          <w:rFonts w:cs="Arial"/>
          <w:szCs w:val="22"/>
          <w:lang w:val="en-GB"/>
        </w:rPr>
        <w:t>Cai</w:t>
      </w:r>
      <w:proofErr w:type="spellEnd"/>
      <w:r w:rsidRPr="003316FD">
        <w:rPr>
          <w:rFonts w:cs="Arial"/>
          <w:szCs w:val="22"/>
          <w:lang w:val="en-GB"/>
        </w:rPr>
        <w:t xml:space="preserve"> and Lai Chau Provinces live mainly near the northern border with China. With only one or two villagers in each village who can still sing folk songs and speak the traditional language, the oral traditions and expressions of the </w:t>
      </w:r>
      <w:proofErr w:type="spellStart"/>
      <w:r w:rsidRPr="003316FD">
        <w:rPr>
          <w:rFonts w:cs="Arial"/>
          <w:szCs w:val="22"/>
          <w:lang w:val="en-GB"/>
        </w:rPr>
        <w:t>Dzao</w:t>
      </w:r>
      <w:proofErr w:type="spellEnd"/>
      <w:r w:rsidRPr="003316FD">
        <w:rPr>
          <w:rFonts w:cs="Arial"/>
          <w:szCs w:val="22"/>
          <w:lang w:val="en-GB"/>
        </w:rPr>
        <w:t xml:space="preserve"> people were severely endangered. Folk songs, tales, lullabies, proverbs and riddles were also disappearing due to the advanced age of those who recite </w:t>
      </w:r>
      <w:r w:rsidRPr="003316FD">
        <w:rPr>
          <w:color w:val="000000"/>
          <w:lang w:val="en-GB"/>
        </w:rPr>
        <w:t>them</w:t>
      </w:r>
      <w:r w:rsidRPr="003316FD">
        <w:rPr>
          <w:rFonts w:cs="Arial"/>
          <w:szCs w:val="22"/>
          <w:lang w:val="en-GB"/>
        </w:rPr>
        <w:t xml:space="preserve"> and the work</w:t>
      </w:r>
      <w:r w:rsidR="002D2AD2">
        <w:rPr>
          <w:rFonts w:cs="Arial"/>
          <w:szCs w:val="22"/>
          <w:lang w:val="en-GB"/>
        </w:rPr>
        <w:t>/</w:t>
      </w:r>
      <w:r w:rsidRPr="003316FD">
        <w:rPr>
          <w:rFonts w:cs="Arial"/>
          <w:szCs w:val="22"/>
          <w:lang w:val="en-GB"/>
        </w:rPr>
        <w:t xml:space="preserve">school environment of young </w:t>
      </w:r>
      <w:proofErr w:type="spellStart"/>
      <w:r w:rsidRPr="003316FD">
        <w:rPr>
          <w:rFonts w:cs="Arial"/>
          <w:szCs w:val="22"/>
          <w:lang w:val="en-GB"/>
        </w:rPr>
        <w:t>Dzao</w:t>
      </w:r>
      <w:proofErr w:type="spellEnd"/>
      <w:r w:rsidR="00D76DC1">
        <w:rPr>
          <w:rFonts w:cs="Arial"/>
          <w:szCs w:val="22"/>
          <w:lang w:val="en-GB"/>
        </w:rPr>
        <w:t>,</w:t>
      </w:r>
      <w:r w:rsidRPr="003316FD">
        <w:rPr>
          <w:rFonts w:cs="Arial"/>
          <w:szCs w:val="22"/>
          <w:lang w:val="en-GB"/>
        </w:rPr>
        <w:t xml:space="preserve"> where </w:t>
      </w:r>
      <w:r w:rsidR="002D2AD2">
        <w:rPr>
          <w:rFonts w:cs="Arial"/>
          <w:szCs w:val="22"/>
          <w:lang w:val="en-GB"/>
        </w:rPr>
        <w:t xml:space="preserve">the </w:t>
      </w:r>
      <w:r w:rsidRPr="003316FD">
        <w:rPr>
          <w:rFonts w:cs="Arial"/>
          <w:szCs w:val="22"/>
          <w:lang w:val="en-GB"/>
        </w:rPr>
        <w:t xml:space="preserve">Vietnamese language prevails. The project aimed at establishing an overview of the current use of the </w:t>
      </w:r>
      <w:proofErr w:type="spellStart"/>
      <w:r w:rsidRPr="003316FD">
        <w:rPr>
          <w:rFonts w:cs="Arial"/>
          <w:szCs w:val="22"/>
          <w:lang w:val="en-GB"/>
        </w:rPr>
        <w:t>Dzao</w:t>
      </w:r>
      <w:proofErr w:type="spellEnd"/>
      <w:r w:rsidRPr="003316FD">
        <w:rPr>
          <w:rFonts w:cs="Arial"/>
          <w:szCs w:val="22"/>
          <w:lang w:val="en-GB"/>
        </w:rPr>
        <w:t xml:space="preserve"> language and its associated oral traditions through a survey conducted in </w:t>
      </w:r>
      <w:r w:rsidR="002D2AD2">
        <w:rPr>
          <w:rFonts w:cs="Arial"/>
          <w:szCs w:val="22"/>
          <w:lang w:val="en-GB"/>
        </w:rPr>
        <w:t>30</w:t>
      </w:r>
      <w:r w:rsidR="002D2AD2" w:rsidRPr="003316FD">
        <w:rPr>
          <w:rFonts w:cs="Arial"/>
          <w:szCs w:val="22"/>
          <w:lang w:val="en-GB"/>
        </w:rPr>
        <w:t xml:space="preserve"> </w:t>
      </w:r>
      <w:r w:rsidRPr="003316FD">
        <w:rPr>
          <w:rFonts w:cs="Arial"/>
          <w:szCs w:val="22"/>
          <w:lang w:val="en-GB"/>
        </w:rPr>
        <w:t xml:space="preserve">villages of the two provinces. </w:t>
      </w:r>
      <w:r w:rsidR="00D00A69">
        <w:rPr>
          <w:rFonts w:cs="Arial"/>
          <w:szCs w:val="22"/>
          <w:lang w:val="en-GB"/>
        </w:rPr>
        <w:t>It also</w:t>
      </w:r>
      <w:r w:rsidRPr="003316FD">
        <w:rPr>
          <w:rFonts w:cs="Arial"/>
          <w:szCs w:val="22"/>
          <w:lang w:val="en-GB"/>
        </w:rPr>
        <w:t xml:space="preserve"> allowed local communities, teachers and practitioners to work together and develop training curricula. </w:t>
      </w:r>
      <w:r w:rsidRPr="003316FD">
        <w:rPr>
          <w:rFonts w:cs="Arial"/>
          <w:lang w:val="en-GB"/>
        </w:rPr>
        <w:t xml:space="preserve">Eight classes </w:t>
      </w:r>
      <w:r w:rsidRPr="003316FD">
        <w:rPr>
          <w:rFonts w:cs="Arial"/>
          <w:szCs w:val="22"/>
          <w:lang w:val="en-GB"/>
        </w:rPr>
        <w:t>o</w:t>
      </w:r>
      <w:r w:rsidR="002D2AD2">
        <w:rPr>
          <w:rFonts w:cs="Arial"/>
          <w:szCs w:val="22"/>
          <w:lang w:val="en-GB"/>
        </w:rPr>
        <w:t>n</w:t>
      </w:r>
      <w:r w:rsidRPr="003316FD">
        <w:rPr>
          <w:rFonts w:cs="Arial"/>
          <w:szCs w:val="22"/>
          <w:lang w:val="en-GB"/>
        </w:rPr>
        <w:t xml:space="preserve"> </w:t>
      </w:r>
      <w:proofErr w:type="spellStart"/>
      <w:r w:rsidRPr="003316FD">
        <w:rPr>
          <w:rFonts w:cs="Arial"/>
          <w:szCs w:val="22"/>
          <w:lang w:val="en-GB"/>
        </w:rPr>
        <w:t>Dzao</w:t>
      </w:r>
      <w:proofErr w:type="spellEnd"/>
      <w:r w:rsidRPr="003316FD">
        <w:rPr>
          <w:rFonts w:cs="Arial"/>
          <w:szCs w:val="22"/>
          <w:lang w:val="en-GB"/>
        </w:rPr>
        <w:t xml:space="preserve"> characters and oral expressions were held and </w:t>
      </w:r>
      <w:r w:rsidRPr="003316FD">
        <w:rPr>
          <w:rFonts w:cs="Arial"/>
          <w:lang w:val="en-GB"/>
        </w:rPr>
        <w:t xml:space="preserve">100 practitioners, including many young people and women, were trained to be able to read and understand </w:t>
      </w:r>
      <w:proofErr w:type="spellStart"/>
      <w:r w:rsidRPr="003316FD">
        <w:rPr>
          <w:rFonts w:cs="Arial"/>
          <w:lang w:val="en-GB"/>
        </w:rPr>
        <w:t>D</w:t>
      </w:r>
      <w:r w:rsidR="00D87899">
        <w:rPr>
          <w:rFonts w:cs="Arial"/>
          <w:lang w:val="en-GB"/>
        </w:rPr>
        <w:t>z</w:t>
      </w:r>
      <w:r w:rsidRPr="003316FD">
        <w:rPr>
          <w:rFonts w:cs="Arial"/>
          <w:lang w:val="en-GB"/>
        </w:rPr>
        <w:t>ao</w:t>
      </w:r>
      <w:proofErr w:type="spellEnd"/>
      <w:r w:rsidRPr="003316FD">
        <w:rPr>
          <w:rFonts w:cs="Arial"/>
          <w:lang w:val="en-GB"/>
        </w:rPr>
        <w:t xml:space="preserve"> and sing several folk songs</w:t>
      </w:r>
      <w:r w:rsidR="004B546B">
        <w:rPr>
          <w:rFonts w:cs="Arial"/>
          <w:lang w:val="en-GB"/>
        </w:rPr>
        <w:t xml:space="preserve">, </w:t>
      </w:r>
      <w:r w:rsidR="003A1360">
        <w:rPr>
          <w:rFonts w:cs="Arial"/>
          <w:lang w:val="en-GB"/>
        </w:rPr>
        <w:t>from</w:t>
      </w:r>
      <w:r w:rsidRPr="003316FD">
        <w:rPr>
          <w:rFonts w:cs="Arial"/>
          <w:lang w:val="en-GB"/>
        </w:rPr>
        <w:t xml:space="preserve"> ritual songs</w:t>
      </w:r>
      <w:r w:rsidR="003A1360">
        <w:rPr>
          <w:rFonts w:cs="Arial"/>
          <w:lang w:val="en-GB"/>
        </w:rPr>
        <w:t xml:space="preserve"> and children</w:t>
      </w:r>
      <w:r w:rsidR="003A1360" w:rsidRPr="003316FD">
        <w:rPr>
          <w:rFonts w:cs="Arial"/>
          <w:lang w:val="en-GB"/>
        </w:rPr>
        <w:t>’</w:t>
      </w:r>
      <w:r w:rsidR="003A1360">
        <w:rPr>
          <w:rFonts w:cs="Arial"/>
          <w:lang w:val="en-GB"/>
        </w:rPr>
        <w:t>s</w:t>
      </w:r>
      <w:r w:rsidR="003A1360" w:rsidRPr="003316FD">
        <w:rPr>
          <w:rFonts w:cs="Arial"/>
          <w:lang w:val="en-GB"/>
        </w:rPr>
        <w:t xml:space="preserve"> song</w:t>
      </w:r>
      <w:r w:rsidR="003A1360">
        <w:rPr>
          <w:rFonts w:cs="Arial"/>
          <w:lang w:val="en-GB"/>
        </w:rPr>
        <w:t>s</w:t>
      </w:r>
      <w:r w:rsidR="003A1360" w:rsidRPr="003316FD">
        <w:rPr>
          <w:rFonts w:cs="Arial"/>
          <w:lang w:val="en-GB"/>
        </w:rPr>
        <w:t xml:space="preserve"> </w:t>
      </w:r>
      <w:r w:rsidR="003A1360">
        <w:rPr>
          <w:rFonts w:cs="Arial"/>
          <w:lang w:val="en-GB"/>
        </w:rPr>
        <w:t xml:space="preserve">to </w:t>
      </w:r>
      <w:r w:rsidR="003A1360" w:rsidRPr="003316FD">
        <w:rPr>
          <w:rFonts w:cs="Arial"/>
          <w:lang w:val="en-GB"/>
        </w:rPr>
        <w:t>love songs</w:t>
      </w:r>
      <w:r w:rsidRPr="003316FD">
        <w:rPr>
          <w:rFonts w:cs="Arial"/>
          <w:lang w:val="en-GB"/>
        </w:rPr>
        <w:t xml:space="preserve">. </w:t>
      </w:r>
      <w:r w:rsidRPr="003316FD">
        <w:rPr>
          <w:rFonts w:cs="Arial"/>
          <w:szCs w:val="22"/>
          <w:lang w:val="en-GB"/>
        </w:rPr>
        <w:t xml:space="preserve">A CD-ROM was produced containing curricular contents and folk songs, of which 700 copies were distributed </w:t>
      </w:r>
      <w:r w:rsidR="00F65972" w:rsidRPr="003316FD">
        <w:rPr>
          <w:rFonts w:cs="Arial"/>
          <w:szCs w:val="22"/>
          <w:lang w:val="en-GB"/>
        </w:rPr>
        <w:t>in</w:t>
      </w:r>
      <w:r w:rsidRPr="003316FD">
        <w:rPr>
          <w:rFonts w:cs="Arial"/>
          <w:szCs w:val="22"/>
          <w:lang w:val="en-GB"/>
        </w:rPr>
        <w:t xml:space="preserve"> the villages of the provinces. A</w:t>
      </w:r>
      <w:r w:rsidR="00D76DC1">
        <w:rPr>
          <w:rFonts w:cs="Arial"/>
          <w:szCs w:val="22"/>
          <w:lang w:val="en-GB"/>
        </w:rPr>
        <w:t xml:space="preserve"> particularly valuable</w:t>
      </w:r>
      <w:r w:rsidRPr="003316FD">
        <w:rPr>
          <w:rFonts w:cs="Arial"/>
          <w:szCs w:val="22"/>
          <w:lang w:val="en-GB"/>
        </w:rPr>
        <w:t xml:space="preserve"> result </w:t>
      </w:r>
      <w:r w:rsidR="00784C67">
        <w:rPr>
          <w:rFonts w:cs="Arial"/>
          <w:szCs w:val="22"/>
          <w:lang w:val="en-GB"/>
        </w:rPr>
        <w:t>wa</w:t>
      </w:r>
      <w:r w:rsidRPr="003316FD">
        <w:rPr>
          <w:rFonts w:cs="Arial"/>
          <w:szCs w:val="22"/>
          <w:lang w:val="en-GB"/>
        </w:rPr>
        <w:t xml:space="preserve">s </w:t>
      </w:r>
      <w:r w:rsidR="00F65972" w:rsidRPr="003316FD">
        <w:rPr>
          <w:rFonts w:cs="Arial"/>
          <w:szCs w:val="22"/>
          <w:lang w:val="en-GB"/>
        </w:rPr>
        <w:t>awareness raised</w:t>
      </w:r>
      <w:r w:rsidR="00784C67">
        <w:rPr>
          <w:rFonts w:cs="Arial"/>
          <w:szCs w:val="22"/>
          <w:lang w:val="en-GB"/>
        </w:rPr>
        <w:t xml:space="preserve"> </w:t>
      </w:r>
      <w:r w:rsidR="00784C67" w:rsidRPr="003316FD">
        <w:rPr>
          <w:rFonts w:cs="Arial"/>
          <w:szCs w:val="22"/>
          <w:lang w:val="en-GB"/>
        </w:rPr>
        <w:t>o</w:t>
      </w:r>
      <w:r w:rsidR="00784C67">
        <w:rPr>
          <w:rFonts w:cs="Arial"/>
          <w:szCs w:val="22"/>
          <w:lang w:val="en-GB"/>
        </w:rPr>
        <w:t>n</w:t>
      </w:r>
      <w:r w:rsidR="00784C67" w:rsidRPr="003316FD">
        <w:rPr>
          <w:rFonts w:cs="Arial"/>
          <w:szCs w:val="22"/>
          <w:lang w:val="en-GB"/>
        </w:rPr>
        <w:t xml:space="preserve"> the importance of safeguarding intangible cultural heritage</w:t>
      </w:r>
      <w:r w:rsidR="009264B4">
        <w:rPr>
          <w:rFonts w:cs="Arial"/>
          <w:szCs w:val="22"/>
          <w:lang w:val="en-GB"/>
        </w:rPr>
        <w:t>,</w:t>
      </w:r>
      <w:r w:rsidR="00784C67">
        <w:rPr>
          <w:rFonts w:cs="Arial"/>
          <w:szCs w:val="22"/>
          <w:lang w:val="en-GB"/>
        </w:rPr>
        <w:t xml:space="preserve"> </w:t>
      </w:r>
      <w:r w:rsidR="00D87899" w:rsidRPr="003316FD">
        <w:rPr>
          <w:rFonts w:cs="Arial"/>
          <w:szCs w:val="22"/>
          <w:lang w:val="en-GB"/>
        </w:rPr>
        <w:t>not only in</w:t>
      </w:r>
      <w:r w:rsidR="003E15C7">
        <w:rPr>
          <w:rFonts w:cs="Arial"/>
          <w:szCs w:val="22"/>
          <w:lang w:val="en-GB"/>
        </w:rPr>
        <w:t xml:space="preserve"> the villages targeted but </w:t>
      </w:r>
      <w:r w:rsidR="00D87899" w:rsidRPr="003316FD">
        <w:rPr>
          <w:rFonts w:cs="Arial"/>
          <w:szCs w:val="22"/>
          <w:lang w:val="en-GB"/>
        </w:rPr>
        <w:t xml:space="preserve">elsewhere in the Lao </w:t>
      </w:r>
      <w:proofErr w:type="spellStart"/>
      <w:r w:rsidR="00D87899" w:rsidRPr="003316FD">
        <w:rPr>
          <w:rFonts w:cs="Arial"/>
          <w:szCs w:val="22"/>
          <w:lang w:val="en-GB"/>
        </w:rPr>
        <w:t>Cai</w:t>
      </w:r>
      <w:proofErr w:type="spellEnd"/>
      <w:r w:rsidR="00D87899" w:rsidRPr="003316FD">
        <w:rPr>
          <w:rFonts w:cs="Arial"/>
          <w:szCs w:val="22"/>
          <w:lang w:val="en-GB"/>
        </w:rPr>
        <w:t xml:space="preserve"> and Lai Chau Provinces</w:t>
      </w:r>
      <w:r w:rsidRPr="003316FD">
        <w:rPr>
          <w:rFonts w:cs="Arial"/>
          <w:szCs w:val="22"/>
          <w:lang w:val="en-GB"/>
        </w:rPr>
        <w:t>.</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2F07D9" w:rsidRPr="002F0277" w14:paraId="4E61204F" w14:textId="77777777" w:rsidTr="00A4198D">
        <w:trPr>
          <w:cantSplit/>
        </w:trPr>
        <w:tc>
          <w:tcPr>
            <w:tcW w:w="2025" w:type="dxa"/>
            <w:shd w:val="clear" w:color="auto" w:fill="auto"/>
            <w:vAlign w:val="center"/>
          </w:tcPr>
          <w:p w14:paraId="0CCD4457" w14:textId="77777777" w:rsidR="002F07D9" w:rsidRPr="002F0277" w:rsidRDefault="002F07D9" w:rsidP="00A4198D">
            <w:pPr>
              <w:pStyle w:val="Marge"/>
              <w:keepNext/>
              <w:tabs>
                <w:tab w:val="clear" w:pos="567"/>
              </w:tabs>
              <w:spacing w:before="120" w:after="120"/>
              <w:jc w:val="center"/>
              <w:outlineLvl w:val="0"/>
              <w:rPr>
                <w:rFonts w:cs="Arial"/>
                <w:b/>
                <w:color w:val="000000"/>
                <w:sz w:val="20"/>
                <w:szCs w:val="20"/>
                <w:lang w:val="en-GB"/>
              </w:rPr>
            </w:pPr>
            <w:r w:rsidRPr="002F0277">
              <w:rPr>
                <w:rFonts w:cs="Arial"/>
                <w:b/>
                <w:color w:val="000000"/>
                <w:sz w:val="20"/>
                <w:szCs w:val="20"/>
                <w:lang w:val="en-GB"/>
              </w:rPr>
              <w:lastRenderedPageBreak/>
              <w:t>Vanuatu</w:t>
            </w:r>
          </w:p>
        </w:tc>
        <w:tc>
          <w:tcPr>
            <w:tcW w:w="1560" w:type="dxa"/>
            <w:shd w:val="clear" w:color="auto" w:fill="auto"/>
            <w:vAlign w:val="center"/>
          </w:tcPr>
          <w:p w14:paraId="39C373C8" w14:textId="77777777" w:rsidR="002F07D9" w:rsidRPr="002F0277" w:rsidRDefault="002F07D9" w:rsidP="00A4198D">
            <w:pPr>
              <w:pStyle w:val="Marge"/>
              <w:keepNext/>
              <w:tabs>
                <w:tab w:val="clear" w:pos="567"/>
              </w:tabs>
              <w:spacing w:before="120" w:after="120"/>
              <w:jc w:val="left"/>
              <w:outlineLvl w:val="0"/>
              <w:rPr>
                <w:rFonts w:cs="Arial"/>
                <w:b/>
                <w:color w:val="000000"/>
                <w:sz w:val="20"/>
                <w:szCs w:val="20"/>
                <w:lang w:val="en-GB"/>
              </w:rPr>
            </w:pPr>
            <w:r w:rsidRPr="002F0277">
              <w:rPr>
                <w:rFonts w:cs="Arial"/>
                <w:b/>
                <w:sz w:val="20"/>
                <w:szCs w:val="20"/>
                <w:lang w:val="en-GB"/>
              </w:rPr>
              <w:t>US$23,908</w:t>
            </w:r>
          </w:p>
        </w:tc>
        <w:tc>
          <w:tcPr>
            <w:tcW w:w="6073" w:type="dxa"/>
            <w:shd w:val="clear" w:color="auto" w:fill="auto"/>
            <w:vAlign w:val="center"/>
          </w:tcPr>
          <w:p w14:paraId="1A3D7FA6" w14:textId="77777777" w:rsidR="002F07D9" w:rsidRPr="002F0277" w:rsidRDefault="002F07D9" w:rsidP="00A4198D">
            <w:pPr>
              <w:pStyle w:val="Marge"/>
              <w:keepNext/>
              <w:tabs>
                <w:tab w:val="clear" w:pos="567"/>
              </w:tabs>
              <w:spacing w:before="120" w:after="120"/>
              <w:jc w:val="left"/>
              <w:outlineLvl w:val="0"/>
              <w:rPr>
                <w:rFonts w:cs="Arial"/>
                <w:color w:val="000000"/>
                <w:sz w:val="20"/>
                <w:szCs w:val="20"/>
                <w:lang w:val="en-GB"/>
              </w:rPr>
            </w:pPr>
            <w:r w:rsidRPr="002F0277">
              <w:rPr>
                <w:rFonts w:cs="Arial"/>
                <w:b/>
                <w:color w:val="000000"/>
                <w:sz w:val="20"/>
                <w:szCs w:val="20"/>
                <w:lang w:val="en-GB"/>
              </w:rPr>
              <w:t xml:space="preserve">Safeguarding indigenous vernacular architecture and building knowledge in Vanuatu </w:t>
            </w:r>
            <w:r w:rsidRPr="002F0277">
              <w:rPr>
                <w:rFonts w:cs="Arial"/>
                <w:color w:val="000000"/>
                <w:sz w:val="20"/>
                <w:szCs w:val="20"/>
                <w:lang w:val="en-GB"/>
              </w:rPr>
              <w:t>(No. 01214)</w:t>
            </w:r>
          </w:p>
          <w:p w14:paraId="4456BB6D" w14:textId="77777777" w:rsidR="002F07D9" w:rsidRPr="002F0277" w:rsidRDefault="002F07D9" w:rsidP="00A4198D">
            <w:pPr>
              <w:pStyle w:val="Marge"/>
              <w:keepNext/>
              <w:tabs>
                <w:tab w:val="clear" w:pos="567"/>
              </w:tabs>
              <w:spacing w:before="120" w:after="120"/>
              <w:jc w:val="left"/>
              <w:outlineLvl w:val="0"/>
              <w:rPr>
                <w:rFonts w:cs="Arial"/>
                <w:b/>
                <w:color w:val="000000"/>
                <w:sz w:val="20"/>
                <w:szCs w:val="20"/>
                <w:lang w:val="en-GB"/>
              </w:rPr>
            </w:pPr>
            <w:r w:rsidRPr="002F0277">
              <w:rPr>
                <w:rFonts w:cs="Arial"/>
                <w:color w:val="000000"/>
                <w:sz w:val="20"/>
                <w:szCs w:val="20"/>
                <w:lang w:val="en-GB"/>
              </w:rPr>
              <w:t>Emergency Assistance</w:t>
            </w:r>
          </w:p>
        </w:tc>
      </w:tr>
      <w:tr w:rsidR="002F07D9" w:rsidRPr="002F0277" w14:paraId="669E2901" w14:textId="77777777" w:rsidTr="00A4198D">
        <w:trPr>
          <w:cantSplit/>
        </w:trPr>
        <w:tc>
          <w:tcPr>
            <w:tcW w:w="2025" w:type="dxa"/>
            <w:shd w:val="clear" w:color="auto" w:fill="auto"/>
          </w:tcPr>
          <w:p w14:paraId="7F215D1F" w14:textId="77777777" w:rsidR="002F07D9" w:rsidRPr="002F0277" w:rsidRDefault="002F07D9" w:rsidP="00A4198D">
            <w:pPr>
              <w:pStyle w:val="Marge"/>
              <w:keepNext/>
              <w:tabs>
                <w:tab w:val="clear" w:pos="567"/>
              </w:tabs>
              <w:spacing w:before="120" w:after="120"/>
              <w:jc w:val="right"/>
              <w:outlineLvl w:val="0"/>
              <w:rPr>
                <w:rFonts w:cs="Arial"/>
                <w:i/>
                <w:color w:val="000000"/>
                <w:sz w:val="20"/>
                <w:szCs w:val="20"/>
                <w:lang w:val="en-GB"/>
              </w:rPr>
            </w:pPr>
            <w:r w:rsidRPr="002F0277">
              <w:rPr>
                <w:rFonts w:cs="Arial"/>
                <w:i/>
                <w:color w:val="000000"/>
                <w:sz w:val="20"/>
                <w:szCs w:val="20"/>
                <w:lang w:val="en-GB"/>
              </w:rPr>
              <w:t>Granted:</w:t>
            </w:r>
          </w:p>
        </w:tc>
        <w:tc>
          <w:tcPr>
            <w:tcW w:w="7633" w:type="dxa"/>
            <w:gridSpan w:val="2"/>
            <w:shd w:val="clear" w:color="auto" w:fill="auto"/>
          </w:tcPr>
          <w:p w14:paraId="3DFE7A14" w14:textId="77777777" w:rsidR="002F07D9" w:rsidRPr="002F0277" w:rsidRDefault="002F07D9" w:rsidP="00A4198D">
            <w:pPr>
              <w:pStyle w:val="Marge"/>
              <w:keepNext/>
              <w:tabs>
                <w:tab w:val="clear" w:pos="567"/>
              </w:tabs>
              <w:spacing w:before="120" w:after="120"/>
              <w:jc w:val="left"/>
              <w:outlineLvl w:val="0"/>
              <w:rPr>
                <w:rFonts w:cs="Arial"/>
                <w:color w:val="000000"/>
                <w:sz w:val="20"/>
                <w:szCs w:val="20"/>
                <w:lang w:val="en-GB"/>
              </w:rPr>
            </w:pPr>
            <w:r w:rsidRPr="002F0277">
              <w:rPr>
                <w:rFonts w:cs="Arial"/>
                <w:color w:val="000000"/>
                <w:sz w:val="20"/>
                <w:szCs w:val="20"/>
                <w:lang w:val="en-GB"/>
              </w:rPr>
              <w:t>2015 (</w:t>
            </w:r>
            <w:hyperlink r:id="rId51" w:history="1">
              <w:r w:rsidRPr="002F0277">
                <w:rPr>
                  <w:rStyle w:val="Hyperlink"/>
                  <w:rFonts w:cs="Arial"/>
                  <w:sz w:val="20"/>
                  <w:szCs w:val="20"/>
                  <w:lang w:val="en-GB"/>
                </w:rPr>
                <w:t>Decision 10.COM 1.BUR 2.2</w:t>
              </w:r>
            </w:hyperlink>
            <w:r w:rsidRPr="002F0277">
              <w:rPr>
                <w:rFonts w:cs="Arial"/>
                <w:color w:val="000000"/>
                <w:sz w:val="20"/>
                <w:szCs w:val="20"/>
                <w:lang w:val="en-GB"/>
              </w:rPr>
              <w:t>)</w:t>
            </w:r>
          </w:p>
        </w:tc>
      </w:tr>
      <w:tr w:rsidR="002F07D9" w:rsidRPr="002F0277" w14:paraId="57D96573" w14:textId="77777777" w:rsidTr="00A4198D">
        <w:trPr>
          <w:cantSplit/>
        </w:trPr>
        <w:tc>
          <w:tcPr>
            <w:tcW w:w="2025" w:type="dxa"/>
            <w:shd w:val="clear" w:color="auto" w:fill="auto"/>
          </w:tcPr>
          <w:p w14:paraId="5C98001A" w14:textId="77777777" w:rsidR="002F07D9" w:rsidRPr="002F0277" w:rsidRDefault="002F07D9" w:rsidP="00A4198D">
            <w:pPr>
              <w:pStyle w:val="Marge"/>
              <w:keepNext/>
              <w:tabs>
                <w:tab w:val="clear" w:pos="567"/>
              </w:tabs>
              <w:spacing w:before="120" w:after="120"/>
              <w:jc w:val="right"/>
              <w:outlineLvl w:val="0"/>
              <w:rPr>
                <w:rFonts w:cs="Arial"/>
                <w:i/>
                <w:color w:val="000000"/>
                <w:sz w:val="20"/>
                <w:szCs w:val="20"/>
                <w:lang w:val="en-GB"/>
              </w:rPr>
            </w:pPr>
            <w:r w:rsidRPr="002F0277">
              <w:rPr>
                <w:rFonts w:cs="Arial"/>
                <w:i/>
                <w:color w:val="000000"/>
                <w:sz w:val="20"/>
                <w:szCs w:val="20"/>
                <w:lang w:val="en-GB"/>
              </w:rPr>
              <w:t>Reporting period:</w:t>
            </w:r>
          </w:p>
        </w:tc>
        <w:tc>
          <w:tcPr>
            <w:tcW w:w="7633" w:type="dxa"/>
            <w:gridSpan w:val="2"/>
            <w:shd w:val="clear" w:color="auto" w:fill="auto"/>
          </w:tcPr>
          <w:p w14:paraId="4E48BF22" w14:textId="77777777" w:rsidR="002F07D9" w:rsidRPr="002F0277" w:rsidRDefault="002F07D9" w:rsidP="00A4198D">
            <w:pPr>
              <w:pStyle w:val="Marge"/>
              <w:keepNext/>
              <w:tabs>
                <w:tab w:val="clear" w:pos="567"/>
              </w:tabs>
              <w:spacing w:before="120" w:after="120"/>
              <w:jc w:val="left"/>
              <w:outlineLvl w:val="0"/>
              <w:rPr>
                <w:rFonts w:cs="Arial"/>
                <w:color w:val="000000"/>
                <w:sz w:val="20"/>
                <w:szCs w:val="20"/>
                <w:lang w:val="en-GB"/>
              </w:rPr>
            </w:pPr>
            <w:r w:rsidRPr="002F0277">
              <w:rPr>
                <w:rFonts w:cs="Arial"/>
                <w:color w:val="000000"/>
                <w:sz w:val="20"/>
                <w:szCs w:val="20"/>
                <w:lang w:val="en-GB"/>
              </w:rPr>
              <w:t>10/08/2015 – 15/12/2015</w:t>
            </w:r>
          </w:p>
        </w:tc>
      </w:tr>
    </w:tbl>
    <w:p w14:paraId="4A15CE69" w14:textId="77777777" w:rsidR="002F07D9" w:rsidRPr="00B1435C" w:rsidRDefault="002F07D9" w:rsidP="002F07D9">
      <w:pPr>
        <w:pStyle w:val="Marge"/>
        <w:spacing w:before="120" w:after="120"/>
        <w:outlineLvl w:val="0"/>
        <w:rPr>
          <w:rFonts w:eastAsia="Malgun Gothic" w:cs="Arial"/>
          <w:szCs w:val="22"/>
          <w:lang w:val="en-GB" w:eastAsia="ko-KR"/>
        </w:rPr>
      </w:pPr>
      <w:r w:rsidRPr="003316FD">
        <w:rPr>
          <w:rFonts w:cs="Arial"/>
          <w:szCs w:val="22"/>
          <w:lang w:val="en-GB"/>
        </w:rPr>
        <w:t xml:space="preserve">This project documented the pre- and post- cyclone condition of seven significant traditional </w:t>
      </w:r>
      <w:proofErr w:type="spellStart"/>
      <w:r w:rsidRPr="003316FD">
        <w:rPr>
          <w:rFonts w:cs="Arial"/>
          <w:szCs w:val="22"/>
          <w:lang w:val="en-GB"/>
        </w:rPr>
        <w:t>nakamals</w:t>
      </w:r>
      <w:proofErr w:type="spellEnd"/>
      <w:r>
        <w:rPr>
          <w:rFonts w:cs="Arial"/>
          <w:szCs w:val="22"/>
          <w:lang w:val="en-GB"/>
        </w:rPr>
        <w:t xml:space="preserve"> </w:t>
      </w:r>
      <w:r w:rsidRPr="003316FD">
        <w:rPr>
          <w:rFonts w:cs="Arial"/>
          <w:color w:val="000000"/>
          <w:sz w:val="20"/>
          <w:szCs w:val="20"/>
          <w:lang w:val="en-GB"/>
        </w:rPr>
        <w:t>–</w:t>
      </w:r>
      <w:r w:rsidRPr="003316FD">
        <w:rPr>
          <w:rFonts w:cs="Arial"/>
          <w:szCs w:val="22"/>
          <w:lang w:val="en-GB"/>
        </w:rPr>
        <w:t xml:space="preserve"> the traditional meeting places in Vanuatu. These structures </w:t>
      </w:r>
      <w:r>
        <w:rPr>
          <w:rFonts w:cs="Arial"/>
          <w:szCs w:val="22"/>
          <w:lang w:val="en-GB"/>
        </w:rPr>
        <w:t>were</w:t>
      </w:r>
      <w:r w:rsidRPr="003316FD">
        <w:rPr>
          <w:rFonts w:cs="Arial"/>
          <w:szCs w:val="22"/>
          <w:lang w:val="en-GB"/>
        </w:rPr>
        <w:t xml:space="preserve"> damaged by Cyclone Pam</w:t>
      </w:r>
      <w:r>
        <w:rPr>
          <w:rFonts w:cs="Arial"/>
          <w:szCs w:val="22"/>
          <w:lang w:val="en-GB"/>
        </w:rPr>
        <w:t xml:space="preserve"> (</w:t>
      </w:r>
      <w:r w:rsidRPr="003316FD">
        <w:rPr>
          <w:rFonts w:cs="Arial"/>
          <w:szCs w:val="22"/>
          <w:lang w:val="en-GB"/>
        </w:rPr>
        <w:t>a category 5 system that crossed the region on 13 March 2015</w:t>
      </w:r>
      <w:r>
        <w:rPr>
          <w:rFonts w:cs="Arial"/>
          <w:szCs w:val="22"/>
          <w:lang w:val="en-GB"/>
        </w:rPr>
        <w:t>)</w:t>
      </w:r>
      <w:r w:rsidRPr="003316FD">
        <w:rPr>
          <w:rFonts w:cs="Arial"/>
          <w:szCs w:val="22"/>
          <w:lang w:val="en-GB"/>
        </w:rPr>
        <w:t xml:space="preserve">. The project had four main lines of action: preliminary research conducted by two young </w:t>
      </w:r>
      <w:proofErr w:type="spellStart"/>
      <w:r w:rsidRPr="003316FD">
        <w:rPr>
          <w:rFonts w:cs="Arial"/>
          <w:szCs w:val="22"/>
          <w:lang w:val="en-GB"/>
        </w:rPr>
        <w:t>ni</w:t>
      </w:r>
      <w:proofErr w:type="spellEnd"/>
      <w:r w:rsidRPr="003316FD">
        <w:rPr>
          <w:rFonts w:cs="Arial"/>
          <w:szCs w:val="22"/>
          <w:lang w:val="en-GB"/>
        </w:rPr>
        <w:t xml:space="preserve">-Vanuatu university students on tangible and intangible aspects of each </w:t>
      </w:r>
      <w:proofErr w:type="spellStart"/>
      <w:r w:rsidRPr="003316FD">
        <w:rPr>
          <w:rFonts w:cs="Arial"/>
          <w:szCs w:val="22"/>
          <w:lang w:val="en-GB"/>
        </w:rPr>
        <w:t>nakamal</w:t>
      </w:r>
      <w:proofErr w:type="spellEnd"/>
      <w:r w:rsidRPr="003316FD">
        <w:rPr>
          <w:rFonts w:cs="Arial"/>
          <w:szCs w:val="22"/>
          <w:lang w:val="en-GB"/>
        </w:rPr>
        <w:t xml:space="preserve">; a damage assessment to document their structural condition; an assessment of the risk of loss of the intangible cultural heritage aspects of each structure including the knowledge and skills that are required for building the </w:t>
      </w:r>
      <w:proofErr w:type="spellStart"/>
      <w:r w:rsidRPr="003316FD">
        <w:rPr>
          <w:rFonts w:cs="Arial"/>
          <w:szCs w:val="22"/>
          <w:lang w:val="en-GB"/>
        </w:rPr>
        <w:t>nakamal</w:t>
      </w:r>
      <w:proofErr w:type="spellEnd"/>
      <w:r w:rsidRPr="003316FD">
        <w:rPr>
          <w:rFonts w:cs="Arial"/>
          <w:szCs w:val="22"/>
          <w:lang w:val="en-GB"/>
        </w:rPr>
        <w:t xml:space="preserve">; and a final report listing the best safeguarding measures </w:t>
      </w:r>
      <w:r>
        <w:rPr>
          <w:rFonts w:cs="Arial"/>
          <w:szCs w:val="22"/>
          <w:lang w:val="en-GB"/>
        </w:rPr>
        <w:t xml:space="preserve">for each of the seven </w:t>
      </w:r>
      <w:proofErr w:type="spellStart"/>
      <w:r>
        <w:rPr>
          <w:rFonts w:cs="Arial"/>
          <w:szCs w:val="22"/>
          <w:lang w:val="en-GB"/>
        </w:rPr>
        <w:t>nakamals</w:t>
      </w:r>
      <w:proofErr w:type="spellEnd"/>
      <w:r>
        <w:rPr>
          <w:rFonts w:cs="Arial"/>
          <w:szCs w:val="22"/>
          <w:lang w:val="en-GB"/>
        </w:rPr>
        <w:t>.</w:t>
      </w:r>
    </w:p>
    <w:p w14:paraId="52F209FD" w14:textId="3F0021C6" w:rsidR="002F07D9" w:rsidRPr="002F07D9" w:rsidRDefault="002F07D9" w:rsidP="00F108F3">
      <w:pPr>
        <w:pStyle w:val="Marge"/>
        <w:spacing w:before="120"/>
        <w:outlineLvl w:val="0"/>
        <w:rPr>
          <w:rFonts w:cs="Arial"/>
          <w:szCs w:val="22"/>
          <w:lang w:val="en-GB"/>
        </w:rPr>
      </w:pPr>
      <w:r w:rsidRPr="003316FD">
        <w:rPr>
          <w:rFonts w:cs="Arial"/>
          <w:szCs w:val="22"/>
          <w:lang w:val="en-GB"/>
        </w:rPr>
        <w:t>A set of best safeguarding practices was compiled to encourage the revitali</w:t>
      </w:r>
      <w:r>
        <w:rPr>
          <w:rFonts w:cs="Arial"/>
          <w:szCs w:val="22"/>
          <w:lang w:val="en-GB"/>
        </w:rPr>
        <w:t>z</w:t>
      </w:r>
      <w:r w:rsidRPr="003316FD">
        <w:rPr>
          <w:rFonts w:cs="Arial"/>
          <w:szCs w:val="22"/>
          <w:lang w:val="en-GB"/>
        </w:rPr>
        <w:t>ation of building skills related to indigenous vernacular architecture in the region to ensure</w:t>
      </w:r>
      <w:r>
        <w:rPr>
          <w:rFonts w:cs="Arial"/>
          <w:szCs w:val="22"/>
          <w:lang w:val="en-GB"/>
        </w:rPr>
        <w:t xml:space="preserve"> </w:t>
      </w:r>
      <w:r w:rsidRPr="003316FD">
        <w:rPr>
          <w:rFonts w:cs="Arial"/>
          <w:szCs w:val="22"/>
          <w:lang w:val="en-GB"/>
        </w:rPr>
        <w:t>continu</w:t>
      </w:r>
      <w:r>
        <w:rPr>
          <w:rFonts w:cs="Arial"/>
          <w:szCs w:val="22"/>
          <w:lang w:val="en-GB"/>
        </w:rPr>
        <w:t>ation of the</w:t>
      </w:r>
      <w:r w:rsidRPr="003316FD">
        <w:rPr>
          <w:rFonts w:cs="Arial"/>
          <w:szCs w:val="22"/>
          <w:lang w:val="en-GB"/>
        </w:rPr>
        <w:t xml:space="preserve"> existence of the </w:t>
      </w:r>
      <w:proofErr w:type="spellStart"/>
      <w:r w:rsidRPr="003316FD">
        <w:rPr>
          <w:rFonts w:cs="Arial"/>
          <w:szCs w:val="22"/>
          <w:lang w:val="en-GB"/>
        </w:rPr>
        <w:t>nakamal</w:t>
      </w:r>
      <w:proofErr w:type="spellEnd"/>
      <w:r w:rsidRPr="003316FD">
        <w:rPr>
          <w:rFonts w:cs="Arial"/>
          <w:szCs w:val="22"/>
          <w:lang w:val="en-GB"/>
        </w:rPr>
        <w:t xml:space="preserve">. </w:t>
      </w:r>
      <w:r>
        <w:rPr>
          <w:rFonts w:cs="Arial"/>
          <w:szCs w:val="22"/>
          <w:lang w:val="en-GB"/>
        </w:rPr>
        <w:t xml:space="preserve">Due to </w:t>
      </w:r>
      <w:r w:rsidRPr="003316FD">
        <w:rPr>
          <w:rFonts w:cs="Arial"/>
          <w:szCs w:val="22"/>
          <w:lang w:val="en-GB"/>
        </w:rPr>
        <w:t xml:space="preserve">staff changeovers at the implementing agency, timeframes for the project were exceeded and community feedback on the findings of the project was possible only in one </w:t>
      </w:r>
      <w:proofErr w:type="spellStart"/>
      <w:r w:rsidRPr="003316FD">
        <w:rPr>
          <w:rFonts w:cs="Arial"/>
          <w:szCs w:val="22"/>
          <w:lang w:val="en-GB"/>
        </w:rPr>
        <w:t>nakamal</w:t>
      </w:r>
      <w:proofErr w:type="spellEnd"/>
      <w:r w:rsidRPr="003316FD">
        <w:rPr>
          <w:rFonts w:cs="Arial"/>
          <w:szCs w:val="22"/>
          <w:lang w:val="en-GB"/>
        </w:rPr>
        <w:t xml:space="preserve">. Nevertheless, </w:t>
      </w:r>
      <w:r>
        <w:rPr>
          <w:rFonts w:cs="Arial"/>
          <w:szCs w:val="22"/>
          <w:lang w:val="en-GB"/>
        </w:rPr>
        <w:t xml:space="preserve">the State Party plans to continue the effort beyond the project and develop </w:t>
      </w:r>
      <w:r w:rsidRPr="003316FD">
        <w:rPr>
          <w:rFonts w:cs="Arial"/>
          <w:szCs w:val="22"/>
          <w:lang w:val="en-GB"/>
        </w:rPr>
        <w:t xml:space="preserve">an inventory of </w:t>
      </w:r>
      <w:proofErr w:type="spellStart"/>
      <w:r w:rsidRPr="003316FD">
        <w:rPr>
          <w:rFonts w:cs="Arial"/>
          <w:szCs w:val="22"/>
          <w:lang w:val="en-GB"/>
        </w:rPr>
        <w:t>nakamals</w:t>
      </w:r>
      <w:proofErr w:type="spellEnd"/>
      <w:r w:rsidRPr="003316FD">
        <w:rPr>
          <w:rFonts w:cs="Arial"/>
          <w:szCs w:val="22"/>
          <w:lang w:val="en-GB"/>
        </w:rPr>
        <w:t xml:space="preserve"> and aspects related to intangible cultural heritage instigated by the project</w:t>
      </w:r>
      <w:r>
        <w:rPr>
          <w:rFonts w:cs="Arial"/>
          <w:szCs w:val="22"/>
          <w:lang w:val="en-GB"/>
        </w:rPr>
        <w:t>, which should then be</w:t>
      </w:r>
      <w:r w:rsidRPr="003316FD">
        <w:rPr>
          <w:rFonts w:cs="Arial"/>
          <w:szCs w:val="22"/>
          <w:lang w:val="en-GB"/>
        </w:rPr>
        <w:t xml:space="preserve"> updated by the Vanuatu Cultural Centre.</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21763C" w:rsidRPr="00D06268" w14:paraId="45D67278" w14:textId="77777777" w:rsidTr="00F02F65">
        <w:trPr>
          <w:cantSplit/>
        </w:trPr>
        <w:tc>
          <w:tcPr>
            <w:tcW w:w="2025" w:type="dxa"/>
            <w:shd w:val="clear" w:color="auto" w:fill="auto"/>
            <w:vAlign w:val="center"/>
          </w:tcPr>
          <w:p w14:paraId="762122E6" w14:textId="5DE16070" w:rsidR="0021763C" w:rsidRPr="003316FD" w:rsidRDefault="0021763C" w:rsidP="00F02F65">
            <w:pPr>
              <w:pStyle w:val="Marge"/>
              <w:keepNext/>
              <w:tabs>
                <w:tab w:val="clear" w:pos="567"/>
              </w:tabs>
              <w:spacing w:before="120" w:after="120"/>
              <w:jc w:val="center"/>
              <w:outlineLvl w:val="0"/>
              <w:rPr>
                <w:rFonts w:cs="Arial"/>
                <w:b/>
                <w:color w:val="000000"/>
                <w:sz w:val="20"/>
                <w:szCs w:val="20"/>
                <w:lang w:val="en-GB"/>
              </w:rPr>
            </w:pPr>
            <w:r w:rsidRPr="003316FD">
              <w:rPr>
                <w:rFonts w:cs="Arial"/>
                <w:b/>
                <w:color w:val="000000"/>
                <w:sz w:val="20"/>
                <w:szCs w:val="20"/>
                <w:lang w:val="en-GB"/>
              </w:rPr>
              <w:t>Uganda</w:t>
            </w:r>
          </w:p>
        </w:tc>
        <w:tc>
          <w:tcPr>
            <w:tcW w:w="1560" w:type="dxa"/>
            <w:shd w:val="clear" w:color="auto" w:fill="auto"/>
            <w:vAlign w:val="center"/>
          </w:tcPr>
          <w:p w14:paraId="7044CC22" w14:textId="14638B1D" w:rsidR="0021763C" w:rsidRPr="003316FD" w:rsidRDefault="0021763C" w:rsidP="0021763C">
            <w:pPr>
              <w:pStyle w:val="Marge"/>
              <w:keepNext/>
              <w:tabs>
                <w:tab w:val="clear" w:pos="567"/>
              </w:tabs>
              <w:spacing w:before="120" w:after="120"/>
              <w:jc w:val="left"/>
              <w:outlineLvl w:val="0"/>
              <w:rPr>
                <w:rFonts w:cs="Arial"/>
                <w:b/>
                <w:color w:val="000000"/>
                <w:sz w:val="20"/>
                <w:szCs w:val="20"/>
                <w:lang w:val="en-GB"/>
              </w:rPr>
            </w:pPr>
            <w:r w:rsidRPr="003316FD">
              <w:rPr>
                <w:rFonts w:cs="Arial"/>
                <w:b/>
                <w:sz w:val="20"/>
                <w:szCs w:val="20"/>
                <w:lang w:val="en-GB"/>
              </w:rPr>
              <w:t>US$24,990</w:t>
            </w:r>
          </w:p>
        </w:tc>
        <w:tc>
          <w:tcPr>
            <w:tcW w:w="6073" w:type="dxa"/>
            <w:shd w:val="clear" w:color="auto" w:fill="auto"/>
            <w:vAlign w:val="center"/>
          </w:tcPr>
          <w:p w14:paraId="1A583ADA" w14:textId="5F0A39A7" w:rsidR="0021763C" w:rsidRPr="003316FD" w:rsidRDefault="0021763C" w:rsidP="00F02F65">
            <w:pPr>
              <w:pStyle w:val="Marge"/>
              <w:keepNext/>
              <w:tabs>
                <w:tab w:val="clear" w:pos="567"/>
              </w:tabs>
              <w:spacing w:before="120" w:after="120"/>
              <w:jc w:val="left"/>
              <w:outlineLvl w:val="0"/>
              <w:rPr>
                <w:rFonts w:cs="Arial"/>
                <w:b/>
                <w:color w:val="000000"/>
                <w:sz w:val="20"/>
                <w:szCs w:val="20"/>
                <w:lang w:val="en-GB"/>
              </w:rPr>
            </w:pPr>
            <w:r w:rsidRPr="003316FD">
              <w:rPr>
                <w:rFonts w:cs="Arial"/>
                <w:b/>
                <w:color w:val="000000"/>
                <w:sz w:val="20"/>
                <w:szCs w:val="20"/>
                <w:lang w:val="en-GB"/>
              </w:rPr>
              <w:t xml:space="preserve">Safeguarding and promotion of </w:t>
            </w:r>
            <w:proofErr w:type="spellStart"/>
            <w:r w:rsidRPr="003316FD">
              <w:rPr>
                <w:rFonts w:cs="Arial"/>
                <w:b/>
                <w:color w:val="000000"/>
                <w:sz w:val="20"/>
                <w:szCs w:val="20"/>
                <w:lang w:val="en-GB"/>
              </w:rPr>
              <w:t>Bigwala</w:t>
            </w:r>
            <w:proofErr w:type="spellEnd"/>
            <w:r w:rsidRPr="003316FD">
              <w:rPr>
                <w:rFonts w:cs="Arial"/>
                <w:b/>
                <w:color w:val="000000"/>
                <w:sz w:val="20"/>
                <w:szCs w:val="20"/>
                <w:lang w:val="en-GB"/>
              </w:rPr>
              <w:t xml:space="preserve">, gourd trumpet music and dance of Busoga Kingdom in Uganda </w:t>
            </w:r>
            <w:r w:rsidRPr="003316FD">
              <w:rPr>
                <w:rFonts w:cs="Arial"/>
                <w:color w:val="000000"/>
                <w:sz w:val="20"/>
                <w:szCs w:val="20"/>
                <w:lang w:val="en-GB"/>
              </w:rPr>
              <w:t>(No. 00979)</w:t>
            </w:r>
          </w:p>
        </w:tc>
      </w:tr>
      <w:tr w:rsidR="0021763C" w:rsidRPr="003316FD" w14:paraId="784F53D3" w14:textId="77777777" w:rsidTr="00F02F65">
        <w:trPr>
          <w:cantSplit/>
        </w:trPr>
        <w:tc>
          <w:tcPr>
            <w:tcW w:w="2025" w:type="dxa"/>
            <w:shd w:val="clear" w:color="auto" w:fill="auto"/>
          </w:tcPr>
          <w:p w14:paraId="4EF2450D" w14:textId="77777777" w:rsidR="0021763C" w:rsidRPr="003316FD" w:rsidRDefault="0021763C" w:rsidP="00F02F65">
            <w:pPr>
              <w:pStyle w:val="Marge"/>
              <w:keepNext/>
              <w:tabs>
                <w:tab w:val="clear" w:pos="567"/>
              </w:tabs>
              <w:spacing w:before="120" w:after="120"/>
              <w:jc w:val="right"/>
              <w:outlineLvl w:val="0"/>
              <w:rPr>
                <w:rFonts w:cs="Arial"/>
                <w:i/>
                <w:color w:val="000000"/>
                <w:sz w:val="20"/>
                <w:szCs w:val="20"/>
                <w:lang w:val="en-GB"/>
              </w:rPr>
            </w:pPr>
            <w:r w:rsidRPr="003316FD">
              <w:rPr>
                <w:rFonts w:cs="Arial"/>
                <w:i/>
                <w:color w:val="000000"/>
                <w:sz w:val="20"/>
                <w:szCs w:val="20"/>
                <w:lang w:val="en-GB"/>
              </w:rPr>
              <w:t>Granted:</w:t>
            </w:r>
          </w:p>
        </w:tc>
        <w:tc>
          <w:tcPr>
            <w:tcW w:w="7633" w:type="dxa"/>
            <w:gridSpan w:val="2"/>
            <w:shd w:val="clear" w:color="auto" w:fill="auto"/>
          </w:tcPr>
          <w:p w14:paraId="3F4FED4C" w14:textId="1C983672" w:rsidR="0021763C" w:rsidRPr="003316FD" w:rsidRDefault="0021763C" w:rsidP="00C00D04">
            <w:pPr>
              <w:pStyle w:val="Marge"/>
              <w:keepNext/>
              <w:tabs>
                <w:tab w:val="clear" w:pos="567"/>
              </w:tabs>
              <w:spacing w:before="120" w:after="120"/>
              <w:jc w:val="left"/>
              <w:outlineLvl w:val="0"/>
              <w:rPr>
                <w:rFonts w:cs="Arial"/>
                <w:color w:val="000000"/>
                <w:sz w:val="20"/>
                <w:szCs w:val="20"/>
                <w:lang w:val="en-GB"/>
              </w:rPr>
            </w:pPr>
            <w:r w:rsidRPr="003316FD">
              <w:rPr>
                <w:rFonts w:cs="Arial"/>
                <w:color w:val="000000"/>
                <w:sz w:val="20"/>
                <w:szCs w:val="20"/>
                <w:lang w:val="en-GB"/>
              </w:rPr>
              <w:t>2015 (</w:t>
            </w:r>
            <w:hyperlink r:id="rId52" w:history="1">
              <w:r w:rsidR="00C00D04" w:rsidRPr="003316FD">
                <w:rPr>
                  <w:rStyle w:val="Hyperlink"/>
                  <w:rFonts w:cs="Arial"/>
                  <w:sz w:val="20"/>
                  <w:szCs w:val="20"/>
                  <w:lang w:val="en-GB"/>
                </w:rPr>
                <w:t>Decision 10.COM 1.BUR 1.2</w:t>
              </w:r>
            </w:hyperlink>
            <w:r w:rsidRPr="003316FD">
              <w:rPr>
                <w:rFonts w:cs="Arial"/>
                <w:color w:val="000000"/>
                <w:sz w:val="20"/>
                <w:szCs w:val="20"/>
                <w:lang w:val="en-GB"/>
              </w:rPr>
              <w:t>)</w:t>
            </w:r>
          </w:p>
        </w:tc>
      </w:tr>
      <w:tr w:rsidR="0021763C" w:rsidRPr="003316FD" w14:paraId="5CA0AC9E" w14:textId="77777777" w:rsidTr="00F02F65">
        <w:trPr>
          <w:cantSplit/>
        </w:trPr>
        <w:tc>
          <w:tcPr>
            <w:tcW w:w="2025" w:type="dxa"/>
            <w:shd w:val="clear" w:color="auto" w:fill="auto"/>
          </w:tcPr>
          <w:p w14:paraId="164FAFFA" w14:textId="77777777" w:rsidR="0021763C" w:rsidRPr="003316FD" w:rsidRDefault="0021763C" w:rsidP="00F02F65">
            <w:pPr>
              <w:pStyle w:val="Marge"/>
              <w:keepNext/>
              <w:tabs>
                <w:tab w:val="clear" w:pos="567"/>
              </w:tabs>
              <w:spacing w:before="120" w:after="120"/>
              <w:jc w:val="right"/>
              <w:outlineLvl w:val="0"/>
              <w:rPr>
                <w:rFonts w:cs="Arial"/>
                <w:i/>
                <w:color w:val="000000"/>
                <w:sz w:val="20"/>
                <w:szCs w:val="20"/>
                <w:lang w:val="en-GB"/>
              </w:rPr>
            </w:pPr>
            <w:r w:rsidRPr="003316FD">
              <w:rPr>
                <w:rFonts w:cs="Arial"/>
                <w:i/>
                <w:color w:val="000000"/>
                <w:sz w:val="20"/>
                <w:szCs w:val="20"/>
                <w:lang w:val="en-GB"/>
              </w:rPr>
              <w:t>Reporting period:</w:t>
            </w:r>
          </w:p>
        </w:tc>
        <w:tc>
          <w:tcPr>
            <w:tcW w:w="7633" w:type="dxa"/>
            <w:gridSpan w:val="2"/>
            <w:shd w:val="clear" w:color="auto" w:fill="auto"/>
          </w:tcPr>
          <w:p w14:paraId="0A1EDA12" w14:textId="73FB728D" w:rsidR="0021763C" w:rsidRPr="003316FD" w:rsidRDefault="00C00D04" w:rsidP="00F02F65">
            <w:pPr>
              <w:pStyle w:val="Marge"/>
              <w:keepNext/>
              <w:tabs>
                <w:tab w:val="clear" w:pos="567"/>
              </w:tabs>
              <w:spacing w:before="120" w:after="120"/>
              <w:jc w:val="left"/>
              <w:outlineLvl w:val="0"/>
              <w:rPr>
                <w:rFonts w:cs="Arial"/>
                <w:color w:val="000000"/>
                <w:sz w:val="20"/>
                <w:szCs w:val="20"/>
                <w:lang w:val="en-GB"/>
              </w:rPr>
            </w:pPr>
            <w:r w:rsidRPr="003316FD">
              <w:rPr>
                <w:rFonts w:cs="Arial"/>
                <w:color w:val="000000"/>
                <w:sz w:val="20"/>
                <w:szCs w:val="20"/>
                <w:lang w:val="en-GB"/>
              </w:rPr>
              <w:t>01/09/2015</w:t>
            </w:r>
            <w:r w:rsidR="00314C11">
              <w:rPr>
                <w:rFonts w:cs="Arial"/>
                <w:color w:val="000000"/>
                <w:sz w:val="20"/>
                <w:szCs w:val="20"/>
                <w:lang w:val="en-GB"/>
              </w:rPr>
              <w:t xml:space="preserve"> </w:t>
            </w:r>
            <w:r w:rsidR="00314C11" w:rsidRPr="003316FD">
              <w:rPr>
                <w:rFonts w:cs="Arial"/>
                <w:color w:val="000000"/>
                <w:sz w:val="20"/>
                <w:szCs w:val="20"/>
                <w:lang w:val="en-GB"/>
              </w:rPr>
              <w:t>–</w:t>
            </w:r>
            <w:r w:rsidR="00314C11">
              <w:rPr>
                <w:rFonts w:cs="Arial"/>
                <w:color w:val="000000"/>
                <w:sz w:val="20"/>
                <w:szCs w:val="20"/>
                <w:lang w:val="en-GB"/>
              </w:rPr>
              <w:t xml:space="preserve"> </w:t>
            </w:r>
            <w:r w:rsidRPr="003316FD">
              <w:rPr>
                <w:rFonts w:cs="Arial"/>
                <w:color w:val="000000"/>
                <w:sz w:val="20"/>
                <w:szCs w:val="20"/>
                <w:lang w:val="en-GB"/>
              </w:rPr>
              <w:t>01/04/2016 (ongoing)</w:t>
            </w:r>
          </w:p>
        </w:tc>
      </w:tr>
      <w:tr w:rsidR="00C00D04" w:rsidRPr="00D06268" w14:paraId="7932D2D8" w14:textId="77777777" w:rsidTr="00C00D04">
        <w:trPr>
          <w:cantSplit/>
        </w:trPr>
        <w:tc>
          <w:tcPr>
            <w:tcW w:w="2025" w:type="dxa"/>
            <w:tcBorders>
              <w:top w:val="single" w:sz="4" w:space="0" w:color="000000"/>
              <w:left w:val="single" w:sz="4" w:space="0" w:color="000000"/>
              <w:bottom w:val="single" w:sz="4" w:space="0" w:color="000000"/>
              <w:right w:val="single" w:sz="4" w:space="0" w:color="000000"/>
            </w:tcBorders>
            <w:shd w:val="clear" w:color="auto" w:fill="auto"/>
          </w:tcPr>
          <w:p w14:paraId="684AABDB" w14:textId="77777777" w:rsidR="00C00D04" w:rsidRPr="003316FD" w:rsidRDefault="00C00D04" w:rsidP="00C00D04">
            <w:pPr>
              <w:pStyle w:val="Marge"/>
              <w:keepNext/>
              <w:tabs>
                <w:tab w:val="clear" w:pos="567"/>
              </w:tabs>
              <w:spacing w:before="120" w:after="120"/>
              <w:jc w:val="right"/>
              <w:outlineLvl w:val="0"/>
              <w:rPr>
                <w:rFonts w:cs="Arial"/>
                <w:i/>
                <w:color w:val="000000"/>
                <w:sz w:val="20"/>
                <w:szCs w:val="20"/>
                <w:lang w:val="en-GB"/>
              </w:rPr>
            </w:pPr>
            <w:r w:rsidRPr="003316FD">
              <w:rPr>
                <w:rFonts w:cs="Arial"/>
                <w:i/>
                <w:color w:val="000000"/>
                <w:sz w:val="20"/>
                <w:szCs w:val="20"/>
                <w:lang w:val="en-GB"/>
              </w:rPr>
              <w:t xml:space="preserve">Related element: </w:t>
            </w:r>
          </w:p>
        </w:tc>
        <w:tc>
          <w:tcPr>
            <w:tcW w:w="7633" w:type="dxa"/>
            <w:gridSpan w:val="2"/>
            <w:tcBorders>
              <w:top w:val="single" w:sz="4" w:space="0" w:color="000000"/>
              <w:left w:val="single" w:sz="4" w:space="0" w:color="000000"/>
              <w:bottom w:val="single" w:sz="4" w:space="0" w:color="000000"/>
              <w:right w:val="single" w:sz="4" w:space="0" w:color="000000"/>
            </w:tcBorders>
            <w:shd w:val="clear" w:color="auto" w:fill="auto"/>
          </w:tcPr>
          <w:p w14:paraId="13AFE1C7" w14:textId="1185A7CF" w:rsidR="00C00D04" w:rsidRPr="003316FD" w:rsidRDefault="00C00D04" w:rsidP="00C00D04">
            <w:pPr>
              <w:pStyle w:val="Marge"/>
              <w:keepNext/>
              <w:tabs>
                <w:tab w:val="clear" w:pos="567"/>
              </w:tabs>
              <w:spacing w:before="120" w:after="120"/>
              <w:jc w:val="left"/>
              <w:outlineLvl w:val="0"/>
              <w:rPr>
                <w:rFonts w:cs="Arial"/>
                <w:color w:val="000000"/>
                <w:sz w:val="20"/>
                <w:szCs w:val="20"/>
                <w:lang w:val="en-GB"/>
              </w:rPr>
            </w:pPr>
            <w:proofErr w:type="spellStart"/>
            <w:r w:rsidRPr="003316FD">
              <w:rPr>
                <w:rFonts w:cs="Arial"/>
                <w:color w:val="000000"/>
                <w:sz w:val="20"/>
                <w:szCs w:val="20"/>
                <w:lang w:val="en-GB"/>
              </w:rPr>
              <w:t>Bigwala</w:t>
            </w:r>
            <w:proofErr w:type="spellEnd"/>
            <w:r w:rsidRPr="003316FD">
              <w:rPr>
                <w:rFonts w:cs="Arial"/>
                <w:color w:val="000000"/>
                <w:sz w:val="20"/>
                <w:szCs w:val="20"/>
                <w:lang w:val="en-GB"/>
              </w:rPr>
              <w:t>, gourd trumpet music and dance of the Busoga Kingdom in Uganda (inscribed in 2012 on the Urgent Safeguarding List)</w:t>
            </w:r>
          </w:p>
          <w:p w14:paraId="5D755460" w14:textId="6D0513D4" w:rsidR="00C00D04" w:rsidRPr="003316FD" w:rsidRDefault="00C00D04" w:rsidP="00C00D04">
            <w:pPr>
              <w:pStyle w:val="Marge"/>
              <w:keepNext/>
              <w:tabs>
                <w:tab w:val="clear" w:pos="567"/>
              </w:tabs>
              <w:spacing w:before="120" w:after="120"/>
              <w:jc w:val="left"/>
              <w:outlineLvl w:val="0"/>
              <w:rPr>
                <w:rFonts w:cs="Arial"/>
                <w:color w:val="000000"/>
                <w:sz w:val="20"/>
                <w:szCs w:val="20"/>
                <w:lang w:val="en-GB"/>
              </w:rPr>
            </w:pPr>
            <w:r w:rsidRPr="003316FD">
              <w:rPr>
                <w:rFonts w:cs="Arial"/>
                <w:color w:val="000000"/>
                <w:sz w:val="20"/>
                <w:szCs w:val="20"/>
                <w:lang w:val="en-GB"/>
              </w:rPr>
              <w:t>Quadrennial r</w:t>
            </w:r>
            <w:r w:rsidR="00314C11">
              <w:rPr>
                <w:rFonts w:cs="Arial"/>
                <w:color w:val="000000"/>
                <w:sz w:val="20"/>
                <w:szCs w:val="20"/>
                <w:lang w:val="en-GB"/>
              </w:rPr>
              <w:t>e</w:t>
            </w:r>
            <w:r w:rsidRPr="003316FD">
              <w:rPr>
                <w:rFonts w:cs="Arial"/>
                <w:color w:val="000000"/>
                <w:sz w:val="20"/>
                <w:szCs w:val="20"/>
                <w:lang w:val="en-GB"/>
              </w:rPr>
              <w:t>port to be submitted by 15/12/2016</w:t>
            </w:r>
          </w:p>
        </w:tc>
      </w:tr>
    </w:tbl>
    <w:p w14:paraId="09939EF2" w14:textId="322785A6" w:rsidR="001A6D3E" w:rsidRPr="00AF7C35" w:rsidRDefault="0093722C" w:rsidP="001A6D3E">
      <w:pPr>
        <w:pStyle w:val="Marge"/>
        <w:spacing w:before="120" w:after="120"/>
        <w:outlineLvl w:val="0"/>
        <w:rPr>
          <w:rFonts w:cs="Arial"/>
          <w:color w:val="000000"/>
          <w:szCs w:val="22"/>
          <w:lang w:val="en-GB"/>
        </w:rPr>
      </w:pPr>
      <w:proofErr w:type="spellStart"/>
      <w:r w:rsidRPr="00AF7C35">
        <w:rPr>
          <w:rFonts w:cs="Arial"/>
          <w:szCs w:val="22"/>
          <w:lang w:val="en-GB"/>
        </w:rPr>
        <w:t>Bigwala</w:t>
      </w:r>
      <w:proofErr w:type="spellEnd"/>
      <w:r w:rsidRPr="00AF7C35">
        <w:rPr>
          <w:rFonts w:cs="Arial"/>
          <w:szCs w:val="22"/>
          <w:lang w:val="en-GB"/>
        </w:rPr>
        <w:t xml:space="preserve"> music and dance is a cultural practice of the </w:t>
      </w:r>
      <w:proofErr w:type="spellStart"/>
      <w:r w:rsidRPr="00AF7C35">
        <w:rPr>
          <w:rFonts w:cs="Arial"/>
          <w:szCs w:val="22"/>
          <w:lang w:val="en-GB"/>
        </w:rPr>
        <w:t>Basoga</w:t>
      </w:r>
      <w:proofErr w:type="spellEnd"/>
      <w:r w:rsidRPr="00AF7C35">
        <w:rPr>
          <w:rFonts w:cs="Arial"/>
          <w:szCs w:val="22"/>
          <w:lang w:val="en-GB"/>
        </w:rPr>
        <w:t xml:space="preserve"> people from </w:t>
      </w:r>
      <w:r w:rsidR="008C1F1A">
        <w:rPr>
          <w:rFonts w:cs="Arial"/>
          <w:szCs w:val="22"/>
          <w:lang w:val="en-GB"/>
        </w:rPr>
        <w:t>e</w:t>
      </w:r>
      <w:r w:rsidRPr="00AF7C35">
        <w:rPr>
          <w:rFonts w:cs="Arial"/>
          <w:szCs w:val="22"/>
          <w:lang w:val="en-GB"/>
        </w:rPr>
        <w:t xml:space="preserve">astern Uganda performed during royal celebrations such as coronations and funerals and, in recent decades, on social occasions. At present, however, there are only two master bearers with skills in </w:t>
      </w:r>
      <w:proofErr w:type="spellStart"/>
      <w:r w:rsidRPr="00AF7C35">
        <w:rPr>
          <w:rFonts w:cs="Arial"/>
          <w:szCs w:val="22"/>
          <w:lang w:val="en-GB"/>
        </w:rPr>
        <w:t>Bigwala</w:t>
      </w:r>
      <w:proofErr w:type="spellEnd"/>
      <w:r w:rsidRPr="00AF7C35">
        <w:rPr>
          <w:rFonts w:cs="Arial"/>
          <w:szCs w:val="22"/>
          <w:lang w:val="en-GB"/>
        </w:rPr>
        <w:t xml:space="preserve"> making, playing and dancing, and their recent attempts </w:t>
      </w:r>
      <w:r w:rsidR="002A76C9">
        <w:rPr>
          <w:rFonts w:cs="Arial"/>
          <w:szCs w:val="22"/>
          <w:lang w:val="en-GB"/>
        </w:rPr>
        <w:t xml:space="preserve">at </w:t>
      </w:r>
      <w:r w:rsidR="002A76C9" w:rsidRPr="00AF7C35">
        <w:rPr>
          <w:rFonts w:cs="Arial"/>
          <w:szCs w:val="22"/>
          <w:lang w:val="en-GB"/>
        </w:rPr>
        <w:t xml:space="preserve">transmission </w:t>
      </w:r>
      <w:r w:rsidRPr="00AF7C35">
        <w:rPr>
          <w:rFonts w:cs="Arial"/>
          <w:szCs w:val="22"/>
          <w:lang w:val="en-GB"/>
        </w:rPr>
        <w:t xml:space="preserve">have been frustrated by financial obstacles. </w:t>
      </w:r>
      <w:proofErr w:type="spellStart"/>
      <w:r w:rsidRPr="00AF7C35">
        <w:rPr>
          <w:rFonts w:cs="Arial"/>
          <w:szCs w:val="22"/>
          <w:lang w:val="en-GB"/>
        </w:rPr>
        <w:t>Basoga</w:t>
      </w:r>
      <w:proofErr w:type="spellEnd"/>
      <w:r w:rsidRPr="00AF7C35">
        <w:rPr>
          <w:rFonts w:cs="Arial"/>
          <w:szCs w:val="22"/>
          <w:lang w:val="en-GB"/>
        </w:rPr>
        <w:t xml:space="preserve"> people became very aware that if the two </w:t>
      </w:r>
      <w:r w:rsidR="00266135">
        <w:rPr>
          <w:rFonts w:cs="Arial"/>
          <w:szCs w:val="22"/>
          <w:lang w:val="en-GB"/>
        </w:rPr>
        <w:t xml:space="preserve">aged </w:t>
      </w:r>
      <w:r w:rsidRPr="00AF7C35">
        <w:rPr>
          <w:rFonts w:cs="Arial"/>
          <w:szCs w:val="22"/>
          <w:lang w:val="en-GB"/>
        </w:rPr>
        <w:t>master</w:t>
      </w:r>
      <w:r w:rsidR="001A6D3E" w:rsidRPr="00AF7C35">
        <w:rPr>
          <w:rFonts w:cs="Arial"/>
          <w:szCs w:val="22"/>
          <w:lang w:val="en-GB"/>
        </w:rPr>
        <w:t>s</w:t>
      </w:r>
      <w:r w:rsidR="002A76C9">
        <w:rPr>
          <w:rFonts w:cs="Arial"/>
          <w:szCs w:val="22"/>
          <w:lang w:val="en-GB"/>
        </w:rPr>
        <w:t xml:space="preserve"> </w:t>
      </w:r>
      <w:r w:rsidRPr="00AF7C35">
        <w:rPr>
          <w:rFonts w:cs="Arial"/>
          <w:szCs w:val="22"/>
          <w:lang w:val="en-GB"/>
        </w:rPr>
        <w:t>died before</w:t>
      </w:r>
      <w:r w:rsidR="001A6D3E" w:rsidRPr="00AF7C35">
        <w:rPr>
          <w:rFonts w:cs="Arial"/>
          <w:szCs w:val="22"/>
          <w:lang w:val="en-GB"/>
        </w:rPr>
        <w:t xml:space="preserve"> </w:t>
      </w:r>
      <w:r w:rsidRPr="00AF7C35">
        <w:rPr>
          <w:rFonts w:cs="Arial"/>
          <w:szCs w:val="22"/>
          <w:lang w:val="en-GB"/>
        </w:rPr>
        <w:t xml:space="preserve">passing </w:t>
      </w:r>
      <w:proofErr w:type="spellStart"/>
      <w:r w:rsidRPr="00AF7C35">
        <w:rPr>
          <w:rFonts w:cs="Arial"/>
          <w:szCs w:val="22"/>
          <w:lang w:val="en-GB"/>
        </w:rPr>
        <w:t>Bigwala</w:t>
      </w:r>
      <w:proofErr w:type="spellEnd"/>
      <w:r w:rsidRPr="00AF7C35">
        <w:rPr>
          <w:rFonts w:cs="Arial"/>
          <w:szCs w:val="22"/>
          <w:lang w:val="en-GB"/>
        </w:rPr>
        <w:t xml:space="preserve"> knowledge and skills to </w:t>
      </w:r>
      <w:r w:rsidR="001A6D3E" w:rsidRPr="00AF7C35">
        <w:rPr>
          <w:rFonts w:cs="Arial"/>
          <w:szCs w:val="22"/>
          <w:lang w:val="en-GB"/>
        </w:rPr>
        <w:t>younger generations</w:t>
      </w:r>
      <w:r w:rsidRPr="00AF7C35">
        <w:rPr>
          <w:rFonts w:cs="Arial"/>
          <w:szCs w:val="22"/>
          <w:lang w:val="en-GB"/>
        </w:rPr>
        <w:t xml:space="preserve">, an important part of </w:t>
      </w:r>
      <w:r w:rsidR="001A6D3E" w:rsidRPr="00AF7C35">
        <w:rPr>
          <w:rFonts w:cs="Arial"/>
          <w:szCs w:val="22"/>
          <w:lang w:val="en-GB"/>
        </w:rPr>
        <w:t>their cultural</w:t>
      </w:r>
      <w:r w:rsidRPr="00AF7C35">
        <w:rPr>
          <w:rFonts w:cs="Arial"/>
          <w:szCs w:val="22"/>
          <w:lang w:val="en-GB"/>
        </w:rPr>
        <w:t xml:space="preserve"> heritage</w:t>
      </w:r>
      <w:r w:rsidR="001A6D3E" w:rsidRPr="00AF7C35">
        <w:rPr>
          <w:rFonts w:cs="Arial"/>
          <w:szCs w:val="22"/>
          <w:lang w:val="en-GB"/>
        </w:rPr>
        <w:t xml:space="preserve"> </w:t>
      </w:r>
      <w:r w:rsidRPr="00AF7C35">
        <w:rPr>
          <w:rFonts w:cs="Arial"/>
          <w:szCs w:val="22"/>
          <w:lang w:val="en-GB"/>
        </w:rPr>
        <w:t>would disappear.</w:t>
      </w:r>
      <w:r w:rsidR="001A6D3E" w:rsidRPr="00AF7C35">
        <w:rPr>
          <w:rFonts w:cs="Arial"/>
          <w:szCs w:val="22"/>
          <w:lang w:val="en-GB"/>
        </w:rPr>
        <w:t xml:space="preserve"> In response to this growing concern, the project aims at </w:t>
      </w:r>
      <w:r w:rsidR="00C00D04" w:rsidRPr="00AF7C35">
        <w:rPr>
          <w:rFonts w:cs="Arial"/>
          <w:color w:val="000000"/>
          <w:szCs w:val="22"/>
          <w:lang w:val="en-GB"/>
        </w:rPr>
        <w:t>strengthen</w:t>
      </w:r>
      <w:r w:rsidR="001A6D3E" w:rsidRPr="00AF7C35">
        <w:rPr>
          <w:rFonts w:cs="Arial"/>
          <w:color w:val="000000"/>
          <w:szCs w:val="22"/>
          <w:lang w:val="en-GB"/>
        </w:rPr>
        <w:t>ing</w:t>
      </w:r>
      <w:r w:rsidR="00C00D04" w:rsidRPr="00AF7C35">
        <w:rPr>
          <w:rFonts w:cs="Arial"/>
          <w:color w:val="000000"/>
          <w:szCs w:val="22"/>
          <w:lang w:val="en-GB"/>
        </w:rPr>
        <w:t xml:space="preserve"> the transmission </w:t>
      </w:r>
      <w:r w:rsidR="00314C11">
        <w:rPr>
          <w:rFonts w:cs="Arial"/>
          <w:color w:val="000000"/>
          <w:szCs w:val="22"/>
          <w:lang w:val="en-GB"/>
        </w:rPr>
        <w:t xml:space="preserve">of </w:t>
      </w:r>
      <w:r w:rsidR="001A6D3E" w:rsidRPr="00AF7C35">
        <w:rPr>
          <w:rFonts w:cs="Arial"/>
          <w:color w:val="000000"/>
          <w:szCs w:val="22"/>
          <w:lang w:val="en-GB"/>
        </w:rPr>
        <w:t xml:space="preserve">knowledge and skills associated </w:t>
      </w:r>
      <w:r w:rsidR="00314C11">
        <w:rPr>
          <w:rFonts w:cs="Arial"/>
          <w:color w:val="000000"/>
          <w:szCs w:val="22"/>
          <w:lang w:val="en-GB"/>
        </w:rPr>
        <w:t>with</w:t>
      </w:r>
      <w:r w:rsidR="001A6D3E" w:rsidRPr="00AF7C35">
        <w:rPr>
          <w:rFonts w:cs="Arial"/>
          <w:color w:val="000000"/>
          <w:szCs w:val="22"/>
          <w:lang w:val="en-GB"/>
        </w:rPr>
        <w:t xml:space="preserve"> </w:t>
      </w:r>
      <w:proofErr w:type="spellStart"/>
      <w:r w:rsidR="001A6D3E" w:rsidRPr="00AF7C35">
        <w:rPr>
          <w:rFonts w:cs="Arial"/>
          <w:color w:val="000000"/>
          <w:szCs w:val="22"/>
          <w:lang w:val="en-GB"/>
        </w:rPr>
        <w:t>Bigwala</w:t>
      </w:r>
      <w:proofErr w:type="spellEnd"/>
      <w:r w:rsidR="001A6D3E" w:rsidRPr="00AF7C35">
        <w:rPr>
          <w:rFonts w:cs="Arial"/>
          <w:color w:val="000000"/>
          <w:szCs w:val="22"/>
          <w:lang w:val="en-GB"/>
        </w:rPr>
        <w:t xml:space="preserve"> music and dance.</w:t>
      </w:r>
    </w:p>
    <w:p w14:paraId="12645AE5" w14:textId="124D73E9" w:rsidR="001A6D3E" w:rsidRPr="00AF7C35" w:rsidRDefault="00C00D04" w:rsidP="006B44FB">
      <w:pPr>
        <w:pStyle w:val="Marge"/>
        <w:spacing w:before="120"/>
        <w:outlineLvl w:val="0"/>
        <w:rPr>
          <w:rFonts w:cs="Arial"/>
          <w:szCs w:val="22"/>
          <w:lang w:val="en-GB"/>
        </w:rPr>
      </w:pPr>
      <w:r w:rsidRPr="00AF7C35">
        <w:rPr>
          <w:color w:val="000000"/>
          <w:lang w:val="en-GB"/>
        </w:rPr>
        <w:t>In preparation f</w:t>
      </w:r>
      <w:r w:rsidR="00E01712">
        <w:rPr>
          <w:color w:val="000000"/>
          <w:lang w:val="en-GB"/>
        </w:rPr>
        <w:t>or</w:t>
      </w:r>
      <w:r w:rsidRPr="00AF7C35">
        <w:rPr>
          <w:color w:val="000000"/>
          <w:lang w:val="en-GB"/>
        </w:rPr>
        <w:t xml:space="preserve"> </w:t>
      </w:r>
      <w:r w:rsidR="001A6D3E" w:rsidRPr="00AF7C35">
        <w:rPr>
          <w:color w:val="000000"/>
          <w:lang w:val="en-GB"/>
        </w:rPr>
        <w:t>training</w:t>
      </w:r>
      <w:r w:rsidRPr="00AF7C35">
        <w:rPr>
          <w:color w:val="000000"/>
          <w:lang w:val="en-GB"/>
        </w:rPr>
        <w:t xml:space="preserve"> workshops community members, the National Council of Folklorists of Uganda (NACOFU) and teachers </w:t>
      </w:r>
      <w:r w:rsidR="001A6D3E" w:rsidRPr="00AF7C35">
        <w:rPr>
          <w:color w:val="000000"/>
          <w:lang w:val="en-GB"/>
        </w:rPr>
        <w:t>were</w:t>
      </w:r>
      <w:r w:rsidRPr="00AF7C35">
        <w:rPr>
          <w:color w:val="000000"/>
          <w:lang w:val="en-GB"/>
        </w:rPr>
        <w:t xml:space="preserve"> mobilized to grow </w:t>
      </w:r>
      <w:proofErr w:type="spellStart"/>
      <w:r w:rsidR="008C1F1A" w:rsidRPr="00CA1DC6">
        <w:rPr>
          <w:i/>
          <w:color w:val="000000"/>
          <w:lang w:val="en-GB"/>
        </w:rPr>
        <w:t>e</w:t>
      </w:r>
      <w:r w:rsidRPr="00CA1DC6">
        <w:rPr>
          <w:i/>
          <w:color w:val="000000"/>
          <w:lang w:val="en-GB"/>
        </w:rPr>
        <w:t>nhendo</w:t>
      </w:r>
      <w:proofErr w:type="spellEnd"/>
      <w:r w:rsidR="001A6D3E" w:rsidRPr="00AF7C35">
        <w:rPr>
          <w:color w:val="000000"/>
          <w:lang w:val="en-GB"/>
        </w:rPr>
        <w:t xml:space="preserve"> (gourds) with seeds from other regions since they have </w:t>
      </w:r>
      <w:r w:rsidR="001A6D3E" w:rsidRPr="00F108F3">
        <w:rPr>
          <w:rFonts w:cs="Arial"/>
          <w:szCs w:val="22"/>
          <w:lang w:val="en-GB"/>
        </w:rPr>
        <w:t>almost</w:t>
      </w:r>
      <w:r w:rsidR="001A6D3E" w:rsidRPr="00AF7C35">
        <w:rPr>
          <w:color w:val="000000"/>
          <w:lang w:val="en-GB"/>
        </w:rPr>
        <w:t xml:space="preserve"> disappeared in the Busoga region. </w:t>
      </w:r>
      <w:r w:rsidR="00032E33" w:rsidRPr="00AF7C35">
        <w:rPr>
          <w:color w:val="000000"/>
          <w:lang w:val="en-GB"/>
        </w:rPr>
        <w:t xml:space="preserve">Several </w:t>
      </w:r>
      <w:proofErr w:type="spellStart"/>
      <w:r w:rsidR="00032E33" w:rsidRPr="00AF7C35">
        <w:rPr>
          <w:rFonts w:cs="Arial"/>
          <w:szCs w:val="22"/>
          <w:lang w:val="en-GB"/>
        </w:rPr>
        <w:t>Bigwala</w:t>
      </w:r>
      <w:proofErr w:type="spellEnd"/>
      <w:r w:rsidR="00032E33" w:rsidRPr="00AF7C35">
        <w:rPr>
          <w:rFonts w:cs="Arial"/>
          <w:szCs w:val="22"/>
          <w:lang w:val="en-GB"/>
        </w:rPr>
        <w:t xml:space="preserve"> making workshops were conducted by the masters and their pupils reaching more than twice the </w:t>
      </w:r>
      <w:r w:rsidR="00AC7DA4">
        <w:rPr>
          <w:rFonts w:cs="Arial"/>
          <w:szCs w:val="22"/>
          <w:lang w:val="en-GB"/>
        </w:rPr>
        <w:t xml:space="preserve">number of </w:t>
      </w:r>
      <w:r w:rsidR="00032E33" w:rsidRPr="00AF7C35">
        <w:rPr>
          <w:rFonts w:cs="Arial"/>
          <w:szCs w:val="22"/>
          <w:lang w:val="en-GB"/>
        </w:rPr>
        <w:t>you</w:t>
      </w:r>
      <w:r w:rsidR="00AC7DA4">
        <w:rPr>
          <w:rFonts w:cs="Arial"/>
          <w:szCs w:val="22"/>
          <w:lang w:val="en-GB"/>
        </w:rPr>
        <w:t>ng people</w:t>
      </w:r>
      <w:r w:rsidR="00032E33" w:rsidRPr="00AF7C35">
        <w:rPr>
          <w:rFonts w:cs="Arial"/>
          <w:szCs w:val="22"/>
          <w:lang w:val="en-GB"/>
        </w:rPr>
        <w:t xml:space="preserve"> initially planned </w:t>
      </w:r>
      <w:r w:rsidR="00B32E0D">
        <w:rPr>
          <w:rFonts w:cs="Arial"/>
          <w:szCs w:val="22"/>
          <w:lang w:val="en-GB"/>
        </w:rPr>
        <w:t>thanks to</w:t>
      </w:r>
      <w:r w:rsidR="00032E33" w:rsidRPr="00AF7C35">
        <w:rPr>
          <w:rFonts w:cs="Arial"/>
          <w:szCs w:val="22"/>
          <w:lang w:val="en-GB"/>
        </w:rPr>
        <w:t xml:space="preserve"> enthusiasm generated by these activities. Throughout the project, activities are being documented in photographic and audiovisual form and made available to Busoga communities, </w:t>
      </w:r>
      <w:r w:rsidR="00613492" w:rsidRPr="00AF7C35">
        <w:rPr>
          <w:rFonts w:cs="Arial"/>
          <w:szCs w:val="22"/>
          <w:lang w:val="en-GB"/>
        </w:rPr>
        <w:t>kingdom officials</w:t>
      </w:r>
      <w:r w:rsidR="00613492">
        <w:rPr>
          <w:rFonts w:cs="Arial"/>
          <w:szCs w:val="22"/>
          <w:lang w:val="en-GB"/>
        </w:rPr>
        <w:t xml:space="preserve"> and to </w:t>
      </w:r>
      <w:r w:rsidR="002A76C9">
        <w:rPr>
          <w:rFonts w:cs="Arial"/>
          <w:szCs w:val="22"/>
          <w:lang w:val="en-GB"/>
        </w:rPr>
        <w:t xml:space="preserve">the </w:t>
      </w:r>
      <w:r w:rsidR="00B1435C">
        <w:rPr>
          <w:rFonts w:cs="Arial"/>
          <w:szCs w:val="22"/>
          <w:lang w:val="en-GB"/>
        </w:rPr>
        <w:t>general public</w:t>
      </w:r>
      <w:r w:rsidR="00613492">
        <w:rPr>
          <w:rFonts w:cs="Arial"/>
          <w:szCs w:val="22"/>
          <w:lang w:val="en-GB"/>
        </w:rPr>
        <w:t>.</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C00D04" w:rsidRPr="00D06268" w14:paraId="02C52B15" w14:textId="77777777" w:rsidTr="00F02F65">
        <w:trPr>
          <w:cantSplit/>
        </w:trPr>
        <w:tc>
          <w:tcPr>
            <w:tcW w:w="2025" w:type="dxa"/>
            <w:shd w:val="clear" w:color="auto" w:fill="auto"/>
            <w:vAlign w:val="center"/>
          </w:tcPr>
          <w:p w14:paraId="30BC02A5" w14:textId="79CC827A" w:rsidR="00C00D04" w:rsidRPr="003316FD" w:rsidRDefault="00C00D04" w:rsidP="00F02F65">
            <w:pPr>
              <w:pStyle w:val="Marge"/>
              <w:keepNext/>
              <w:tabs>
                <w:tab w:val="clear" w:pos="567"/>
              </w:tabs>
              <w:spacing w:before="120" w:after="120"/>
              <w:jc w:val="center"/>
              <w:outlineLvl w:val="0"/>
              <w:rPr>
                <w:rFonts w:cs="Arial"/>
                <w:b/>
                <w:color w:val="000000"/>
                <w:sz w:val="20"/>
                <w:szCs w:val="20"/>
                <w:lang w:val="en-GB"/>
              </w:rPr>
            </w:pPr>
            <w:r w:rsidRPr="003316FD">
              <w:rPr>
                <w:rFonts w:cs="Arial"/>
                <w:b/>
                <w:color w:val="000000"/>
                <w:sz w:val="20"/>
                <w:szCs w:val="20"/>
                <w:lang w:val="en-GB"/>
              </w:rPr>
              <w:lastRenderedPageBreak/>
              <w:t>Kenya</w:t>
            </w:r>
          </w:p>
        </w:tc>
        <w:tc>
          <w:tcPr>
            <w:tcW w:w="1560" w:type="dxa"/>
            <w:shd w:val="clear" w:color="auto" w:fill="auto"/>
            <w:vAlign w:val="center"/>
          </w:tcPr>
          <w:p w14:paraId="37BE2F83" w14:textId="6E2B2522" w:rsidR="00C00D04" w:rsidRPr="003316FD" w:rsidRDefault="00C00D04" w:rsidP="00C00D04">
            <w:pPr>
              <w:pStyle w:val="Marge"/>
              <w:keepNext/>
              <w:tabs>
                <w:tab w:val="clear" w:pos="567"/>
              </w:tabs>
              <w:spacing w:before="120" w:after="120"/>
              <w:jc w:val="left"/>
              <w:outlineLvl w:val="0"/>
              <w:rPr>
                <w:rFonts w:cs="Arial"/>
                <w:b/>
                <w:color w:val="000000"/>
                <w:sz w:val="20"/>
                <w:szCs w:val="20"/>
                <w:lang w:val="en-GB"/>
              </w:rPr>
            </w:pPr>
            <w:r w:rsidRPr="003316FD">
              <w:rPr>
                <w:rFonts w:cs="Arial"/>
                <w:b/>
                <w:sz w:val="20"/>
                <w:szCs w:val="20"/>
                <w:lang w:val="en-GB"/>
              </w:rPr>
              <w:t>US$24,038</w:t>
            </w:r>
          </w:p>
        </w:tc>
        <w:tc>
          <w:tcPr>
            <w:tcW w:w="6073" w:type="dxa"/>
            <w:shd w:val="clear" w:color="auto" w:fill="auto"/>
            <w:vAlign w:val="center"/>
          </w:tcPr>
          <w:p w14:paraId="16317794" w14:textId="44C083E5" w:rsidR="00C00D04" w:rsidRPr="003316FD" w:rsidRDefault="00C00D04" w:rsidP="00EF073C">
            <w:pPr>
              <w:pStyle w:val="Marge"/>
              <w:keepNext/>
              <w:tabs>
                <w:tab w:val="clear" w:pos="567"/>
              </w:tabs>
              <w:spacing w:before="120" w:after="120"/>
              <w:jc w:val="left"/>
              <w:outlineLvl w:val="0"/>
              <w:rPr>
                <w:rFonts w:cs="Arial"/>
                <w:b/>
                <w:color w:val="000000"/>
                <w:sz w:val="20"/>
                <w:szCs w:val="20"/>
                <w:lang w:val="en-GB"/>
              </w:rPr>
            </w:pPr>
            <w:r w:rsidRPr="003316FD">
              <w:rPr>
                <w:rFonts w:cs="Arial"/>
                <w:b/>
                <w:color w:val="000000"/>
                <w:sz w:val="20"/>
                <w:szCs w:val="20"/>
                <w:lang w:val="en-GB"/>
              </w:rPr>
              <w:t xml:space="preserve">Documenting and inventorying intangible cultural heritage of the pastoralist Samburu community in northern Kenya: a focus on the region of Mount </w:t>
            </w:r>
            <w:proofErr w:type="spellStart"/>
            <w:r w:rsidRPr="003316FD">
              <w:rPr>
                <w:rFonts w:cs="Arial"/>
                <w:b/>
                <w:color w:val="000000"/>
                <w:sz w:val="20"/>
                <w:szCs w:val="20"/>
                <w:lang w:val="en-GB"/>
              </w:rPr>
              <w:t>Kulal</w:t>
            </w:r>
            <w:proofErr w:type="spellEnd"/>
            <w:r w:rsidRPr="003316FD">
              <w:rPr>
                <w:rFonts w:cs="Arial"/>
                <w:b/>
                <w:color w:val="000000"/>
                <w:sz w:val="20"/>
                <w:szCs w:val="20"/>
                <w:lang w:val="en-GB"/>
              </w:rPr>
              <w:t xml:space="preserve"> biosphere reserve </w:t>
            </w:r>
            <w:r w:rsidRPr="003316FD">
              <w:rPr>
                <w:rFonts w:cs="Arial"/>
                <w:color w:val="000000"/>
                <w:sz w:val="20"/>
                <w:szCs w:val="20"/>
                <w:lang w:val="en-GB"/>
              </w:rPr>
              <w:t>(No. 0</w:t>
            </w:r>
            <w:r w:rsidR="00EF073C" w:rsidRPr="003316FD">
              <w:rPr>
                <w:rFonts w:cs="Arial"/>
                <w:color w:val="000000"/>
                <w:sz w:val="20"/>
                <w:szCs w:val="20"/>
                <w:lang w:val="en-GB"/>
              </w:rPr>
              <w:t>1024</w:t>
            </w:r>
            <w:r w:rsidRPr="003316FD">
              <w:rPr>
                <w:rFonts w:cs="Arial"/>
                <w:color w:val="000000"/>
                <w:sz w:val="20"/>
                <w:szCs w:val="20"/>
                <w:lang w:val="en-GB"/>
              </w:rPr>
              <w:t>)</w:t>
            </w:r>
          </w:p>
        </w:tc>
      </w:tr>
      <w:tr w:rsidR="00C00D04" w:rsidRPr="003316FD" w14:paraId="1E3757F7" w14:textId="77777777" w:rsidTr="00F02F65">
        <w:trPr>
          <w:cantSplit/>
        </w:trPr>
        <w:tc>
          <w:tcPr>
            <w:tcW w:w="2025" w:type="dxa"/>
            <w:shd w:val="clear" w:color="auto" w:fill="auto"/>
          </w:tcPr>
          <w:p w14:paraId="61126E96" w14:textId="77777777" w:rsidR="00C00D04" w:rsidRPr="003316FD" w:rsidRDefault="00C00D04" w:rsidP="00F02F65">
            <w:pPr>
              <w:pStyle w:val="Marge"/>
              <w:keepNext/>
              <w:tabs>
                <w:tab w:val="clear" w:pos="567"/>
              </w:tabs>
              <w:spacing w:before="120" w:after="120"/>
              <w:jc w:val="right"/>
              <w:outlineLvl w:val="0"/>
              <w:rPr>
                <w:rFonts w:cs="Arial"/>
                <w:i/>
                <w:color w:val="000000"/>
                <w:sz w:val="20"/>
                <w:szCs w:val="20"/>
                <w:lang w:val="en-GB"/>
              </w:rPr>
            </w:pPr>
            <w:r w:rsidRPr="003316FD">
              <w:rPr>
                <w:rFonts w:cs="Arial"/>
                <w:i/>
                <w:color w:val="000000"/>
                <w:sz w:val="20"/>
                <w:szCs w:val="20"/>
                <w:lang w:val="en-GB"/>
              </w:rPr>
              <w:t>Granted:</w:t>
            </w:r>
          </w:p>
        </w:tc>
        <w:tc>
          <w:tcPr>
            <w:tcW w:w="7633" w:type="dxa"/>
            <w:gridSpan w:val="2"/>
            <w:shd w:val="clear" w:color="auto" w:fill="auto"/>
          </w:tcPr>
          <w:p w14:paraId="1B2965E9" w14:textId="5EC80EBD" w:rsidR="00C00D04" w:rsidRPr="003316FD" w:rsidRDefault="00C00D04" w:rsidP="00F02F65">
            <w:pPr>
              <w:pStyle w:val="Marge"/>
              <w:keepNext/>
              <w:tabs>
                <w:tab w:val="clear" w:pos="567"/>
              </w:tabs>
              <w:spacing w:before="120" w:after="120"/>
              <w:jc w:val="left"/>
              <w:outlineLvl w:val="0"/>
              <w:rPr>
                <w:rFonts w:cs="Arial"/>
                <w:color w:val="000000"/>
                <w:sz w:val="20"/>
                <w:szCs w:val="20"/>
                <w:lang w:val="en-GB"/>
              </w:rPr>
            </w:pPr>
            <w:r w:rsidRPr="003316FD">
              <w:rPr>
                <w:rFonts w:cs="Arial"/>
                <w:color w:val="000000"/>
                <w:sz w:val="20"/>
                <w:szCs w:val="20"/>
                <w:lang w:val="en-GB"/>
              </w:rPr>
              <w:t>2015 (</w:t>
            </w:r>
            <w:hyperlink r:id="rId53" w:history="1">
              <w:r w:rsidR="00EF073C" w:rsidRPr="003316FD">
                <w:rPr>
                  <w:rStyle w:val="Hyperlink"/>
                  <w:rFonts w:cs="Arial"/>
                  <w:sz w:val="20"/>
                  <w:szCs w:val="20"/>
                  <w:lang w:val="en-GB"/>
                </w:rPr>
                <w:t>Decision 10.COM 2.BUR 5.2</w:t>
              </w:r>
            </w:hyperlink>
            <w:r w:rsidRPr="003316FD">
              <w:rPr>
                <w:rFonts w:cs="Arial"/>
                <w:color w:val="000000"/>
                <w:sz w:val="20"/>
                <w:szCs w:val="20"/>
                <w:lang w:val="en-GB"/>
              </w:rPr>
              <w:t>)</w:t>
            </w:r>
          </w:p>
        </w:tc>
      </w:tr>
      <w:tr w:rsidR="00C00D04" w:rsidRPr="003316FD" w14:paraId="52CBF722" w14:textId="77777777" w:rsidTr="00F02F65">
        <w:trPr>
          <w:cantSplit/>
        </w:trPr>
        <w:tc>
          <w:tcPr>
            <w:tcW w:w="2025" w:type="dxa"/>
            <w:shd w:val="clear" w:color="auto" w:fill="auto"/>
          </w:tcPr>
          <w:p w14:paraId="4C365AAC" w14:textId="77777777" w:rsidR="00C00D04" w:rsidRPr="003316FD" w:rsidRDefault="00C00D04" w:rsidP="00F02F65">
            <w:pPr>
              <w:pStyle w:val="Marge"/>
              <w:keepNext/>
              <w:tabs>
                <w:tab w:val="clear" w:pos="567"/>
              </w:tabs>
              <w:spacing w:before="120" w:after="120"/>
              <w:jc w:val="right"/>
              <w:outlineLvl w:val="0"/>
              <w:rPr>
                <w:rFonts w:cs="Arial"/>
                <w:i/>
                <w:color w:val="000000"/>
                <w:sz w:val="20"/>
                <w:szCs w:val="20"/>
                <w:lang w:val="en-GB"/>
              </w:rPr>
            </w:pPr>
            <w:r w:rsidRPr="003316FD">
              <w:rPr>
                <w:rFonts w:cs="Arial"/>
                <w:i/>
                <w:color w:val="000000"/>
                <w:sz w:val="20"/>
                <w:szCs w:val="20"/>
                <w:lang w:val="en-GB"/>
              </w:rPr>
              <w:t>Reporting period:</w:t>
            </w:r>
          </w:p>
        </w:tc>
        <w:tc>
          <w:tcPr>
            <w:tcW w:w="7633" w:type="dxa"/>
            <w:gridSpan w:val="2"/>
            <w:shd w:val="clear" w:color="auto" w:fill="auto"/>
          </w:tcPr>
          <w:p w14:paraId="5C415E4F" w14:textId="0486E0D6" w:rsidR="00C00D04" w:rsidRPr="003316FD" w:rsidRDefault="00EF073C" w:rsidP="00EF073C">
            <w:pPr>
              <w:pStyle w:val="Marge"/>
              <w:keepNext/>
              <w:tabs>
                <w:tab w:val="clear" w:pos="567"/>
              </w:tabs>
              <w:spacing w:before="120" w:after="120"/>
              <w:jc w:val="left"/>
              <w:outlineLvl w:val="0"/>
              <w:rPr>
                <w:rFonts w:cs="Arial"/>
                <w:color w:val="000000"/>
                <w:sz w:val="20"/>
                <w:szCs w:val="20"/>
                <w:lang w:val="en-GB"/>
              </w:rPr>
            </w:pPr>
            <w:r w:rsidRPr="003316FD">
              <w:rPr>
                <w:rFonts w:cs="Arial"/>
                <w:color w:val="000000"/>
                <w:sz w:val="20"/>
                <w:szCs w:val="20"/>
                <w:lang w:val="en-GB"/>
              </w:rPr>
              <w:t>04/12/2015</w:t>
            </w:r>
            <w:r w:rsidR="00AC7DA4">
              <w:rPr>
                <w:rFonts w:cs="Arial"/>
                <w:color w:val="000000"/>
                <w:sz w:val="20"/>
                <w:szCs w:val="20"/>
                <w:lang w:val="en-GB"/>
              </w:rPr>
              <w:t xml:space="preserve"> </w:t>
            </w:r>
            <w:r w:rsidR="00AC7DA4" w:rsidRPr="003316FD">
              <w:rPr>
                <w:rFonts w:cs="Arial"/>
                <w:color w:val="000000"/>
                <w:sz w:val="20"/>
                <w:szCs w:val="20"/>
                <w:lang w:val="en-GB"/>
              </w:rPr>
              <w:t>–</w:t>
            </w:r>
            <w:r w:rsidR="00AC7DA4">
              <w:rPr>
                <w:rFonts w:cs="Arial"/>
                <w:color w:val="000000"/>
                <w:sz w:val="20"/>
                <w:szCs w:val="20"/>
                <w:lang w:val="en-GB"/>
              </w:rPr>
              <w:t xml:space="preserve"> </w:t>
            </w:r>
            <w:r w:rsidRPr="003316FD">
              <w:rPr>
                <w:rFonts w:cs="Arial"/>
                <w:color w:val="000000"/>
                <w:sz w:val="20"/>
                <w:szCs w:val="20"/>
                <w:lang w:val="en-GB"/>
              </w:rPr>
              <w:t>31/05/2016</w:t>
            </w:r>
          </w:p>
        </w:tc>
      </w:tr>
    </w:tbl>
    <w:p w14:paraId="78C6C176" w14:textId="536D7DFD" w:rsidR="00A01D89" w:rsidRDefault="00EF073C" w:rsidP="00A01D89">
      <w:pPr>
        <w:pStyle w:val="Marge"/>
        <w:spacing w:before="120" w:after="120"/>
        <w:outlineLvl w:val="0"/>
        <w:rPr>
          <w:rFonts w:cs="Arial"/>
          <w:color w:val="000000"/>
          <w:szCs w:val="22"/>
          <w:lang w:val="en-GB"/>
        </w:rPr>
      </w:pPr>
      <w:r w:rsidRPr="00A01D89">
        <w:rPr>
          <w:color w:val="000000"/>
          <w:lang w:val="en-GB"/>
        </w:rPr>
        <w:t xml:space="preserve">In line with the 2006 National Heritage Act of Kenya, the project aimed to safeguard the intangible cultural heritage of the Samburu community living in Mount </w:t>
      </w:r>
      <w:proofErr w:type="spellStart"/>
      <w:r w:rsidRPr="00A01D89">
        <w:rPr>
          <w:color w:val="000000"/>
          <w:lang w:val="en-GB"/>
        </w:rPr>
        <w:t>Kulal</w:t>
      </w:r>
      <w:proofErr w:type="spellEnd"/>
      <w:r w:rsidRPr="00A01D89">
        <w:rPr>
          <w:color w:val="000000"/>
          <w:lang w:val="en-GB"/>
        </w:rPr>
        <w:t xml:space="preserve"> in northern Kenya, designated as </w:t>
      </w:r>
      <w:r w:rsidR="000E0480">
        <w:rPr>
          <w:color w:val="000000"/>
          <w:lang w:val="en-GB"/>
        </w:rPr>
        <w:t>a b</w:t>
      </w:r>
      <w:r w:rsidRPr="00A01D89">
        <w:rPr>
          <w:color w:val="000000"/>
          <w:lang w:val="en-GB"/>
        </w:rPr>
        <w:t xml:space="preserve">iosphere </w:t>
      </w:r>
      <w:r w:rsidR="000E0480">
        <w:rPr>
          <w:color w:val="000000"/>
          <w:lang w:val="en-GB"/>
        </w:rPr>
        <w:t>r</w:t>
      </w:r>
      <w:r w:rsidRPr="00A01D89">
        <w:rPr>
          <w:color w:val="000000"/>
          <w:lang w:val="en-GB"/>
        </w:rPr>
        <w:t xml:space="preserve">eserve in 1979 by UNESCO’s Man and Biosphere programme. The Samburu are semi-nomadic pastoralists </w:t>
      </w:r>
      <w:r w:rsidR="000E0480">
        <w:rPr>
          <w:color w:val="000000"/>
          <w:lang w:val="en-GB"/>
        </w:rPr>
        <w:t xml:space="preserve">who </w:t>
      </w:r>
      <w:r w:rsidRPr="00A01D89">
        <w:rPr>
          <w:color w:val="000000"/>
          <w:lang w:val="en-GB"/>
        </w:rPr>
        <w:t xml:space="preserve">follow patterns of rainfall in search of fresh pasture and water for their livestock. </w:t>
      </w:r>
      <w:r w:rsidR="00A01D89" w:rsidRPr="00A01D89">
        <w:rPr>
          <w:lang w:val="en-GB"/>
        </w:rPr>
        <w:t>Changing environments and fast pacing economic, p</w:t>
      </w:r>
      <w:r w:rsidR="00A01D89">
        <w:rPr>
          <w:lang w:val="en-GB"/>
        </w:rPr>
        <w:t>olitical, and cultural influxes</w:t>
      </w:r>
      <w:r w:rsidR="00A01D89" w:rsidRPr="00A01D89">
        <w:rPr>
          <w:lang w:val="en-GB"/>
        </w:rPr>
        <w:t xml:space="preserve"> threaten </w:t>
      </w:r>
      <w:r w:rsidRPr="00A01D89">
        <w:rPr>
          <w:lang w:val="en-GB"/>
        </w:rPr>
        <w:t xml:space="preserve">the viability of </w:t>
      </w:r>
      <w:r w:rsidR="00A01D89">
        <w:rPr>
          <w:lang w:val="en-GB"/>
        </w:rPr>
        <w:t>the Samburu</w:t>
      </w:r>
      <w:r w:rsidRPr="00A01D89">
        <w:rPr>
          <w:lang w:val="en-GB"/>
        </w:rPr>
        <w:t xml:space="preserve"> </w:t>
      </w:r>
      <w:r w:rsidR="00A01D89" w:rsidRPr="00A01D89">
        <w:rPr>
          <w:lang w:val="en-GB"/>
        </w:rPr>
        <w:t xml:space="preserve">ceremonies, folk songs, riddles, </w:t>
      </w:r>
      <w:r w:rsidR="00A01D89">
        <w:rPr>
          <w:lang w:val="en-GB"/>
        </w:rPr>
        <w:t>storytelling</w:t>
      </w:r>
      <w:r w:rsidR="00A01D89" w:rsidRPr="00A01D89">
        <w:rPr>
          <w:lang w:val="en-GB"/>
        </w:rPr>
        <w:t xml:space="preserve"> practices </w:t>
      </w:r>
      <w:r w:rsidR="00A01D89">
        <w:rPr>
          <w:lang w:val="en-GB"/>
        </w:rPr>
        <w:t xml:space="preserve">and </w:t>
      </w:r>
      <w:r w:rsidR="00A01D89" w:rsidRPr="00A01D89">
        <w:rPr>
          <w:lang w:val="en-GB"/>
        </w:rPr>
        <w:t>weather prediction</w:t>
      </w:r>
      <w:r w:rsidR="00A01D89">
        <w:rPr>
          <w:lang w:val="en-GB"/>
        </w:rPr>
        <w:t xml:space="preserve"> </w:t>
      </w:r>
      <w:r w:rsidR="00A01D89" w:rsidRPr="00A01D89">
        <w:rPr>
          <w:lang w:val="en-GB"/>
        </w:rPr>
        <w:t>and rain making rituals</w:t>
      </w:r>
      <w:r w:rsidR="00A01D89">
        <w:rPr>
          <w:lang w:val="en-GB"/>
        </w:rPr>
        <w:t>. Implemented</w:t>
      </w:r>
      <w:r w:rsidR="00A01D89">
        <w:rPr>
          <w:rFonts w:cs="Arial"/>
          <w:color w:val="000000"/>
          <w:szCs w:val="22"/>
          <w:lang w:val="en-GB"/>
        </w:rPr>
        <w:t xml:space="preserve"> by </w:t>
      </w:r>
      <w:r w:rsidRPr="00A01D89">
        <w:rPr>
          <w:rFonts w:cs="Arial"/>
          <w:color w:val="000000"/>
          <w:szCs w:val="22"/>
          <w:lang w:val="en-GB"/>
        </w:rPr>
        <w:t xml:space="preserve">the National Museums of Kenya, with </w:t>
      </w:r>
      <w:r w:rsidR="003A1360">
        <w:rPr>
          <w:rFonts w:cs="Arial"/>
          <w:color w:val="000000"/>
          <w:szCs w:val="22"/>
          <w:lang w:val="en-GB"/>
        </w:rPr>
        <w:t xml:space="preserve">the </w:t>
      </w:r>
      <w:r w:rsidRPr="00A01D89">
        <w:rPr>
          <w:rFonts w:cs="Arial"/>
          <w:color w:val="000000"/>
          <w:szCs w:val="22"/>
          <w:lang w:val="en-GB"/>
        </w:rPr>
        <w:t xml:space="preserve">active participation of </w:t>
      </w:r>
      <w:r w:rsidRPr="00A01D89">
        <w:rPr>
          <w:color w:val="000000"/>
          <w:lang w:val="en-GB"/>
        </w:rPr>
        <w:t xml:space="preserve">Samburu </w:t>
      </w:r>
      <w:r w:rsidRPr="00A01D89">
        <w:rPr>
          <w:rFonts w:cs="Arial"/>
          <w:color w:val="000000"/>
          <w:szCs w:val="22"/>
          <w:lang w:val="en-GB"/>
        </w:rPr>
        <w:t>communities</w:t>
      </w:r>
      <w:r w:rsidR="00A01D89">
        <w:rPr>
          <w:rFonts w:cs="Arial"/>
          <w:color w:val="000000"/>
          <w:szCs w:val="22"/>
          <w:lang w:val="en-GB"/>
        </w:rPr>
        <w:t>, this project aimed at building their capacities for safeguarding their intangible cultural heritage and raising awareness of its importance.</w:t>
      </w:r>
    </w:p>
    <w:p w14:paraId="18953FC4" w14:textId="3CEFB4A6" w:rsidR="00C00D04" w:rsidRPr="003316FD" w:rsidRDefault="00A01D89" w:rsidP="002F07D9">
      <w:pPr>
        <w:pStyle w:val="Marge"/>
        <w:spacing w:before="120"/>
        <w:outlineLvl w:val="0"/>
        <w:rPr>
          <w:rFonts w:cs="Arial"/>
          <w:szCs w:val="22"/>
          <w:lang w:val="en-GB"/>
        </w:rPr>
      </w:pPr>
      <w:r>
        <w:rPr>
          <w:rFonts w:cs="Arial"/>
          <w:color w:val="000000"/>
          <w:szCs w:val="22"/>
          <w:lang w:val="en-GB"/>
        </w:rPr>
        <w:t>Starting with a</w:t>
      </w:r>
      <w:r w:rsidR="00EF073C" w:rsidRPr="00A01D89">
        <w:rPr>
          <w:rFonts w:cs="Arial"/>
          <w:color w:val="000000"/>
          <w:szCs w:val="22"/>
          <w:lang w:val="en-GB"/>
        </w:rPr>
        <w:t xml:space="preserve"> comprehensive desk review on Samburu’s living heritage</w:t>
      </w:r>
      <w:r>
        <w:rPr>
          <w:color w:val="000000"/>
          <w:lang w:val="en-GB"/>
        </w:rPr>
        <w:t xml:space="preserve">, </w:t>
      </w:r>
      <w:r w:rsidRPr="00A01D89">
        <w:rPr>
          <w:color w:val="000000"/>
          <w:lang w:val="en-GB"/>
        </w:rPr>
        <w:t>consultative meetings were conducted</w:t>
      </w:r>
      <w:r>
        <w:rPr>
          <w:color w:val="000000"/>
          <w:lang w:val="en-GB"/>
        </w:rPr>
        <w:t xml:space="preserve"> with community members from four </w:t>
      </w:r>
      <w:r w:rsidR="00613492">
        <w:rPr>
          <w:color w:val="000000"/>
          <w:lang w:val="en-GB"/>
        </w:rPr>
        <w:t>main locations</w:t>
      </w:r>
      <w:r>
        <w:rPr>
          <w:color w:val="000000"/>
          <w:lang w:val="en-GB"/>
        </w:rPr>
        <w:t xml:space="preserve"> who have then served throughout the project </w:t>
      </w:r>
      <w:r w:rsidRPr="00A01D89">
        <w:rPr>
          <w:color w:val="000000"/>
          <w:lang w:val="en-GB"/>
        </w:rPr>
        <w:t>as the key informants</w:t>
      </w:r>
      <w:r w:rsidR="00847CAA">
        <w:rPr>
          <w:color w:val="000000"/>
          <w:lang w:val="en-GB"/>
        </w:rPr>
        <w:t>,</w:t>
      </w:r>
      <w:r w:rsidRPr="00A01D89">
        <w:rPr>
          <w:color w:val="000000"/>
          <w:lang w:val="en-GB"/>
        </w:rPr>
        <w:t xml:space="preserve"> </w:t>
      </w:r>
      <w:r>
        <w:rPr>
          <w:color w:val="000000"/>
          <w:lang w:val="en-GB"/>
        </w:rPr>
        <w:t>as well as</w:t>
      </w:r>
      <w:r w:rsidRPr="00A01D89">
        <w:rPr>
          <w:color w:val="000000"/>
          <w:lang w:val="en-GB"/>
        </w:rPr>
        <w:t xml:space="preserve"> </w:t>
      </w:r>
      <w:r w:rsidR="000E0480">
        <w:rPr>
          <w:color w:val="000000"/>
          <w:lang w:val="en-GB"/>
        </w:rPr>
        <w:t xml:space="preserve">the </w:t>
      </w:r>
      <w:r w:rsidR="0011608C">
        <w:rPr>
          <w:color w:val="000000"/>
          <w:lang w:val="en-GB"/>
        </w:rPr>
        <w:t>project</w:t>
      </w:r>
      <w:r w:rsidR="000E0480">
        <w:rPr>
          <w:color w:val="000000"/>
          <w:lang w:val="en-GB"/>
        </w:rPr>
        <w:t>’s</w:t>
      </w:r>
      <w:r w:rsidRPr="00A01D89">
        <w:rPr>
          <w:color w:val="000000"/>
          <w:lang w:val="en-GB"/>
        </w:rPr>
        <w:t xml:space="preserve"> </w:t>
      </w:r>
      <w:r w:rsidR="0011608C">
        <w:rPr>
          <w:color w:val="000000"/>
          <w:lang w:val="en-GB"/>
        </w:rPr>
        <w:t>planners</w:t>
      </w:r>
      <w:r w:rsidRPr="00A01D89">
        <w:rPr>
          <w:color w:val="000000"/>
          <w:lang w:val="en-GB"/>
        </w:rPr>
        <w:t xml:space="preserve"> and </w:t>
      </w:r>
      <w:r w:rsidR="0011608C">
        <w:rPr>
          <w:color w:val="000000"/>
          <w:lang w:val="en-GB"/>
        </w:rPr>
        <w:t>coordinators. They also contributed to the creation of four community-based awareness-raising groups. T</w:t>
      </w:r>
      <w:r w:rsidR="00EF073C" w:rsidRPr="00A01D89">
        <w:rPr>
          <w:color w:val="000000"/>
          <w:lang w:val="en-GB"/>
        </w:rPr>
        <w:t xml:space="preserve">raining workshops on community-based inventorying </w:t>
      </w:r>
      <w:r w:rsidR="0011608C">
        <w:rPr>
          <w:color w:val="000000"/>
          <w:lang w:val="en-GB"/>
        </w:rPr>
        <w:t xml:space="preserve">were </w:t>
      </w:r>
      <w:r w:rsidR="00EF073C" w:rsidRPr="00A01D89">
        <w:rPr>
          <w:color w:val="000000"/>
          <w:lang w:val="en-GB"/>
        </w:rPr>
        <w:t xml:space="preserve">organized at </w:t>
      </w:r>
      <w:proofErr w:type="spellStart"/>
      <w:r w:rsidR="00EF073C" w:rsidRPr="00A01D89">
        <w:rPr>
          <w:color w:val="000000"/>
          <w:lang w:val="en-GB"/>
        </w:rPr>
        <w:t>Arapal</w:t>
      </w:r>
      <w:proofErr w:type="spellEnd"/>
      <w:r w:rsidR="00EF073C" w:rsidRPr="00A01D89">
        <w:rPr>
          <w:color w:val="000000"/>
          <w:lang w:val="en-GB"/>
        </w:rPr>
        <w:t xml:space="preserve"> and </w:t>
      </w:r>
      <w:proofErr w:type="spellStart"/>
      <w:r w:rsidR="00EF073C" w:rsidRPr="00A01D89">
        <w:rPr>
          <w:color w:val="000000"/>
          <w:lang w:val="en-GB"/>
        </w:rPr>
        <w:t>Wampa</w:t>
      </w:r>
      <w:proofErr w:type="spellEnd"/>
      <w:r w:rsidR="00997784" w:rsidRPr="00A01D89">
        <w:rPr>
          <w:color w:val="000000"/>
          <w:lang w:val="en-GB"/>
        </w:rPr>
        <w:t xml:space="preserve"> villages</w:t>
      </w:r>
      <w:r w:rsidR="0011608C">
        <w:rPr>
          <w:color w:val="000000"/>
          <w:lang w:val="en-GB"/>
        </w:rPr>
        <w:t xml:space="preserve"> respectively followed by two</w:t>
      </w:r>
      <w:r w:rsidR="00847CAA">
        <w:rPr>
          <w:color w:val="000000"/>
          <w:lang w:val="en-GB"/>
        </w:rPr>
        <w:t xml:space="preserve"> </w:t>
      </w:r>
      <w:r w:rsidR="0011608C">
        <w:rPr>
          <w:color w:val="000000"/>
          <w:lang w:val="en-GB"/>
        </w:rPr>
        <w:t>month</w:t>
      </w:r>
      <w:r w:rsidR="00847CAA">
        <w:rPr>
          <w:color w:val="000000"/>
          <w:lang w:val="en-GB"/>
        </w:rPr>
        <w:t>s of</w:t>
      </w:r>
      <w:r w:rsidR="00EF073C" w:rsidRPr="00A01D89">
        <w:rPr>
          <w:color w:val="000000"/>
          <w:lang w:val="en-GB"/>
        </w:rPr>
        <w:t xml:space="preserve"> fieldwork </w:t>
      </w:r>
      <w:r w:rsidR="0011608C">
        <w:rPr>
          <w:color w:val="000000"/>
          <w:lang w:val="en-GB"/>
        </w:rPr>
        <w:t>to document</w:t>
      </w:r>
      <w:r w:rsidR="00EF073C" w:rsidRPr="00A01D89">
        <w:rPr>
          <w:color w:val="000000"/>
          <w:lang w:val="en-GB"/>
        </w:rPr>
        <w:t xml:space="preserve"> specific</w:t>
      </w:r>
      <w:r w:rsidR="0011608C">
        <w:rPr>
          <w:color w:val="000000"/>
          <w:lang w:val="en-GB"/>
        </w:rPr>
        <w:t xml:space="preserve"> intangible cultural heritage</w:t>
      </w:r>
      <w:r w:rsidR="00EF073C" w:rsidRPr="00A01D89">
        <w:rPr>
          <w:color w:val="000000"/>
          <w:lang w:val="en-GB"/>
        </w:rPr>
        <w:t xml:space="preserve"> elements through audiovisual recordings</w:t>
      </w:r>
      <w:r w:rsidR="0011608C">
        <w:rPr>
          <w:color w:val="000000"/>
          <w:lang w:val="en-GB"/>
        </w:rPr>
        <w:t xml:space="preserve">. </w:t>
      </w:r>
      <w:r w:rsidR="00847CAA">
        <w:rPr>
          <w:color w:val="000000"/>
          <w:lang w:val="en-GB"/>
        </w:rPr>
        <w:t>The r</w:t>
      </w:r>
      <w:r w:rsidR="0011608C">
        <w:rPr>
          <w:color w:val="000000"/>
          <w:lang w:val="en-GB"/>
        </w:rPr>
        <w:t>esulting</w:t>
      </w:r>
      <w:r w:rsidR="0011608C" w:rsidRPr="0011608C">
        <w:rPr>
          <w:color w:val="000000"/>
          <w:lang w:val="en-GB"/>
        </w:rPr>
        <w:t xml:space="preserve"> documentaries </w:t>
      </w:r>
      <w:r w:rsidR="0011608C">
        <w:rPr>
          <w:color w:val="000000"/>
          <w:lang w:val="en-GB"/>
        </w:rPr>
        <w:t xml:space="preserve">were </w:t>
      </w:r>
      <w:r w:rsidR="0011608C" w:rsidRPr="0011608C">
        <w:rPr>
          <w:color w:val="000000"/>
          <w:lang w:val="en-GB"/>
        </w:rPr>
        <w:t xml:space="preserve">featured in exhibitions </w:t>
      </w:r>
      <w:r w:rsidR="00847CAA">
        <w:rPr>
          <w:color w:val="000000"/>
          <w:lang w:val="en-GB"/>
        </w:rPr>
        <w:t>at</w:t>
      </w:r>
      <w:r w:rsidR="0011608C" w:rsidRPr="0011608C">
        <w:rPr>
          <w:color w:val="000000"/>
          <w:lang w:val="en-GB"/>
        </w:rPr>
        <w:t xml:space="preserve"> regional museum stations across the country as a means</w:t>
      </w:r>
      <w:r w:rsidR="0011608C">
        <w:rPr>
          <w:color w:val="000000"/>
          <w:lang w:val="en-GB"/>
        </w:rPr>
        <w:t xml:space="preserve"> </w:t>
      </w:r>
      <w:r w:rsidR="0011608C" w:rsidRPr="0011608C">
        <w:rPr>
          <w:color w:val="000000"/>
          <w:lang w:val="en-GB"/>
        </w:rPr>
        <w:t xml:space="preserve">to </w:t>
      </w:r>
      <w:r w:rsidR="0011608C">
        <w:rPr>
          <w:color w:val="000000"/>
          <w:lang w:val="en-GB"/>
        </w:rPr>
        <w:t xml:space="preserve">raise awareness </w:t>
      </w:r>
      <w:r w:rsidR="00847CAA">
        <w:rPr>
          <w:color w:val="000000"/>
          <w:lang w:val="en-GB"/>
        </w:rPr>
        <w:t>in</w:t>
      </w:r>
      <w:r w:rsidR="00847CAA" w:rsidRPr="0011608C">
        <w:rPr>
          <w:color w:val="000000"/>
          <w:lang w:val="en-GB"/>
        </w:rPr>
        <w:t xml:space="preserve"> </w:t>
      </w:r>
      <w:r w:rsidR="0011608C" w:rsidRPr="0011608C">
        <w:rPr>
          <w:color w:val="000000"/>
          <w:lang w:val="en-GB"/>
        </w:rPr>
        <w:t xml:space="preserve">the general public </w:t>
      </w:r>
      <w:r w:rsidR="00847CAA">
        <w:rPr>
          <w:color w:val="000000"/>
          <w:lang w:val="en-GB"/>
        </w:rPr>
        <w:t xml:space="preserve">on </w:t>
      </w:r>
      <w:r w:rsidR="0011608C" w:rsidRPr="0011608C">
        <w:rPr>
          <w:color w:val="000000"/>
          <w:lang w:val="en-GB"/>
        </w:rPr>
        <w:t>the significance of intangible cultural heritage</w:t>
      </w:r>
      <w:r w:rsidR="00847CAA">
        <w:rPr>
          <w:color w:val="000000"/>
          <w:lang w:val="en-GB"/>
        </w:rPr>
        <w:t xml:space="preserve"> and </w:t>
      </w:r>
      <w:r w:rsidR="00847CAA" w:rsidRPr="0011608C">
        <w:rPr>
          <w:color w:val="000000"/>
          <w:lang w:val="en-GB"/>
        </w:rPr>
        <w:t>promote</w:t>
      </w:r>
      <w:r w:rsidR="00847CAA">
        <w:rPr>
          <w:color w:val="000000"/>
          <w:lang w:val="en-GB"/>
        </w:rPr>
        <w:t xml:space="preserve"> it</w:t>
      </w:r>
      <w:r w:rsidR="0011608C">
        <w:rPr>
          <w:color w:val="000000"/>
          <w:lang w:val="en-GB"/>
        </w:rPr>
        <w:t xml:space="preserve">. The project has not only </w:t>
      </w:r>
      <w:r w:rsidR="00D130B4" w:rsidRPr="00D130B4">
        <w:rPr>
          <w:color w:val="000000"/>
          <w:lang w:val="en-GB"/>
        </w:rPr>
        <w:t>contribut</w:t>
      </w:r>
      <w:r w:rsidR="0011608C">
        <w:rPr>
          <w:color w:val="000000"/>
          <w:lang w:val="en-GB"/>
        </w:rPr>
        <w:t>ed</w:t>
      </w:r>
      <w:r w:rsidR="00D130B4" w:rsidRPr="00D130B4">
        <w:rPr>
          <w:color w:val="000000"/>
          <w:lang w:val="en-GB"/>
        </w:rPr>
        <w:t xml:space="preserve"> to overall effort</w:t>
      </w:r>
      <w:r w:rsidR="00847CAA">
        <w:rPr>
          <w:color w:val="000000"/>
          <w:lang w:val="en-GB"/>
        </w:rPr>
        <w:t>s</w:t>
      </w:r>
      <w:r w:rsidR="00D130B4" w:rsidRPr="00D130B4">
        <w:rPr>
          <w:color w:val="000000"/>
          <w:lang w:val="en-GB"/>
        </w:rPr>
        <w:t xml:space="preserve"> </w:t>
      </w:r>
      <w:r w:rsidR="0011608C">
        <w:rPr>
          <w:color w:val="000000"/>
          <w:lang w:val="en-GB"/>
        </w:rPr>
        <w:t>of the State Party</w:t>
      </w:r>
      <w:r w:rsidR="00D130B4" w:rsidRPr="00D130B4">
        <w:rPr>
          <w:color w:val="000000"/>
          <w:lang w:val="en-GB"/>
        </w:rPr>
        <w:t xml:space="preserve"> in </w:t>
      </w:r>
      <w:r w:rsidR="0011608C">
        <w:rPr>
          <w:color w:val="000000"/>
          <w:lang w:val="en-GB"/>
        </w:rPr>
        <w:t xml:space="preserve">drawing up community-based inventories of intangible cultural heritage but will </w:t>
      </w:r>
      <w:r w:rsidR="00847CAA">
        <w:rPr>
          <w:color w:val="000000"/>
          <w:lang w:val="en-GB"/>
        </w:rPr>
        <w:t xml:space="preserve">also </w:t>
      </w:r>
      <w:r w:rsidR="00D130B4" w:rsidRPr="00D130B4">
        <w:rPr>
          <w:color w:val="000000"/>
          <w:lang w:val="en-GB"/>
        </w:rPr>
        <w:t xml:space="preserve">serve as a stepping stone towards future </w:t>
      </w:r>
      <w:r w:rsidR="0011608C">
        <w:rPr>
          <w:color w:val="000000"/>
          <w:lang w:val="en-GB"/>
        </w:rPr>
        <w:t>initiatives related to intangible cultural heritage safeguarding.</w:t>
      </w:r>
    </w:p>
    <w:sectPr w:rsidR="00C00D04" w:rsidRPr="003316FD" w:rsidSect="00655736">
      <w:headerReference w:type="even" r:id="rId54"/>
      <w:headerReference w:type="default" r:id="rId55"/>
      <w:headerReference w:type="first" r:id="rId5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56E6C" w14:textId="77777777" w:rsidR="00E55910" w:rsidRDefault="00E55910" w:rsidP="00655736">
      <w:r>
        <w:separator/>
      </w:r>
    </w:p>
  </w:endnote>
  <w:endnote w:type="continuationSeparator" w:id="0">
    <w:p w14:paraId="44279C35" w14:textId="77777777" w:rsidR="00E55910" w:rsidRDefault="00E5591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55DD5" w14:textId="77777777" w:rsidR="00E55910" w:rsidRDefault="00E55910" w:rsidP="00655736">
      <w:r>
        <w:separator/>
      </w:r>
    </w:p>
  </w:footnote>
  <w:footnote w:type="continuationSeparator" w:id="0">
    <w:p w14:paraId="4EA658F3" w14:textId="77777777" w:rsidR="00E55910" w:rsidRDefault="00E55910" w:rsidP="00655736">
      <w:r>
        <w:continuationSeparator/>
      </w:r>
    </w:p>
  </w:footnote>
  <w:footnote w:id="1">
    <w:p w14:paraId="3D584EC2" w14:textId="53F2CECF" w:rsidR="00E55910" w:rsidRPr="00C61A04" w:rsidRDefault="00E55910" w:rsidP="00BF56C8">
      <w:pPr>
        <w:pStyle w:val="FootnoteText"/>
        <w:spacing w:before="60" w:after="60"/>
        <w:ind w:left="567" w:hanging="567"/>
        <w:jc w:val="both"/>
        <w:rPr>
          <w:rFonts w:ascii="Arial" w:hAnsi="Arial" w:cs="Arial"/>
          <w:sz w:val="18"/>
          <w:lang w:val="en-GB"/>
        </w:rPr>
      </w:pPr>
      <w:r w:rsidRPr="00C61A04">
        <w:rPr>
          <w:rStyle w:val="FootnoteReference"/>
          <w:rFonts w:ascii="Arial" w:hAnsi="Arial" w:cs="Arial"/>
          <w:sz w:val="18"/>
          <w:vertAlign w:val="baseline"/>
          <w:lang w:val="en-GB"/>
        </w:rPr>
        <w:footnoteRef/>
      </w:r>
      <w:r w:rsidRPr="00C61A04">
        <w:rPr>
          <w:rFonts w:ascii="Arial" w:hAnsi="Arial" w:cs="Arial"/>
          <w:sz w:val="18"/>
          <w:lang w:val="en-GB"/>
        </w:rPr>
        <w:t>.</w:t>
      </w:r>
      <w:r w:rsidRPr="00C61A04">
        <w:rPr>
          <w:rFonts w:ascii="Arial" w:hAnsi="Arial" w:cs="Arial"/>
          <w:sz w:val="18"/>
          <w:lang w:val="en-GB"/>
        </w:rPr>
        <w:tab/>
        <w:t xml:space="preserve">Projects considered ‘active’ are unterminated projects supported by </w:t>
      </w:r>
      <w:r w:rsidR="002F07D9" w:rsidRPr="00C61A04">
        <w:rPr>
          <w:rFonts w:ascii="Arial" w:hAnsi="Arial" w:cs="Arial"/>
          <w:sz w:val="18"/>
          <w:lang w:val="en-GB"/>
        </w:rPr>
        <w:t xml:space="preserve">International Assistance </w:t>
      </w:r>
      <w:r w:rsidRPr="00C61A04">
        <w:rPr>
          <w:rFonts w:ascii="Arial" w:hAnsi="Arial" w:cs="Arial"/>
          <w:sz w:val="18"/>
          <w:lang w:val="en-GB"/>
        </w:rPr>
        <w:t>approved by the Committee or its Bureau, whether materialized in a contract or not yet.</w:t>
      </w:r>
    </w:p>
  </w:footnote>
  <w:footnote w:id="2">
    <w:p w14:paraId="7B684DBA" w14:textId="1F2E271A" w:rsidR="00E55910" w:rsidRPr="00C61A04" w:rsidRDefault="00E55910" w:rsidP="00BF56C8">
      <w:pPr>
        <w:pStyle w:val="FootnoteText"/>
        <w:spacing w:before="60" w:after="60"/>
        <w:ind w:left="567" w:hanging="567"/>
        <w:jc w:val="both"/>
        <w:rPr>
          <w:rFonts w:ascii="Arial" w:hAnsi="Arial" w:cs="Arial"/>
          <w:sz w:val="18"/>
          <w:lang w:val="en-GB"/>
        </w:rPr>
      </w:pPr>
      <w:r w:rsidRPr="00C61A04">
        <w:rPr>
          <w:rStyle w:val="FootnoteReference"/>
          <w:rFonts w:ascii="Arial" w:hAnsi="Arial" w:cs="Arial"/>
          <w:sz w:val="18"/>
          <w:vertAlign w:val="baseline"/>
          <w:lang w:val="en-GB"/>
        </w:rPr>
        <w:footnoteRef/>
      </w:r>
      <w:r w:rsidRPr="00C61A04">
        <w:rPr>
          <w:rFonts w:ascii="Arial" w:hAnsi="Arial" w:cs="Arial"/>
          <w:sz w:val="18"/>
          <w:lang w:val="en-GB"/>
        </w:rPr>
        <w:t>.</w:t>
      </w:r>
      <w:r w:rsidRPr="00C61A04">
        <w:rPr>
          <w:rFonts w:ascii="Arial" w:hAnsi="Arial" w:cs="Arial"/>
          <w:sz w:val="18"/>
          <w:lang w:val="en-GB"/>
        </w:rPr>
        <w:tab/>
        <w:t>The beneficiary State met administrative and financial problems that prevented it from completing planned activities and submitting the final report on the date stipulated in the contract.</w:t>
      </w:r>
    </w:p>
  </w:footnote>
  <w:footnote w:id="3">
    <w:p w14:paraId="51A9DA87" w14:textId="26F05A00" w:rsidR="00E55910" w:rsidRPr="00C61A04" w:rsidRDefault="00E55910" w:rsidP="00BF56C8">
      <w:pPr>
        <w:pStyle w:val="FootnoteText"/>
        <w:spacing w:before="60" w:after="60"/>
        <w:jc w:val="both"/>
        <w:rPr>
          <w:rFonts w:ascii="Arial" w:eastAsia="Malgun Gothic" w:hAnsi="Arial" w:cs="Arial"/>
          <w:sz w:val="18"/>
          <w:lang w:val="en-GB" w:eastAsia="ko-KR"/>
        </w:rPr>
      </w:pPr>
      <w:r w:rsidRPr="00C61A04">
        <w:rPr>
          <w:rStyle w:val="FootnoteReference"/>
          <w:rFonts w:ascii="Arial" w:hAnsi="Arial" w:cs="Arial"/>
          <w:sz w:val="18"/>
          <w:vertAlign w:val="baseline"/>
          <w:lang w:val="en-GB"/>
        </w:rPr>
        <w:footnoteRef/>
      </w:r>
      <w:r w:rsidRPr="00C61A04">
        <w:rPr>
          <w:rFonts w:ascii="Arial" w:hAnsi="Arial" w:cs="Arial"/>
          <w:sz w:val="18"/>
          <w:lang w:val="en-GB"/>
        </w:rPr>
        <w:t>.</w:t>
      </w:r>
      <w:r w:rsidRPr="00C61A04">
        <w:rPr>
          <w:rFonts w:ascii="Arial" w:hAnsi="Arial" w:cs="Arial"/>
          <w:sz w:val="18"/>
          <w:lang w:val="en-GB"/>
        </w:rPr>
        <w:tab/>
      </w:r>
      <w:r w:rsidR="00D06268">
        <w:fldChar w:fldCharType="begin"/>
      </w:r>
      <w:r w:rsidR="00D06268" w:rsidRPr="00D06268">
        <w:rPr>
          <w:lang w:val="en-GB"/>
        </w:rPr>
        <w:instrText xml:space="preserve"> HYPERLINK "http://w</w:instrText>
      </w:r>
      <w:r w:rsidR="00D06268" w:rsidRPr="00D06268">
        <w:rPr>
          <w:lang w:val="en-GB"/>
        </w:rPr>
        <w:instrText xml:space="preserve">ww.unesco.org/culture/ich/doc/src/ICH-04-Report-EN-20150717.doc" </w:instrText>
      </w:r>
      <w:r w:rsidR="00D06268">
        <w:fldChar w:fldCharType="separate"/>
      </w:r>
      <w:r w:rsidRPr="00C61A04">
        <w:rPr>
          <w:rStyle w:val="Hyperlink"/>
          <w:rFonts w:ascii="Arial" w:hAnsi="Arial" w:cs="Arial"/>
          <w:sz w:val="18"/>
          <w:lang w:val="en-GB"/>
        </w:rPr>
        <w:t>http://www.unesco.org/culture/ich/doc/src/ICH-04-Report-EN-20150717.doc</w:t>
      </w:r>
      <w:r w:rsidR="00D06268">
        <w:rPr>
          <w:rStyle w:val="Hyperlink"/>
          <w:rFonts w:ascii="Arial" w:hAnsi="Arial" w:cs="Arial"/>
          <w:sz w:val="18"/>
          <w:lang w:val="en-GB"/>
        </w:rPr>
        <w:fldChar w:fldCharType="end"/>
      </w:r>
    </w:p>
  </w:footnote>
  <w:footnote w:id="4">
    <w:p w14:paraId="2141F099" w14:textId="26254BF1" w:rsidR="00E55910" w:rsidRPr="00C61A04" w:rsidRDefault="00E55910" w:rsidP="00BF56C8">
      <w:pPr>
        <w:pStyle w:val="FootnoteText"/>
        <w:spacing w:before="60" w:after="60"/>
        <w:ind w:left="567" w:hanging="567"/>
        <w:jc w:val="both"/>
        <w:rPr>
          <w:rFonts w:ascii="Arial" w:eastAsia="Malgun Gothic" w:hAnsi="Arial" w:cs="Arial"/>
          <w:sz w:val="18"/>
          <w:lang w:val="en-GB" w:eastAsia="ko-KR"/>
        </w:rPr>
      </w:pPr>
      <w:r w:rsidRPr="00C61A04">
        <w:rPr>
          <w:rStyle w:val="FootnoteReference"/>
          <w:rFonts w:ascii="Arial" w:hAnsi="Arial" w:cs="Arial"/>
          <w:sz w:val="18"/>
          <w:vertAlign w:val="baseline"/>
          <w:lang w:val="en-GB"/>
        </w:rPr>
        <w:footnoteRef/>
      </w:r>
      <w:r w:rsidRPr="00C61A04">
        <w:rPr>
          <w:rFonts w:ascii="Arial" w:hAnsi="Arial" w:cs="Arial"/>
          <w:sz w:val="18"/>
          <w:lang w:val="en-GB"/>
        </w:rPr>
        <w:t>.</w:t>
      </w:r>
      <w:r w:rsidRPr="00C61A04">
        <w:rPr>
          <w:rFonts w:ascii="Arial" w:hAnsi="Arial" w:cs="Arial"/>
          <w:sz w:val="18"/>
          <w:lang w:val="en-GB"/>
        </w:rPr>
        <w:tab/>
        <w:t>At its eight session, the Committee requested the Secretariat ‘to devise a means, on a shorter-term basis, and experimentally, to offer technical assistance, through the provision of experts, as described in Article 21 of the Convention, to States Parties wishing to elaborate requests for International Assistance, thanks to the funds available in budget line 2 of the Intangible Cultural Heritage Fund’ (</w:t>
      </w:r>
      <w:r w:rsidR="00D06268">
        <w:fldChar w:fldCharType="begin"/>
      </w:r>
      <w:r w:rsidR="00D06268" w:rsidRPr="00D06268">
        <w:rPr>
          <w:lang w:val="en-US"/>
        </w:rPr>
        <w:instrText xml:space="preserve"> HYPERLINK "http://www.unesco.org/culture/ich/en/D%C3%A9cisions/8.COM/7.c" </w:instrText>
      </w:r>
      <w:r w:rsidR="00D06268">
        <w:fldChar w:fldCharType="separate"/>
      </w:r>
      <w:r w:rsidRPr="00C61A04">
        <w:rPr>
          <w:rStyle w:val="Hyperlink"/>
          <w:rFonts w:ascii="Arial" w:hAnsi="Arial" w:cs="Arial"/>
          <w:sz w:val="18"/>
          <w:lang w:val="en-GB"/>
        </w:rPr>
        <w:t>Decision 8.COM 7.c</w:t>
      </w:r>
      <w:r w:rsidR="00D06268">
        <w:rPr>
          <w:rStyle w:val="Hyperlink"/>
          <w:rFonts w:ascii="Arial" w:hAnsi="Arial" w:cs="Arial"/>
          <w:sz w:val="18"/>
          <w:lang w:val="en-GB"/>
        </w:rPr>
        <w:fldChar w:fldCharType="end"/>
      </w:r>
      <w:r w:rsidRPr="00C61A04">
        <w:rPr>
          <w:rFonts w:ascii="Arial" w:hAnsi="Arial" w:cs="Arial"/>
          <w:sz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8327A" w14:textId="5B225DD6" w:rsidR="00E55910" w:rsidRPr="00C23A97" w:rsidRDefault="00E55910">
    <w:pPr>
      <w:pStyle w:val="Header"/>
      <w:rPr>
        <w:rFonts w:ascii="Arial" w:hAnsi="Arial" w:cs="Arial"/>
        <w:lang w:val="en-GB"/>
      </w:rPr>
    </w:pPr>
    <w:r w:rsidRPr="00C5095E">
      <w:rPr>
        <w:rFonts w:ascii="Arial" w:hAnsi="Arial" w:cs="Arial"/>
        <w:sz w:val="20"/>
        <w:szCs w:val="20"/>
        <w:lang w:val="en-GB"/>
      </w:rPr>
      <w:t>ITH/16/11.COM/</w:t>
    </w:r>
    <w:r>
      <w:rPr>
        <w:rFonts w:ascii="Arial" w:hAnsi="Arial" w:cs="Arial"/>
        <w:sz w:val="20"/>
        <w:szCs w:val="20"/>
        <w:lang w:val="en-GB"/>
      </w:rPr>
      <w:t>9.c</w:t>
    </w:r>
    <w:r w:rsidRPr="00C5095E">
      <w:rPr>
        <w:rFonts w:ascii="Arial" w:hAnsi="Arial" w:cs="Arial"/>
        <w:sz w:val="20"/>
        <w:szCs w:val="20"/>
        <w:lang w:val="en-GB"/>
      </w:rPr>
      <w:t xml:space="preserve"> – page </w:t>
    </w:r>
    <w:r w:rsidRPr="00C5095E">
      <w:rPr>
        <w:rStyle w:val="PageNumber"/>
        <w:rFonts w:ascii="Arial" w:hAnsi="Arial" w:cs="Arial"/>
        <w:sz w:val="20"/>
        <w:szCs w:val="20"/>
        <w:lang w:val="en-GB"/>
      </w:rPr>
      <w:fldChar w:fldCharType="begin"/>
    </w:r>
    <w:r w:rsidRPr="00C5095E">
      <w:rPr>
        <w:rStyle w:val="PageNumber"/>
        <w:rFonts w:ascii="Arial" w:hAnsi="Arial" w:cs="Arial"/>
        <w:sz w:val="20"/>
        <w:szCs w:val="20"/>
        <w:lang w:val="en-GB"/>
      </w:rPr>
      <w:instrText xml:space="preserve"> PAGE </w:instrText>
    </w:r>
    <w:r w:rsidRPr="00C5095E">
      <w:rPr>
        <w:rStyle w:val="PageNumber"/>
        <w:rFonts w:ascii="Arial" w:hAnsi="Arial" w:cs="Arial"/>
        <w:sz w:val="20"/>
        <w:szCs w:val="20"/>
        <w:lang w:val="en-GB"/>
      </w:rPr>
      <w:fldChar w:fldCharType="separate"/>
    </w:r>
    <w:r w:rsidR="00D06268">
      <w:rPr>
        <w:rStyle w:val="PageNumber"/>
        <w:rFonts w:ascii="Arial" w:hAnsi="Arial" w:cs="Arial"/>
        <w:noProof/>
        <w:sz w:val="20"/>
        <w:szCs w:val="20"/>
        <w:lang w:val="en-GB"/>
      </w:rPr>
      <w:t>4</w:t>
    </w:r>
    <w:r w:rsidRPr="00C5095E">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2DC22" w14:textId="080283A3" w:rsidR="00E55910" w:rsidRPr="0063300C" w:rsidRDefault="00E55910" w:rsidP="0063300C">
    <w:pPr>
      <w:pStyle w:val="Header"/>
      <w:jc w:val="right"/>
      <w:rPr>
        <w:rFonts w:ascii="Arial" w:hAnsi="Arial" w:cs="Arial"/>
        <w:lang w:val="en-GB"/>
      </w:rPr>
    </w:pPr>
    <w:r>
      <w:rPr>
        <w:rFonts w:ascii="Arial" w:hAnsi="Arial" w:cs="Arial"/>
        <w:sz w:val="20"/>
        <w:szCs w:val="20"/>
        <w:lang w:val="en-GB"/>
      </w:rPr>
      <w:t>ITH/16/11.COM</w:t>
    </w:r>
    <w:r w:rsidRPr="0063300C">
      <w:rPr>
        <w:rFonts w:ascii="Arial" w:hAnsi="Arial" w:cs="Arial"/>
        <w:sz w:val="20"/>
        <w:szCs w:val="20"/>
        <w:lang w:val="en-GB"/>
      </w:rPr>
      <w:t>/</w:t>
    </w:r>
    <w:r>
      <w:rPr>
        <w:rFonts w:ascii="Arial" w:hAnsi="Arial" w:cs="Arial"/>
        <w:sz w:val="20"/>
        <w:szCs w:val="20"/>
        <w:lang w:val="en-GB"/>
      </w:rPr>
      <w:t>9.c</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D06268">
      <w:rPr>
        <w:rStyle w:val="PageNumber"/>
        <w:rFonts w:ascii="Arial" w:hAnsi="Arial" w:cs="Arial"/>
        <w:noProof/>
        <w:sz w:val="20"/>
        <w:szCs w:val="20"/>
        <w:lang w:val="en-GB"/>
      </w:rPr>
      <w:t>5</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39179" w14:textId="77777777" w:rsidR="00E55910" w:rsidRPr="00F32C23" w:rsidRDefault="00E55910">
    <w:pPr>
      <w:pStyle w:val="Header"/>
      <w:rPr>
        <w:lang w:val="en-GB"/>
      </w:rPr>
    </w:pPr>
    <w:r>
      <w:rPr>
        <w:noProof/>
        <w:lang w:eastAsia="ko-KR"/>
      </w:rPr>
      <w:drawing>
        <wp:anchor distT="0" distB="0" distL="114300" distR="114300" simplePos="0" relativeHeight="251657728" behindDoc="0" locked="0" layoutInCell="1" allowOverlap="1" wp14:anchorId="07614847" wp14:editId="536C534F">
          <wp:simplePos x="0" y="0"/>
          <wp:positionH relativeFrom="column">
            <wp:posOffset>-567690</wp:posOffset>
          </wp:positionH>
          <wp:positionV relativeFrom="page">
            <wp:posOffset>255905</wp:posOffset>
          </wp:positionV>
          <wp:extent cx="2228400" cy="136800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099BC" w14:textId="77777777" w:rsidR="00E55910" w:rsidRPr="00F30DC6" w:rsidRDefault="00E55910" w:rsidP="00655736">
    <w:pPr>
      <w:pStyle w:val="Header"/>
      <w:spacing w:after="520"/>
      <w:jc w:val="right"/>
      <w:rPr>
        <w:rFonts w:ascii="Arial" w:hAnsi="Arial" w:cs="Arial"/>
        <w:b/>
        <w:sz w:val="44"/>
        <w:szCs w:val="44"/>
        <w:lang w:val="en-GB"/>
      </w:rPr>
    </w:pPr>
    <w:r>
      <w:rPr>
        <w:rFonts w:ascii="Arial" w:hAnsi="Arial" w:cs="Arial"/>
        <w:b/>
        <w:sz w:val="44"/>
        <w:szCs w:val="44"/>
        <w:lang w:val="en-GB"/>
      </w:rPr>
      <w:t>11</w:t>
    </w:r>
    <w:r w:rsidRPr="00F30DC6">
      <w:rPr>
        <w:rFonts w:ascii="Arial" w:hAnsi="Arial" w:cs="Arial"/>
        <w:b/>
        <w:sz w:val="44"/>
        <w:szCs w:val="44"/>
        <w:lang w:val="en-GB"/>
      </w:rPr>
      <w:t xml:space="preserve"> COM</w:t>
    </w:r>
  </w:p>
  <w:p w14:paraId="2346A5C7" w14:textId="22CB70AA" w:rsidR="00E55910" w:rsidRPr="009D5428" w:rsidRDefault="00E55910" w:rsidP="00655736">
    <w:pPr>
      <w:jc w:val="right"/>
      <w:rPr>
        <w:rFonts w:ascii="Arial" w:hAnsi="Arial" w:cs="Arial"/>
        <w:b/>
        <w:sz w:val="22"/>
        <w:szCs w:val="22"/>
        <w:lang w:val="en-GB"/>
      </w:rPr>
    </w:pPr>
    <w:r>
      <w:rPr>
        <w:rFonts w:ascii="Arial" w:hAnsi="Arial" w:cs="Arial"/>
        <w:b/>
        <w:sz w:val="22"/>
        <w:szCs w:val="22"/>
        <w:lang w:val="en-GB"/>
      </w:rPr>
      <w:t>ITH/16</w:t>
    </w:r>
    <w:r w:rsidRPr="009D5428">
      <w:rPr>
        <w:rFonts w:ascii="Arial" w:hAnsi="Arial" w:cs="Arial"/>
        <w:b/>
        <w:sz w:val="22"/>
        <w:szCs w:val="22"/>
        <w:lang w:val="en-GB"/>
      </w:rPr>
      <w:t>/</w:t>
    </w:r>
    <w:r>
      <w:rPr>
        <w:rFonts w:ascii="Arial" w:hAnsi="Arial" w:cs="Arial"/>
        <w:b/>
        <w:sz w:val="22"/>
        <w:szCs w:val="22"/>
        <w:lang w:val="en-GB"/>
      </w:rPr>
      <w:t>11</w:t>
    </w:r>
    <w:r w:rsidRPr="009D5428">
      <w:rPr>
        <w:rFonts w:ascii="Arial" w:hAnsi="Arial" w:cs="Arial"/>
        <w:b/>
        <w:sz w:val="22"/>
        <w:szCs w:val="22"/>
        <w:lang w:val="en-GB"/>
      </w:rPr>
      <w:t>.COM/</w:t>
    </w:r>
    <w:r>
      <w:rPr>
        <w:rFonts w:ascii="Arial" w:hAnsi="Arial" w:cs="Arial"/>
        <w:b/>
        <w:sz w:val="22"/>
        <w:szCs w:val="22"/>
        <w:lang w:val="en-GB"/>
      </w:rPr>
      <w:t>9.c</w:t>
    </w:r>
  </w:p>
  <w:p w14:paraId="68528D05" w14:textId="1F403793" w:rsidR="00E55910" w:rsidRPr="00F32C23" w:rsidRDefault="00E55910" w:rsidP="00655736">
    <w:pPr>
      <w:jc w:val="right"/>
      <w:rPr>
        <w:rFonts w:ascii="Arial" w:hAnsi="Arial" w:cs="Arial"/>
        <w:b/>
        <w:sz w:val="22"/>
        <w:szCs w:val="22"/>
        <w:lang w:val="en-GB"/>
      </w:rPr>
    </w:pPr>
    <w:r w:rsidRPr="009D5428">
      <w:rPr>
        <w:rFonts w:ascii="Arial" w:hAnsi="Arial" w:cs="Arial"/>
        <w:b/>
        <w:sz w:val="22"/>
        <w:szCs w:val="22"/>
        <w:lang w:val="en-GB"/>
      </w:rPr>
      <w:t xml:space="preserve">Paris, </w:t>
    </w:r>
    <w:r>
      <w:rPr>
        <w:rFonts w:ascii="Arial" w:hAnsi="Arial" w:cs="Arial"/>
        <w:b/>
        <w:sz w:val="22"/>
        <w:szCs w:val="22"/>
        <w:lang w:val="en-GB"/>
      </w:rPr>
      <w:t>31 October 2016</w:t>
    </w:r>
  </w:p>
  <w:p w14:paraId="3E763499" w14:textId="35385B76" w:rsidR="00E55910" w:rsidRPr="00B525B4" w:rsidRDefault="00E55910" w:rsidP="00F6750E">
    <w:pPr>
      <w:jc w:val="right"/>
      <w:rPr>
        <w:rFonts w:ascii="Arial" w:hAnsi="Arial" w:cs="Arial"/>
        <w:sz w:val="20"/>
        <w:szCs w:val="20"/>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15EC"/>
    <w:multiLevelType w:val="hybridMultilevel"/>
    <w:tmpl w:val="7F4287CC"/>
    <w:lvl w:ilvl="0" w:tplc="AC50ED92">
      <w:start w:val="1"/>
      <w:numFmt w:val="decimal"/>
      <w:lvlText w:val="%1."/>
      <w:lvlJc w:val="left"/>
      <w:pPr>
        <w:ind w:left="720" w:hanging="360"/>
      </w:pPr>
    </w:lvl>
    <w:lvl w:ilvl="1" w:tplc="737E1E96">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737E1E96">
      <w:start w:val="1"/>
      <w:numFmt w:val="lowerLetter"/>
      <w:lvlText w:val="(%5)"/>
      <w:lvlJc w:val="left"/>
      <w:pPr>
        <w:ind w:left="3630" w:hanging="39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ADB5314"/>
    <w:multiLevelType w:val="hybridMultilevel"/>
    <w:tmpl w:val="C05AE294"/>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32BA4EBB"/>
    <w:multiLevelType w:val="hybridMultilevel"/>
    <w:tmpl w:val="69C4FB62"/>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5">
      <w:start w:val="1"/>
      <w:numFmt w:val="upp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35F07BFE"/>
    <w:multiLevelType w:val="hybridMultilevel"/>
    <w:tmpl w:val="B02632AA"/>
    <w:lvl w:ilvl="0" w:tplc="76CAC304">
      <w:start w:val="1"/>
      <w:numFmt w:val="decimal"/>
      <w:pStyle w:val="COMPara"/>
      <w:lvlText w:val="%1."/>
      <w:lvlJc w:val="left"/>
      <w:pPr>
        <w:ind w:left="1637"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330A7D7C">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98A2A99"/>
    <w:multiLevelType w:val="multilevel"/>
    <w:tmpl w:val="B4549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15"/>
  </w:num>
  <w:num w:numId="5">
    <w:abstractNumId w:val="13"/>
  </w:num>
  <w:num w:numId="6">
    <w:abstractNumId w:val="1"/>
  </w:num>
  <w:num w:numId="7">
    <w:abstractNumId w:val="3"/>
  </w:num>
  <w:num w:numId="8">
    <w:abstractNumId w:val="11"/>
  </w:num>
  <w:num w:numId="9">
    <w:abstractNumId w:val="6"/>
  </w:num>
  <w:num w:numId="10">
    <w:abstractNumId w:val="8"/>
  </w:num>
  <w:num w:numId="11">
    <w:abstractNumId w:val="10"/>
  </w:num>
  <w:num w:numId="12">
    <w:abstractNumId w:val="9"/>
  </w:num>
  <w:num w:numId="13">
    <w:abstractNumId w:val="6"/>
    <w:lvlOverride w:ilvl="0">
      <w:startOverride w:val="1"/>
    </w:lvlOverride>
  </w:num>
  <w:num w:numId="14">
    <w:abstractNumId w:val="0"/>
  </w:num>
  <w:num w:numId="15">
    <w:abstractNumId w:val="6"/>
    <w:lvlOverride w:ilvl="0">
      <w:startOverride w:val="1"/>
    </w:lvlOverride>
  </w:num>
  <w:num w:numId="16">
    <w:abstractNumId w:val="6"/>
  </w:num>
  <w:num w:numId="17">
    <w:abstractNumId w:val="6"/>
  </w:num>
  <w:num w:numId="18">
    <w:abstractNumId w:val="6"/>
  </w:num>
  <w:num w:numId="19">
    <w:abstractNumId w:val="6"/>
  </w:num>
  <w:num w:numId="20">
    <w:abstractNumId w:val="6"/>
  </w:num>
  <w:num w:numId="21">
    <w:abstractNumId w:val="14"/>
  </w:num>
  <w:num w:numId="22">
    <w:abstractNumId w:val="6"/>
  </w:num>
  <w:num w:numId="23">
    <w:abstractNumId w:val="6"/>
  </w:num>
  <w:num w:numId="24">
    <w:abstractNumId w:val="4"/>
  </w:num>
  <w:num w:numId="25">
    <w:abstractNumId w:val="5"/>
  </w:num>
  <w:num w:numId="26">
    <w:abstractNumId w:val="6"/>
  </w:num>
  <w:num w:numId="27">
    <w:abstractNumId w:val="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48ED"/>
    <w:rsid w:val="000234E1"/>
    <w:rsid w:val="00026925"/>
    <w:rsid w:val="00032E33"/>
    <w:rsid w:val="00035900"/>
    <w:rsid w:val="00041A66"/>
    <w:rsid w:val="000437A7"/>
    <w:rsid w:val="0005176E"/>
    <w:rsid w:val="00056345"/>
    <w:rsid w:val="000752FE"/>
    <w:rsid w:val="000765F7"/>
    <w:rsid w:val="000766AD"/>
    <w:rsid w:val="00077AB7"/>
    <w:rsid w:val="00081CD8"/>
    <w:rsid w:val="000833B3"/>
    <w:rsid w:val="0008569D"/>
    <w:rsid w:val="000951C7"/>
    <w:rsid w:val="00096632"/>
    <w:rsid w:val="000A7F0E"/>
    <w:rsid w:val="000B1C8F"/>
    <w:rsid w:val="000C0D61"/>
    <w:rsid w:val="000C32D2"/>
    <w:rsid w:val="000C7DAD"/>
    <w:rsid w:val="000E0480"/>
    <w:rsid w:val="000E1B3E"/>
    <w:rsid w:val="000E1C00"/>
    <w:rsid w:val="000F3A3F"/>
    <w:rsid w:val="000F7632"/>
    <w:rsid w:val="00101275"/>
    <w:rsid w:val="00102557"/>
    <w:rsid w:val="001155A0"/>
    <w:rsid w:val="0011608C"/>
    <w:rsid w:val="0011642F"/>
    <w:rsid w:val="00125EC0"/>
    <w:rsid w:val="001508A0"/>
    <w:rsid w:val="00150F97"/>
    <w:rsid w:val="00164D56"/>
    <w:rsid w:val="00167B10"/>
    <w:rsid w:val="0017402F"/>
    <w:rsid w:val="00192AB5"/>
    <w:rsid w:val="00196C1B"/>
    <w:rsid w:val="001A6D3E"/>
    <w:rsid w:val="001B0F73"/>
    <w:rsid w:val="001B4C14"/>
    <w:rsid w:val="001B4CE8"/>
    <w:rsid w:val="001C2DB7"/>
    <w:rsid w:val="001D4055"/>
    <w:rsid w:val="001D5C04"/>
    <w:rsid w:val="001D5D0A"/>
    <w:rsid w:val="001E68DF"/>
    <w:rsid w:val="001F26CF"/>
    <w:rsid w:val="0021763C"/>
    <w:rsid w:val="00217AFE"/>
    <w:rsid w:val="00222A2D"/>
    <w:rsid w:val="00223029"/>
    <w:rsid w:val="00234745"/>
    <w:rsid w:val="002407AF"/>
    <w:rsid w:val="00260258"/>
    <w:rsid w:val="00266135"/>
    <w:rsid w:val="00267EC9"/>
    <w:rsid w:val="0027466B"/>
    <w:rsid w:val="00283389"/>
    <w:rsid w:val="002838A5"/>
    <w:rsid w:val="00285BB4"/>
    <w:rsid w:val="00293758"/>
    <w:rsid w:val="002A5681"/>
    <w:rsid w:val="002A76C9"/>
    <w:rsid w:val="002B0F16"/>
    <w:rsid w:val="002B41B5"/>
    <w:rsid w:val="002C09E3"/>
    <w:rsid w:val="002D2AD2"/>
    <w:rsid w:val="002F0277"/>
    <w:rsid w:val="002F07D9"/>
    <w:rsid w:val="00312EFA"/>
    <w:rsid w:val="00314C11"/>
    <w:rsid w:val="0032052D"/>
    <w:rsid w:val="00324986"/>
    <w:rsid w:val="003316FD"/>
    <w:rsid w:val="00344B58"/>
    <w:rsid w:val="0034539A"/>
    <w:rsid w:val="00345CB4"/>
    <w:rsid w:val="00363315"/>
    <w:rsid w:val="00371B25"/>
    <w:rsid w:val="00375D42"/>
    <w:rsid w:val="003938C4"/>
    <w:rsid w:val="003A1360"/>
    <w:rsid w:val="003A313A"/>
    <w:rsid w:val="003C46C1"/>
    <w:rsid w:val="003C52D4"/>
    <w:rsid w:val="003D069C"/>
    <w:rsid w:val="003D4CBD"/>
    <w:rsid w:val="003D5D4C"/>
    <w:rsid w:val="003D7646"/>
    <w:rsid w:val="003E15C7"/>
    <w:rsid w:val="003F113A"/>
    <w:rsid w:val="003F3E63"/>
    <w:rsid w:val="00407480"/>
    <w:rsid w:val="00414643"/>
    <w:rsid w:val="00427FB8"/>
    <w:rsid w:val="004421E5"/>
    <w:rsid w:val="00452284"/>
    <w:rsid w:val="00452626"/>
    <w:rsid w:val="00457C8E"/>
    <w:rsid w:val="004631E6"/>
    <w:rsid w:val="00475503"/>
    <w:rsid w:val="00483A0E"/>
    <w:rsid w:val="004856CA"/>
    <w:rsid w:val="00487E67"/>
    <w:rsid w:val="00493B8F"/>
    <w:rsid w:val="0049705E"/>
    <w:rsid w:val="004A34A0"/>
    <w:rsid w:val="004B1D30"/>
    <w:rsid w:val="004B546B"/>
    <w:rsid w:val="004D0999"/>
    <w:rsid w:val="004D183B"/>
    <w:rsid w:val="004D3819"/>
    <w:rsid w:val="004D4561"/>
    <w:rsid w:val="004E4D7E"/>
    <w:rsid w:val="005008A8"/>
    <w:rsid w:val="005029C7"/>
    <w:rsid w:val="0050686E"/>
    <w:rsid w:val="00514D2F"/>
    <w:rsid w:val="00526B7B"/>
    <w:rsid w:val="00527154"/>
    <w:rsid w:val="005308CE"/>
    <w:rsid w:val="00532C0A"/>
    <w:rsid w:val="0053776B"/>
    <w:rsid w:val="00546BB3"/>
    <w:rsid w:val="0057439C"/>
    <w:rsid w:val="0058691D"/>
    <w:rsid w:val="005875BC"/>
    <w:rsid w:val="005B0127"/>
    <w:rsid w:val="005B7A35"/>
    <w:rsid w:val="005C4B73"/>
    <w:rsid w:val="005D106B"/>
    <w:rsid w:val="005D320B"/>
    <w:rsid w:val="005E1904"/>
    <w:rsid w:val="005E1D2B"/>
    <w:rsid w:val="005E7074"/>
    <w:rsid w:val="005F2BAF"/>
    <w:rsid w:val="005F6620"/>
    <w:rsid w:val="00600D93"/>
    <w:rsid w:val="00613492"/>
    <w:rsid w:val="00613D83"/>
    <w:rsid w:val="00620D76"/>
    <w:rsid w:val="006267A2"/>
    <w:rsid w:val="0063300C"/>
    <w:rsid w:val="00655736"/>
    <w:rsid w:val="00657370"/>
    <w:rsid w:val="006621D4"/>
    <w:rsid w:val="00663B8D"/>
    <w:rsid w:val="0069275B"/>
    <w:rsid w:val="00696C8D"/>
    <w:rsid w:val="006A2AC2"/>
    <w:rsid w:val="006A3617"/>
    <w:rsid w:val="006A7E65"/>
    <w:rsid w:val="006B44B6"/>
    <w:rsid w:val="006B44FB"/>
    <w:rsid w:val="006C15A2"/>
    <w:rsid w:val="006C6E6D"/>
    <w:rsid w:val="006E46E4"/>
    <w:rsid w:val="006E5B41"/>
    <w:rsid w:val="007123AE"/>
    <w:rsid w:val="00717DA5"/>
    <w:rsid w:val="0072350B"/>
    <w:rsid w:val="007345DE"/>
    <w:rsid w:val="00744484"/>
    <w:rsid w:val="00747566"/>
    <w:rsid w:val="00773188"/>
    <w:rsid w:val="00783782"/>
    <w:rsid w:val="00784B8C"/>
    <w:rsid w:val="00784C67"/>
    <w:rsid w:val="007879D5"/>
    <w:rsid w:val="007879E1"/>
    <w:rsid w:val="0079557C"/>
    <w:rsid w:val="007A26D9"/>
    <w:rsid w:val="007B1055"/>
    <w:rsid w:val="007F1797"/>
    <w:rsid w:val="007F4366"/>
    <w:rsid w:val="0081192A"/>
    <w:rsid w:val="00814DA4"/>
    <w:rsid w:val="00822137"/>
    <w:rsid w:val="00823A11"/>
    <w:rsid w:val="00847CAA"/>
    <w:rsid w:val="0085405E"/>
    <w:rsid w:val="0085414A"/>
    <w:rsid w:val="0086269D"/>
    <w:rsid w:val="0086543A"/>
    <w:rsid w:val="008724E5"/>
    <w:rsid w:val="008729D6"/>
    <w:rsid w:val="008739FA"/>
    <w:rsid w:val="00884A9D"/>
    <w:rsid w:val="0088512B"/>
    <w:rsid w:val="008935D7"/>
    <w:rsid w:val="0089620C"/>
    <w:rsid w:val="008A19A1"/>
    <w:rsid w:val="008A2B2D"/>
    <w:rsid w:val="008A4E1E"/>
    <w:rsid w:val="008C1F1A"/>
    <w:rsid w:val="008C296C"/>
    <w:rsid w:val="008C37C6"/>
    <w:rsid w:val="008D4305"/>
    <w:rsid w:val="008D5659"/>
    <w:rsid w:val="008E1A85"/>
    <w:rsid w:val="008F1881"/>
    <w:rsid w:val="00904BEF"/>
    <w:rsid w:val="009163A7"/>
    <w:rsid w:val="00924C0C"/>
    <w:rsid w:val="009264B4"/>
    <w:rsid w:val="009353CF"/>
    <w:rsid w:val="0093722C"/>
    <w:rsid w:val="00946D0B"/>
    <w:rsid w:val="00955877"/>
    <w:rsid w:val="009726D2"/>
    <w:rsid w:val="00980E9E"/>
    <w:rsid w:val="00983716"/>
    <w:rsid w:val="00997784"/>
    <w:rsid w:val="009A18CD"/>
    <w:rsid w:val="009C60AB"/>
    <w:rsid w:val="009D3145"/>
    <w:rsid w:val="009D413C"/>
    <w:rsid w:val="009D5428"/>
    <w:rsid w:val="009E216A"/>
    <w:rsid w:val="00A01D89"/>
    <w:rsid w:val="00A02FDA"/>
    <w:rsid w:val="00A12558"/>
    <w:rsid w:val="00A13903"/>
    <w:rsid w:val="00A25AF9"/>
    <w:rsid w:val="00A263C6"/>
    <w:rsid w:val="00A34ED5"/>
    <w:rsid w:val="00A45DBF"/>
    <w:rsid w:val="00A5186A"/>
    <w:rsid w:val="00A755A2"/>
    <w:rsid w:val="00A76151"/>
    <w:rsid w:val="00A8600B"/>
    <w:rsid w:val="00A93BAB"/>
    <w:rsid w:val="00AA15E7"/>
    <w:rsid w:val="00AA6660"/>
    <w:rsid w:val="00AB2C36"/>
    <w:rsid w:val="00AB6DDE"/>
    <w:rsid w:val="00AB70B6"/>
    <w:rsid w:val="00AC7DA4"/>
    <w:rsid w:val="00AD1A86"/>
    <w:rsid w:val="00AE103E"/>
    <w:rsid w:val="00AE466A"/>
    <w:rsid w:val="00AE4BEA"/>
    <w:rsid w:val="00AF0A07"/>
    <w:rsid w:val="00AF4AEC"/>
    <w:rsid w:val="00AF625E"/>
    <w:rsid w:val="00AF7C35"/>
    <w:rsid w:val="00B076FE"/>
    <w:rsid w:val="00B1435C"/>
    <w:rsid w:val="00B328CD"/>
    <w:rsid w:val="00B32E0D"/>
    <w:rsid w:val="00B47E67"/>
    <w:rsid w:val="00B577D1"/>
    <w:rsid w:val="00B622AA"/>
    <w:rsid w:val="00B628F5"/>
    <w:rsid w:val="00B82D4C"/>
    <w:rsid w:val="00BA5D6E"/>
    <w:rsid w:val="00BB04AF"/>
    <w:rsid w:val="00BB0B2F"/>
    <w:rsid w:val="00BB2C3D"/>
    <w:rsid w:val="00BC7888"/>
    <w:rsid w:val="00BD52C9"/>
    <w:rsid w:val="00BD6BBB"/>
    <w:rsid w:val="00BE011A"/>
    <w:rsid w:val="00BE6354"/>
    <w:rsid w:val="00BF56C8"/>
    <w:rsid w:val="00C00D04"/>
    <w:rsid w:val="00C02586"/>
    <w:rsid w:val="00C138D1"/>
    <w:rsid w:val="00C23A97"/>
    <w:rsid w:val="00C25D77"/>
    <w:rsid w:val="00C340A7"/>
    <w:rsid w:val="00C47621"/>
    <w:rsid w:val="00C5095E"/>
    <w:rsid w:val="00C61A04"/>
    <w:rsid w:val="00C64855"/>
    <w:rsid w:val="00C70EA7"/>
    <w:rsid w:val="00C7516E"/>
    <w:rsid w:val="00C75770"/>
    <w:rsid w:val="00CA1DC6"/>
    <w:rsid w:val="00CA2040"/>
    <w:rsid w:val="00CA56BB"/>
    <w:rsid w:val="00CA6A22"/>
    <w:rsid w:val="00CB0542"/>
    <w:rsid w:val="00CD34C3"/>
    <w:rsid w:val="00CD68E2"/>
    <w:rsid w:val="00CF1F00"/>
    <w:rsid w:val="00D00A69"/>
    <w:rsid w:val="00D00B2B"/>
    <w:rsid w:val="00D06268"/>
    <w:rsid w:val="00D130B4"/>
    <w:rsid w:val="00D21E47"/>
    <w:rsid w:val="00D24877"/>
    <w:rsid w:val="00D25A80"/>
    <w:rsid w:val="00D440E2"/>
    <w:rsid w:val="00D53EB4"/>
    <w:rsid w:val="00D56939"/>
    <w:rsid w:val="00D74162"/>
    <w:rsid w:val="00D76DC1"/>
    <w:rsid w:val="00D8250F"/>
    <w:rsid w:val="00D82C61"/>
    <w:rsid w:val="00D87899"/>
    <w:rsid w:val="00D95C4C"/>
    <w:rsid w:val="00D962A9"/>
    <w:rsid w:val="00DA280A"/>
    <w:rsid w:val="00DA36ED"/>
    <w:rsid w:val="00DA3E39"/>
    <w:rsid w:val="00DB397A"/>
    <w:rsid w:val="00DB58D6"/>
    <w:rsid w:val="00DB7C3D"/>
    <w:rsid w:val="00DD3644"/>
    <w:rsid w:val="00DE34F1"/>
    <w:rsid w:val="00DE6160"/>
    <w:rsid w:val="00DF4942"/>
    <w:rsid w:val="00DF6962"/>
    <w:rsid w:val="00E01712"/>
    <w:rsid w:val="00E244E1"/>
    <w:rsid w:val="00E34F17"/>
    <w:rsid w:val="00E52506"/>
    <w:rsid w:val="00E55910"/>
    <w:rsid w:val="00E627B1"/>
    <w:rsid w:val="00E70169"/>
    <w:rsid w:val="00E77096"/>
    <w:rsid w:val="00E82213"/>
    <w:rsid w:val="00E9376C"/>
    <w:rsid w:val="00E9712D"/>
    <w:rsid w:val="00E97482"/>
    <w:rsid w:val="00E977EC"/>
    <w:rsid w:val="00EA335E"/>
    <w:rsid w:val="00EA528C"/>
    <w:rsid w:val="00EA580C"/>
    <w:rsid w:val="00EC6F8D"/>
    <w:rsid w:val="00ED6383"/>
    <w:rsid w:val="00EE49F4"/>
    <w:rsid w:val="00EF073C"/>
    <w:rsid w:val="00EF0B7D"/>
    <w:rsid w:val="00EF34E2"/>
    <w:rsid w:val="00F02F65"/>
    <w:rsid w:val="00F108F3"/>
    <w:rsid w:val="00F116A7"/>
    <w:rsid w:val="00F156E5"/>
    <w:rsid w:val="00F25799"/>
    <w:rsid w:val="00F30DC6"/>
    <w:rsid w:val="00F320F1"/>
    <w:rsid w:val="00F32C23"/>
    <w:rsid w:val="00F33187"/>
    <w:rsid w:val="00F35C2F"/>
    <w:rsid w:val="00F52CFC"/>
    <w:rsid w:val="00F53DE9"/>
    <w:rsid w:val="00F576CB"/>
    <w:rsid w:val="00F65972"/>
    <w:rsid w:val="00F6750E"/>
    <w:rsid w:val="00F7035D"/>
    <w:rsid w:val="00F71A02"/>
    <w:rsid w:val="00F80D71"/>
    <w:rsid w:val="00F8128D"/>
    <w:rsid w:val="00F9202D"/>
    <w:rsid w:val="00FA07BB"/>
    <w:rsid w:val="00FA0D63"/>
    <w:rsid w:val="00FA33BD"/>
    <w:rsid w:val="00FC0BF7"/>
    <w:rsid w:val="00FD1226"/>
    <w:rsid w:val="00FD20CD"/>
    <w:rsid w:val="00FF0C67"/>
    <w:rsid w:val="00FF351E"/>
    <w:rsid w:val="00FF48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7068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basedOn w:val="DefaultParagraphFont"/>
    <w:uiPriority w:val="99"/>
    <w:unhideWhenUsed/>
    <w:rsid w:val="00CD34C3"/>
    <w:rPr>
      <w:color w:val="0000FF" w:themeColor="hyperlink"/>
      <w:u w:val="single"/>
    </w:rPr>
  </w:style>
  <w:style w:type="paragraph" w:styleId="FootnoteText">
    <w:name w:val="footnote text"/>
    <w:basedOn w:val="Normal"/>
    <w:link w:val="FootnoteTextChar"/>
    <w:uiPriority w:val="99"/>
    <w:unhideWhenUsed/>
    <w:rsid w:val="00CD34C3"/>
    <w:rPr>
      <w:sz w:val="20"/>
      <w:szCs w:val="20"/>
    </w:rPr>
  </w:style>
  <w:style w:type="character" w:customStyle="1" w:styleId="FootnoteTextChar">
    <w:name w:val="Footnote Text Char"/>
    <w:basedOn w:val="DefaultParagraphFont"/>
    <w:link w:val="FootnoteText"/>
    <w:uiPriority w:val="99"/>
    <w:rsid w:val="00CD34C3"/>
    <w:rPr>
      <w:rFonts w:ascii="Times New Roman" w:eastAsia="Times New Roman" w:hAnsi="Times New Roman"/>
    </w:rPr>
  </w:style>
  <w:style w:type="character" w:styleId="FootnoteReference">
    <w:name w:val="footnote reference"/>
    <w:basedOn w:val="DefaultParagraphFont"/>
    <w:uiPriority w:val="99"/>
    <w:semiHidden/>
    <w:unhideWhenUsed/>
    <w:rsid w:val="00CD34C3"/>
    <w:rPr>
      <w:vertAlign w:val="superscript"/>
    </w:rPr>
  </w:style>
  <w:style w:type="character" w:customStyle="1" w:styleId="hps">
    <w:name w:val="hps"/>
    <w:rsid w:val="007A26D9"/>
  </w:style>
  <w:style w:type="character" w:styleId="CommentReference">
    <w:name w:val="annotation reference"/>
    <w:basedOn w:val="DefaultParagraphFont"/>
    <w:uiPriority w:val="99"/>
    <w:semiHidden/>
    <w:unhideWhenUsed/>
    <w:rsid w:val="001508A0"/>
    <w:rPr>
      <w:sz w:val="16"/>
      <w:szCs w:val="16"/>
    </w:rPr>
  </w:style>
  <w:style w:type="paragraph" w:styleId="CommentText">
    <w:name w:val="annotation text"/>
    <w:basedOn w:val="Normal"/>
    <w:link w:val="CommentTextChar"/>
    <w:uiPriority w:val="99"/>
    <w:semiHidden/>
    <w:unhideWhenUsed/>
    <w:rsid w:val="001508A0"/>
    <w:rPr>
      <w:sz w:val="20"/>
      <w:szCs w:val="20"/>
    </w:rPr>
  </w:style>
  <w:style w:type="character" w:customStyle="1" w:styleId="CommentTextChar">
    <w:name w:val="Comment Text Char"/>
    <w:basedOn w:val="DefaultParagraphFont"/>
    <w:link w:val="CommentText"/>
    <w:uiPriority w:val="99"/>
    <w:semiHidden/>
    <w:rsid w:val="001508A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508A0"/>
    <w:rPr>
      <w:b/>
      <w:bCs/>
    </w:rPr>
  </w:style>
  <w:style w:type="character" w:customStyle="1" w:styleId="CommentSubjectChar">
    <w:name w:val="Comment Subject Char"/>
    <w:basedOn w:val="CommentTextChar"/>
    <w:link w:val="CommentSubject"/>
    <w:uiPriority w:val="99"/>
    <w:semiHidden/>
    <w:rsid w:val="001508A0"/>
    <w:rPr>
      <w:rFonts w:ascii="Times New Roman" w:eastAsia="Times New Roman" w:hAnsi="Times New Roman"/>
      <w:b/>
      <w:bCs/>
    </w:rPr>
  </w:style>
  <w:style w:type="character" w:customStyle="1" w:styleId="MargeChar">
    <w:name w:val="Marge Char"/>
    <w:link w:val="Marge"/>
    <w:rsid w:val="00BA5D6E"/>
    <w:rPr>
      <w:rFonts w:ascii="Arial" w:eastAsia="Times New Roman" w:hAnsi="Arial"/>
      <w:snapToGrid w:val="0"/>
      <w:sz w:val="22"/>
      <w:szCs w:val="24"/>
      <w:lang w:eastAsia="en-US"/>
    </w:rPr>
  </w:style>
  <w:style w:type="character" w:styleId="FollowedHyperlink">
    <w:name w:val="FollowedHyperlink"/>
    <w:basedOn w:val="DefaultParagraphFont"/>
    <w:uiPriority w:val="99"/>
    <w:semiHidden/>
    <w:unhideWhenUsed/>
    <w:rsid w:val="008A19A1"/>
    <w:rPr>
      <w:color w:val="800080" w:themeColor="followedHyperlink"/>
      <w:u w:val="single"/>
    </w:rPr>
  </w:style>
  <w:style w:type="paragraph" w:styleId="Revision">
    <w:name w:val="Revision"/>
    <w:hidden/>
    <w:uiPriority w:val="99"/>
    <w:semiHidden/>
    <w:rsid w:val="00D25A8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basedOn w:val="DefaultParagraphFont"/>
    <w:uiPriority w:val="99"/>
    <w:unhideWhenUsed/>
    <w:rsid w:val="00CD34C3"/>
    <w:rPr>
      <w:color w:val="0000FF" w:themeColor="hyperlink"/>
      <w:u w:val="single"/>
    </w:rPr>
  </w:style>
  <w:style w:type="paragraph" w:styleId="FootnoteText">
    <w:name w:val="footnote text"/>
    <w:basedOn w:val="Normal"/>
    <w:link w:val="FootnoteTextChar"/>
    <w:uiPriority w:val="99"/>
    <w:unhideWhenUsed/>
    <w:rsid w:val="00CD34C3"/>
    <w:rPr>
      <w:sz w:val="20"/>
      <w:szCs w:val="20"/>
    </w:rPr>
  </w:style>
  <w:style w:type="character" w:customStyle="1" w:styleId="FootnoteTextChar">
    <w:name w:val="Footnote Text Char"/>
    <w:basedOn w:val="DefaultParagraphFont"/>
    <w:link w:val="FootnoteText"/>
    <w:uiPriority w:val="99"/>
    <w:rsid w:val="00CD34C3"/>
    <w:rPr>
      <w:rFonts w:ascii="Times New Roman" w:eastAsia="Times New Roman" w:hAnsi="Times New Roman"/>
    </w:rPr>
  </w:style>
  <w:style w:type="character" w:styleId="FootnoteReference">
    <w:name w:val="footnote reference"/>
    <w:basedOn w:val="DefaultParagraphFont"/>
    <w:uiPriority w:val="99"/>
    <w:semiHidden/>
    <w:unhideWhenUsed/>
    <w:rsid w:val="00CD34C3"/>
    <w:rPr>
      <w:vertAlign w:val="superscript"/>
    </w:rPr>
  </w:style>
  <w:style w:type="character" w:customStyle="1" w:styleId="hps">
    <w:name w:val="hps"/>
    <w:rsid w:val="007A26D9"/>
  </w:style>
  <w:style w:type="character" w:styleId="CommentReference">
    <w:name w:val="annotation reference"/>
    <w:basedOn w:val="DefaultParagraphFont"/>
    <w:uiPriority w:val="99"/>
    <w:semiHidden/>
    <w:unhideWhenUsed/>
    <w:rsid w:val="001508A0"/>
    <w:rPr>
      <w:sz w:val="16"/>
      <w:szCs w:val="16"/>
    </w:rPr>
  </w:style>
  <w:style w:type="paragraph" w:styleId="CommentText">
    <w:name w:val="annotation text"/>
    <w:basedOn w:val="Normal"/>
    <w:link w:val="CommentTextChar"/>
    <w:uiPriority w:val="99"/>
    <w:semiHidden/>
    <w:unhideWhenUsed/>
    <w:rsid w:val="001508A0"/>
    <w:rPr>
      <w:sz w:val="20"/>
      <w:szCs w:val="20"/>
    </w:rPr>
  </w:style>
  <w:style w:type="character" w:customStyle="1" w:styleId="CommentTextChar">
    <w:name w:val="Comment Text Char"/>
    <w:basedOn w:val="DefaultParagraphFont"/>
    <w:link w:val="CommentText"/>
    <w:uiPriority w:val="99"/>
    <w:semiHidden/>
    <w:rsid w:val="001508A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508A0"/>
    <w:rPr>
      <w:b/>
      <w:bCs/>
    </w:rPr>
  </w:style>
  <w:style w:type="character" w:customStyle="1" w:styleId="CommentSubjectChar">
    <w:name w:val="Comment Subject Char"/>
    <w:basedOn w:val="CommentTextChar"/>
    <w:link w:val="CommentSubject"/>
    <w:uiPriority w:val="99"/>
    <w:semiHidden/>
    <w:rsid w:val="001508A0"/>
    <w:rPr>
      <w:rFonts w:ascii="Times New Roman" w:eastAsia="Times New Roman" w:hAnsi="Times New Roman"/>
      <w:b/>
      <w:bCs/>
    </w:rPr>
  </w:style>
  <w:style w:type="character" w:customStyle="1" w:styleId="MargeChar">
    <w:name w:val="Marge Char"/>
    <w:link w:val="Marge"/>
    <w:rsid w:val="00BA5D6E"/>
    <w:rPr>
      <w:rFonts w:ascii="Arial" w:eastAsia="Times New Roman" w:hAnsi="Arial"/>
      <w:snapToGrid w:val="0"/>
      <w:sz w:val="22"/>
      <w:szCs w:val="24"/>
      <w:lang w:eastAsia="en-US"/>
    </w:rPr>
  </w:style>
  <w:style w:type="character" w:styleId="FollowedHyperlink">
    <w:name w:val="FollowedHyperlink"/>
    <w:basedOn w:val="DefaultParagraphFont"/>
    <w:uiPriority w:val="99"/>
    <w:semiHidden/>
    <w:unhideWhenUsed/>
    <w:rsid w:val="008A19A1"/>
    <w:rPr>
      <w:color w:val="800080" w:themeColor="followedHyperlink"/>
      <w:u w:val="single"/>
    </w:rPr>
  </w:style>
  <w:style w:type="paragraph" w:styleId="Revision">
    <w:name w:val="Revision"/>
    <w:hidden/>
    <w:uiPriority w:val="99"/>
    <w:semiHidden/>
    <w:rsid w:val="00D25A8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547">
      <w:bodyDiv w:val="1"/>
      <w:marLeft w:val="0"/>
      <w:marRight w:val="0"/>
      <w:marTop w:val="0"/>
      <w:marBottom w:val="0"/>
      <w:divBdr>
        <w:top w:val="none" w:sz="0" w:space="0" w:color="auto"/>
        <w:left w:val="none" w:sz="0" w:space="0" w:color="auto"/>
        <w:bottom w:val="none" w:sz="0" w:space="0" w:color="auto"/>
        <w:right w:val="none" w:sz="0" w:space="0" w:color="auto"/>
      </w:divBdr>
    </w:div>
    <w:div w:id="10953858">
      <w:bodyDiv w:val="1"/>
      <w:marLeft w:val="0"/>
      <w:marRight w:val="0"/>
      <w:marTop w:val="0"/>
      <w:marBottom w:val="0"/>
      <w:divBdr>
        <w:top w:val="none" w:sz="0" w:space="0" w:color="auto"/>
        <w:left w:val="none" w:sz="0" w:space="0" w:color="auto"/>
        <w:bottom w:val="none" w:sz="0" w:space="0" w:color="auto"/>
        <w:right w:val="none" w:sz="0" w:space="0" w:color="auto"/>
      </w:divBdr>
    </w:div>
    <w:div w:id="39518549">
      <w:bodyDiv w:val="1"/>
      <w:marLeft w:val="0"/>
      <w:marRight w:val="0"/>
      <w:marTop w:val="0"/>
      <w:marBottom w:val="0"/>
      <w:divBdr>
        <w:top w:val="none" w:sz="0" w:space="0" w:color="auto"/>
        <w:left w:val="none" w:sz="0" w:space="0" w:color="auto"/>
        <w:bottom w:val="none" w:sz="0" w:space="0" w:color="auto"/>
        <w:right w:val="none" w:sz="0" w:space="0" w:color="auto"/>
      </w:divBdr>
    </w:div>
    <w:div w:id="189343927">
      <w:bodyDiv w:val="1"/>
      <w:marLeft w:val="0"/>
      <w:marRight w:val="0"/>
      <w:marTop w:val="0"/>
      <w:marBottom w:val="0"/>
      <w:divBdr>
        <w:top w:val="none" w:sz="0" w:space="0" w:color="auto"/>
        <w:left w:val="none" w:sz="0" w:space="0" w:color="auto"/>
        <w:bottom w:val="none" w:sz="0" w:space="0" w:color="auto"/>
        <w:right w:val="none" w:sz="0" w:space="0" w:color="auto"/>
      </w:divBdr>
    </w:div>
    <w:div w:id="236717497">
      <w:bodyDiv w:val="1"/>
      <w:marLeft w:val="0"/>
      <w:marRight w:val="0"/>
      <w:marTop w:val="0"/>
      <w:marBottom w:val="0"/>
      <w:divBdr>
        <w:top w:val="none" w:sz="0" w:space="0" w:color="auto"/>
        <w:left w:val="none" w:sz="0" w:space="0" w:color="auto"/>
        <w:bottom w:val="none" w:sz="0" w:space="0" w:color="auto"/>
        <w:right w:val="none" w:sz="0" w:space="0" w:color="auto"/>
      </w:divBdr>
    </w:div>
    <w:div w:id="272790243">
      <w:bodyDiv w:val="1"/>
      <w:marLeft w:val="0"/>
      <w:marRight w:val="0"/>
      <w:marTop w:val="0"/>
      <w:marBottom w:val="0"/>
      <w:divBdr>
        <w:top w:val="none" w:sz="0" w:space="0" w:color="auto"/>
        <w:left w:val="none" w:sz="0" w:space="0" w:color="auto"/>
        <w:bottom w:val="none" w:sz="0" w:space="0" w:color="auto"/>
        <w:right w:val="none" w:sz="0" w:space="0" w:color="auto"/>
      </w:divBdr>
    </w:div>
    <w:div w:id="391124563">
      <w:bodyDiv w:val="1"/>
      <w:marLeft w:val="0"/>
      <w:marRight w:val="0"/>
      <w:marTop w:val="0"/>
      <w:marBottom w:val="0"/>
      <w:divBdr>
        <w:top w:val="none" w:sz="0" w:space="0" w:color="auto"/>
        <w:left w:val="none" w:sz="0" w:space="0" w:color="auto"/>
        <w:bottom w:val="none" w:sz="0" w:space="0" w:color="auto"/>
        <w:right w:val="none" w:sz="0" w:space="0" w:color="auto"/>
      </w:divBdr>
    </w:div>
    <w:div w:id="408430145">
      <w:bodyDiv w:val="1"/>
      <w:marLeft w:val="0"/>
      <w:marRight w:val="0"/>
      <w:marTop w:val="0"/>
      <w:marBottom w:val="0"/>
      <w:divBdr>
        <w:top w:val="none" w:sz="0" w:space="0" w:color="auto"/>
        <w:left w:val="none" w:sz="0" w:space="0" w:color="auto"/>
        <w:bottom w:val="none" w:sz="0" w:space="0" w:color="auto"/>
        <w:right w:val="none" w:sz="0" w:space="0" w:color="auto"/>
      </w:divBdr>
    </w:div>
    <w:div w:id="470024411">
      <w:bodyDiv w:val="1"/>
      <w:marLeft w:val="0"/>
      <w:marRight w:val="0"/>
      <w:marTop w:val="0"/>
      <w:marBottom w:val="0"/>
      <w:divBdr>
        <w:top w:val="none" w:sz="0" w:space="0" w:color="auto"/>
        <w:left w:val="none" w:sz="0" w:space="0" w:color="auto"/>
        <w:bottom w:val="none" w:sz="0" w:space="0" w:color="auto"/>
        <w:right w:val="none" w:sz="0" w:space="0" w:color="auto"/>
      </w:divBdr>
    </w:div>
    <w:div w:id="514926720">
      <w:bodyDiv w:val="1"/>
      <w:marLeft w:val="0"/>
      <w:marRight w:val="0"/>
      <w:marTop w:val="0"/>
      <w:marBottom w:val="0"/>
      <w:divBdr>
        <w:top w:val="none" w:sz="0" w:space="0" w:color="auto"/>
        <w:left w:val="none" w:sz="0" w:space="0" w:color="auto"/>
        <w:bottom w:val="none" w:sz="0" w:space="0" w:color="auto"/>
        <w:right w:val="none" w:sz="0" w:space="0" w:color="auto"/>
      </w:divBdr>
    </w:div>
    <w:div w:id="532377357">
      <w:bodyDiv w:val="1"/>
      <w:marLeft w:val="0"/>
      <w:marRight w:val="0"/>
      <w:marTop w:val="0"/>
      <w:marBottom w:val="0"/>
      <w:divBdr>
        <w:top w:val="none" w:sz="0" w:space="0" w:color="auto"/>
        <w:left w:val="none" w:sz="0" w:space="0" w:color="auto"/>
        <w:bottom w:val="none" w:sz="0" w:space="0" w:color="auto"/>
        <w:right w:val="none" w:sz="0" w:space="0" w:color="auto"/>
      </w:divBdr>
    </w:div>
    <w:div w:id="585840533">
      <w:bodyDiv w:val="1"/>
      <w:marLeft w:val="0"/>
      <w:marRight w:val="0"/>
      <w:marTop w:val="0"/>
      <w:marBottom w:val="0"/>
      <w:divBdr>
        <w:top w:val="none" w:sz="0" w:space="0" w:color="auto"/>
        <w:left w:val="none" w:sz="0" w:space="0" w:color="auto"/>
        <w:bottom w:val="none" w:sz="0" w:space="0" w:color="auto"/>
        <w:right w:val="none" w:sz="0" w:space="0" w:color="auto"/>
      </w:divBdr>
    </w:div>
    <w:div w:id="69484407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09977923">
      <w:bodyDiv w:val="1"/>
      <w:marLeft w:val="0"/>
      <w:marRight w:val="0"/>
      <w:marTop w:val="0"/>
      <w:marBottom w:val="0"/>
      <w:divBdr>
        <w:top w:val="none" w:sz="0" w:space="0" w:color="auto"/>
        <w:left w:val="none" w:sz="0" w:space="0" w:color="auto"/>
        <w:bottom w:val="none" w:sz="0" w:space="0" w:color="auto"/>
        <w:right w:val="none" w:sz="0" w:space="0" w:color="auto"/>
      </w:divBdr>
    </w:div>
    <w:div w:id="829559602">
      <w:bodyDiv w:val="1"/>
      <w:marLeft w:val="0"/>
      <w:marRight w:val="0"/>
      <w:marTop w:val="0"/>
      <w:marBottom w:val="0"/>
      <w:divBdr>
        <w:top w:val="none" w:sz="0" w:space="0" w:color="auto"/>
        <w:left w:val="none" w:sz="0" w:space="0" w:color="auto"/>
        <w:bottom w:val="none" w:sz="0" w:space="0" w:color="auto"/>
        <w:right w:val="none" w:sz="0" w:space="0" w:color="auto"/>
      </w:divBdr>
    </w:div>
    <w:div w:id="896627798">
      <w:bodyDiv w:val="1"/>
      <w:marLeft w:val="0"/>
      <w:marRight w:val="0"/>
      <w:marTop w:val="0"/>
      <w:marBottom w:val="0"/>
      <w:divBdr>
        <w:top w:val="none" w:sz="0" w:space="0" w:color="auto"/>
        <w:left w:val="none" w:sz="0" w:space="0" w:color="auto"/>
        <w:bottom w:val="none" w:sz="0" w:space="0" w:color="auto"/>
        <w:right w:val="none" w:sz="0" w:space="0" w:color="auto"/>
      </w:divBdr>
    </w:div>
    <w:div w:id="995760709">
      <w:bodyDiv w:val="1"/>
      <w:marLeft w:val="0"/>
      <w:marRight w:val="0"/>
      <w:marTop w:val="0"/>
      <w:marBottom w:val="0"/>
      <w:divBdr>
        <w:top w:val="none" w:sz="0" w:space="0" w:color="auto"/>
        <w:left w:val="none" w:sz="0" w:space="0" w:color="auto"/>
        <w:bottom w:val="none" w:sz="0" w:space="0" w:color="auto"/>
        <w:right w:val="none" w:sz="0" w:space="0" w:color="auto"/>
      </w:divBdr>
    </w:div>
    <w:div w:id="1028065232">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78016036">
      <w:bodyDiv w:val="1"/>
      <w:marLeft w:val="0"/>
      <w:marRight w:val="0"/>
      <w:marTop w:val="0"/>
      <w:marBottom w:val="0"/>
      <w:divBdr>
        <w:top w:val="none" w:sz="0" w:space="0" w:color="auto"/>
        <w:left w:val="none" w:sz="0" w:space="0" w:color="auto"/>
        <w:bottom w:val="none" w:sz="0" w:space="0" w:color="auto"/>
        <w:right w:val="none" w:sz="0" w:space="0" w:color="auto"/>
      </w:divBdr>
    </w:div>
    <w:div w:id="1129663376">
      <w:bodyDiv w:val="1"/>
      <w:marLeft w:val="0"/>
      <w:marRight w:val="0"/>
      <w:marTop w:val="0"/>
      <w:marBottom w:val="0"/>
      <w:divBdr>
        <w:top w:val="none" w:sz="0" w:space="0" w:color="auto"/>
        <w:left w:val="none" w:sz="0" w:space="0" w:color="auto"/>
        <w:bottom w:val="none" w:sz="0" w:space="0" w:color="auto"/>
        <w:right w:val="none" w:sz="0" w:space="0" w:color="auto"/>
      </w:divBdr>
    </w:div>
    <w:div w:id="1144736556">
      <w:bodyDiv w:val="1"/>
      <w:marLeft w:val="0"/>
      <w:marRight w:val="0"/>
      <w:marTop w:val="0"/>
      <w:marBottom w:val="0"/>
      <w:divBdr>
        <w:top w:val="none" w:sz="0" w:space="0" w:color="auto"/>
        <w:left w:val="none" w:sz="0" w:space="0" w:color="auto"/>
        <w:bottom w:val="none" w:sz="0" w:space="0" w:color="auto"/>
        <w:right w:val="none" w:sz="0" w:space="0" w:color="auto"/>
      </w:divBdr>
    </w:div>
    <w:div w:id="1145396537">
      <w:bodyDiv w:val="1"/>
      <w:marLeft w:val="0"/>
      <w:marRight w:val="0"/>
      <w:marTop w:val="0"/>
      <w:marBottom w:val="0"/>
      <w:divBdr>
        <w:top w:val="none" w:sz="0" w:space="0" w:color="auto"/>
        <w:left w:val="none" w:sz="0" w:space="0" w:color="auto"/>
        <w:bottom w:val="none" w:sz="0" w:space="0" w:color="auto"/>
        <w:right w:val="none" w:sz="0" w:space="0" w:color="auto"/>
      </w:divBdr>
    </w:div>
    <w:div w:id="1242258495">
      <w:bodyDiv w:val="1"/>
      <w:marLeft w:val="0"/>
      <w:marRight w:val="0"/>
      <w:marTop w:val="0"/>
      <w:marBottom w:val="0"/>
      <w:divBdr>
        <w:top w:val="none" w:sz="0" w:space="0" w:color="auto"/>
        <w:left w:val="none" w:sz="0" w:space="0" w:color="auto"/>
        <w:bottom w:val="none" w:sz="0" w:space="0" w:color="auto"/>
        <w:right w:val="none" w:sz="0" w:space="0" w:color="auto"/>
      </w:divBdr>
    </w:div>
    <w:div w:id="1300263687">
      <w:bodyDiv w:val="1"/>
      <w:marLeft w:val="0"/>
      <w:marRight w:val="0"/>
      <w:marTop w:val="0"/>
      <w:marBottom w:val="0"/>
      <w:divBdr>
        <w:top w:val="none" w:sz="0" w:space="0" w:color="auto"/>
        <w:left w:val="none" w:sz="0" w:space="0" w:color="auto"/>
        <w:bottom w:val="none" w:sz="0" w:space="0" w:color="auto"/>
        <w:right w:val="none" w:sz="0" w:space="0" w:color="auto"/>
      </w:divBdr>
    </w:div>
    <w:div w:id="1300962904">
      <w:bodyDiv w:val="1"/>
      <w:marLeft w:val="0"/>
      <w:marRight w:val="0"/>
      <w:marTop w:val="0"/>
      <w:marBottom w:val="0"/>
      <w:divBdr>
        <w:top w:val="none" w:sz="0" w:space="0" w:color="auto"/>
        <w:left w:val="none" w:sz="0" w:space="0" w:color="auto"/>
        <w:bottom w:val="none" w:sz="0" w:space="0" w:color="auto"/>
        <w:right w:val="none" w:sz="0" w:space="0" w:color="auto"/>
      </w:divBdr>
    </w:div>
    <w:div w:id="1325474908">
      <w:bodyDiv w:val="1"/>
      <w:marLeft w:val="0"/>
      <w:marRight w:val="0"/>
      <w:marTop w:val="0"/>
      <w:marBottom w:val="0"/>
      <w:divBdr>
        <w:top w:val="none" w:sz="0" w:space="0" w:color="auto"/>
        <w:left w:val="none" w:sz="0" w:space="0" w:color="auto"/>
        <w:bottom w:val="none" w:sz="0" w:space="0" w:color="auto"/>
        <w:right w:val="none" w:sz="0" w:space="0" w:color="auto"/>
      </w:divBdr>
    </w:div>
    <w:div w:id="1379085649">
      <w:bodyDiv w:val="1"/>
      <w:marLeft w:val="0"/>
      <w:marRight w:val="0"/>
      <w:marTop w:val="0"/>
      <w:marBottom w:val="0"/>
      <w:divBdr>
        <w:top w:val="none" w:sz="0" w:space="0" w:color="auto"/>
        <w:left w:val="none" w:sz="0" w:space="0" w:color="auto"/>
        <w:bottom w:val="none" w:sz="0" w:space="0" w:color="auto"/>
        <w:right w:val="none" w:sz="0" w:space="0" w:color="auto"/>
      </w:divBdr>
    </w:div>
    <w:div w:id="1516461607">
      <w:bodyDiv w:val="1"/>
      <w:marLeft w:val="0"/>
      <w:marRight w:val="0"/>
      <w:marTop w:val="0"/>
      <w:marBottom w:val="0"/>
      <w:divBdr>
        <w:top w:val="none" w:sz="0" w:space="0" w:color="auto"/>
        <w:left w:val="none" w:sz="0" w:space="0" w:color="auto"/>
        <w:bottom w:val="none" w:sz="0" w:space="0" w:color="auto"/>
        <w:right w:val="none" w:sz="0" w:space="0" w:color="auto"/>
      </w:divBdr>
    </w:div>
    <w:div w:id="1535117780">
      <w:bodyDiv w:val="1"/>
      <w:marLeft w:val="0"/>
      <w:marRight w:val="0"/>
      <w:marTop w:val="0"/>
      <w:marBottom w:val="0"/>
      <w:divBdr>
        <w:top w:val="none" w:sz="0" w:space="0" w:color="auto"/>
        <w:left w:val="none" w:sz="0" w:space="0" w:color="auto"/>
        <w:bottom w:val="none" w:sz="0" w:space="0" w:color="auto"/>
        <w:right w:val="none" w:sz="0" w:space="0" w:color="auto"/>
      </w:divBdr>
    </w:div>
    <w:div w:id="1568766554">
      <w:bodyDiv w:val="1"/>
      <w:marLeft w:val="0"/>
      <w:marRight w:val="0"/>
      <w:marTop w:val="0"/>
      <w:marBottom w:val="0"/>
      <w:divBdr>
        <w:top w:val="none" w:sz="0" w:space="0" w:color="auto"/>
        <w:left w:val="none" w:sz="0" w:space="0" w:color="auto"/>
        <w:bottom w:val="none" w:sz="0" w:space="0" w:color="auto"/>
        <w:right w:val="none" w:sz="0" w:space="0" w:color="auto"/>
      </w:divBdr>
    </w:div>
    <w:div w:id="158730195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80346184">
      <w:bodyDiv w:val="1"/>
      <w:marLeft w:val="0"/>
      <w:marRight w:val="0"/>
      <w:marTop w:val="0"/>
      <w:marBottom w:val="0"/>
      <w:divBdr>
        <w:top w:val="none" w:sz="0" w:space="0" w:color="auto"/>
        <w:left w:val="none" w:sz="0" w:space="0" w:color="auto"/>
        <w:bottom w:val="none" w:sz="0" w:space="0" w:color="auto"/>
        <w:right w:val="none" w:sz="0" w:space="0" w:color="auto"/>
      </w:divBdr>
    </w:div>
    <w:div w:id="1726101389">
      <w:bodyDiv w:val="1"/>
      <w:marLeft w:val="0"/>
      <w:marRight w:val="0"/>
      <w:marTop w:val="0"/>
      <w:marBottom w:val="0"/>
      <w:divBdr>
        <w:top w:val="none" w:sz="0" w:space="0" w:color="auto"/>
        <w:left w:val="none" w:sz="0" w:space="0" w:color="auto"/>
        <w:bottom w:val="none" w:sz="0" w:space="0" w:color="auto"/>
        <w:right w:val="none" w:sz="0" w:space="0" w:color="auto"/>
      </w:divBdr>
    </w:div>
    <w:div w:id="1770345437">
      <w:bodyDiv w:val="1"/>
      <w:marLeft w:val="0"/>
      <w:marRight w:val="0"/>
      <w:marTop w:val="0"/>
      <w:marBottom w:val="0"/>
      <w:divBdr>
        <w:top w:val="none" w:sz="0" w:space="0" w:color="auto"/>
        <w:left w:val="none" w:sz="0" w:space="0" w:color="auto"/>
        <w:bottom w:val="none" w:sz="0" w:space="0" w:color="auto"/>
        <w:right w:val="none" w:sz="0" w:space="0" w:color="auto"/>
      </w:divBdr>
    </w:div>
    <w:div w:id="1774548704">
      <w:bodyDiv w:val="1"/>
      <w:marLeft w:val="0"/>
      <w:marRight w:val="0"/>
      <w:marTop w:val="0"/>
      <w:marBottom w:val="0"/>
      <w:divBdr>
        <w:top w:val="none" w:sz="0" w:space="0" w:color="auto"/>
        <w:left w:val="none" w:sz="0" w:space="0" w:color="auto"/>
        <w:bottom w:val="none" w:sz="0" w:space="0" w:color="auto"/>
        <w:right w:val="none" w:sz="0" w:space="0" w:color="auto"/>
      </w:divBdr>
    </w:div>
    <w:div w:id="182408569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07185361">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30036853">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doc/download.php?versionID=42274" TargetMode="External"/><Relationship Id="rId18" Type="http://schemas.openxmlformats.org/officeDocument/2006/relationships/hyperlink" Target="http://www.unesco.org/culture/ich/doc/download.php?versionID=42569" TargetMode="External"/><Relationship Id="rId26" Type="http://schemas.openxmlformats.org/officeDocument/2006/relationships/hyperlink" Target="http://www.unesco.org/culture/ich/doc/src/ICH-04-Report-EN-20150717.doc" TargetMode="External"/><Relationship Id="rId39" Type="http://schemas.openxmlformats.org/officeDocument/2006/relationships/chart" Target="charts/chart2.xml"/><Relationship Id="rId21" Type="http://schemas.openxmlformats.org/officeDocument/2006/relationships/hyperlink" Target="http://www.unesco.org/culture/ich/en/assistances/safeguarding-indigenous-vernacular-architecture-and-building-knowledge-in-vanuatu-01214" TargetMode="External"/><Relationship Id="rId34" Type="http://schemas.openxmlformats.org/officeDocument/2006/relationships/hyperlink" Target="http://www.unesco.org/culture/ich/en/assistances/inventorying-of-the-music-and-dance-of-the-lozi-and-nkoya-people-of-kaoma-district-01217" TargetMode="External"/><Relationship Id="rId42" Type="http://schemas.openxmlformats.org/officeDocument/2006/relationships/hyperlink" Target="http://www.unesco.org/culture/ich/en/Decisions/4.COM/11.01" TargetMode="External"/><Relationship Id="rId47" Type="http://schemas.openxmlformats.org/officeDocument/2006/relationships/hyperlink" Target="http://www.unesco.org/culture/ich/doc/src/ITH-14-9.COM_4.BUR-Decision.doc" TargetMode="External"/><Relationship Id="rId50" Type="http://schemas.openxmlformats.org/officeDocument/2006/relationships/hyperlink" Target="http://www.unesco.org/culture/ich/doc/src/ITH-14-9.COM_4.BUR-Decision.doc"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esco.org/culture/ich/doc/download.php?versionID=39330" TargetMode="External"/><Relationship Id="rId29" Type="http://schemas.openxmlformats.org/officeDocument/2006/relationships/hyperlink" Target="http://www.unesco.org/culture/ich/en/assistances/inventory-safeguarding-and-promoting-knowledge-of-how-to-manufacture-and-play-togo-s-traditional-musical-instruments-pilot-phase-in-the-maritime-region-south-togo-00912" TargetMode="External"/><Relationship Id="rId11" Type="http://schemas.openxmlformats.org/officeDocument/2006/relationships/hyperlink" Target="http://www.unesco.org/culture/ich/doc/download.php?versionID=42237" TargetMode="External"/><Relationship Id="rId24" Type="http://schemas.openxmlformats.org/officeDocument/2006/relationships/hyperlink" Target="http://www.unesco.org/culture/ich/doc/download.php?versionID=42209" TargetMode="External"/><Relationship Id="rId32" Type="http://schemas.openxmlformats.org/officeDocument/2006/relationships/hyperlink" Target="http://www.unesco.org/culture/ich/en/assistances/documentation-and-inventory-of-intangible-cultural-heritage-in-the-republic-of-the-sudan-a-pilot-project-in-kordufan-and-blue-nile-regions-00978" TargetMode="External"/><Relationship Id="rId37" Type="http://schemas.openxmlformats.org/officeDocument/2006/relationships/hyperlink" Target="http://www.unesco.org/culture/ich/en/assistances/inventorying-of-proverbs-of-lala-community-of-luano-district-of-zambia-01216" TargetMode="External"/><Relationship Id="rId40" Type="http://schemas.openxmlformats.org/officeDocument/2006/relationships/chart" Target="charts/chart3.xml"/><Relationship Id="rId45" Type="http://schemas.openxmlformats.org/officeDocument/2006/relationships/hyperlink" Target="http://www.unesco.org/culture/ich/doc/src/ITH-12-7.COM_5.BUR-Decisions-EN-Rev._2.doc" TargetMode="External"/><Relationship Id="rId53" Type="http://schemas.openxmlformats.org/officeDocument/2006/relationships/hyperlink" Target="http://www.unesco.org/culture/ich/doc/src/ITH-16-11.COM_1.BUR-Decisions-EN.docx"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www.unesco.org/culture/ich/en/assistances/safeguarding-the-oral-traditions-and-expressions-of-the-dzao-people-of-lao-cai-and-lai-chau-provinces-of-viet-nam-00599" TargetMode="External"/><Relationship Id="rId4" Type="http://schemas.microsoft.com/office/2007/relationships/stylesWithEffects" Target="stylesWithEffects.xml"/><Relationship Id="rId9" Type="http://schemas.openxmlformats.org/officeDocument/2006/relationships/hyperlink" Target="http://www.unesco.org/culture/ich/doc/download.php?versionID=39981" TargetMode="External"/><Relationship Id="rId14" Type="http://schemas.openxmlformats.org/officeDocument/2006/relationships/hyperlink" Target="http://www.unesco.org/culture/ich/en/assistances/safeguarding-and-revitalizing-the-mongolian-traditional-epic-00549" TargetMode="External"/><Relationship Id="rId22" Type="http://schemas.openxmlformats.org/officeDocument/2006/relationships/hyperlink" Target="http://www.unesco.org/culture/ich/doc/download.php?versionID=40189" TargetMode="External"/><Relationship Id="rId27" Type="http://schemas.openxmlformats.org/officeDocument/2006/relationships/hyperlink" Target="http://www.unesco.org/culture/ich/en/assistances/inventory-of-intangible-cultural-heritage-in-mali-with-a-view-to-its-urgent-safeguarding-01026" TargetMode="External"/><Relationship Id="rId30" Type="http://schemas.openxmlformats.org/officeDocument/2006/relationships/hyperlink" Target="http://www.unesco.org/culture/ich/en/assistances/inventory-of-the-intangible-cultural-heritage-present-in-cote-d-ivoire-in-view-of-its-urgent-safeguarding-01051" TargetMode="External"/><Relationship Id="rId35" Type="http://schemas.openxmlformats.org/officeDocument/2006/relationships/hyperlink" Target="http://www.unesco.org/culture/ich/en/assistances/safeguarding-the-knowledge-systems-associated-with-traditional-fijian-itaukei-house-bure-construction-methods-in-navala-village-fiji-01121" TargetMode="External"/><Relationship Id="rId43" Type="http://schemas.openxmlformats.org/officeDocument/2006/relationships/hyperlink" Target="http://www.unesco.org/culture/ich/doc/download.php?versionID=33087" TargetMode="External"/><Relationship Id="rId48" Type="http://schemas.openxmlformats.org/officeDocument/2006/relationships/hyperlink" Target="http://www.unesco.org/culture/ich/doc/src/ITH-14-9.COM_4.BUR-Decision.doc"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unesco.org/culture/ich/doc/src/ITH-15-10.COM_1.BUR-Decisions-EN.doc" TargetMode="External"/><Relationship Id="rId3" Type="http://schemas.openxmlformats.org/officeDocument/2006/relationships/styles" Target="styles.xml"/><Relationship Id="rId12" Type="http://schemas.openxmlformats.org/officeDocument/2006/relationships/hyperlink" Target="http://www.unesco.org/culture/ich/en/assistances/inventory-and-promotion-of-intangible-cultural-heritage-in-burkina-faso-00678" TargetMode="External"/><Relationship Id="rId17" Type="http://schemas.openxmlformats.org/officeDocument/2006/relationships/hyperlink" Target="http://www.unesco.org/culture/ich/en/assistances/improving-the-capacities-of-intangible-cultural-heritage-related-ngos-in-mongolia-00910" TargetMode="External"/><Relationship Id="rId25" Type="http://schemas.openxmlformats.org/officeDocument/2006/relationships/hyperlink" Target="http://www.unesco.org/culture/ich/en/assistances/documenting-and-inventorying-intangible-cultural-heritage-of-the-pastoralist-samburu-community-in-northern-kenya-a-focus-on-the-region-of-mount-kulal-biosphere-reserve-01024" TargetMode="External"/><Relationship Id="rId33" Type="http://schemas.openxmlformats.org/officeDocument/2006/relationships/hyperlink" Target="http://www.unesco.org/culture/ich/en/assistances/inventorying-of-intangible-cultural-heritage-elements-in-thaba-bosiu-in-lesotho-01118" TargetMode="External"/><Relationship Id="rId38" Type="http://schemas.openxmlformats.org/officeDocument/2006/relationships/chart" Target="charts/chart1.xml"/><Relationship Id="rId46" Type="http://schemas.openxmlformats.org/officeDocument/2006/relationships/hyperlink" Target="http://www.unesco.org/culture/ich/doc/download.php?versionID=33099" TargetMode="External"/><Relationship Id="rId20" Type="http://schemas.openxmlformats.org/officeDocument/2006/relationships/hyperlink" Target="http://www.unesco.org/culture/ich/doc/download.php?versionID=42455" TargetMode="External"/><Relationship Id="rId41" Type="http://schemas.openxmlformats.org/officeDocument/2006/relationships/chart" Target="charts/chart4.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nesco.org/culture/ich/doc/download.php?versionID=42568" TargetMode="External"/><Relationship Id="rId23" Type="http://schemas.openxmlformats.org/officeDocument/2006/relationships/hyperlink" Target="http://www.unesco.org/culture/ich/en/assistances/safeguarding-and-promotion-of-bigwala-gourd-trumpet-music-and-dance-of-busoga-kingdom-in-uganda-00979" TargetMode="External"/><Relationship Id="rId28" Type="http://schemas.openxmlformats.org/officeDocument/2006/relationships/hyperlink" Target="http://www.unesco.org/culture/ich/en/assistances/inventory-and-promotion-of-the-intangible-cultural-heritage-of-the-pygmy-populations-of-gabon-00949" TargetMode="External"/><Relationship Id="rId36" Type="http://schemas.openxmlformats.org/officeDocument/2006/relationships/hyperlink" Target="http://www.unesco.org/culture/ich/en/assistances/promotion-of-traditional-pottery-making-practices-in-eastern-kenya-01021" TargetMode="External"/><Relationship Id="rId49" Type="http://schemas.openxmlformats.org/officeDocument/2006/relationships/hyperlink" Target="http://www.ich-ngo.mn" TargetMode="External"/><Relationship Id="rId57" Type="http://schemas.openxmlformats.org/officeDocument/2006/relationships/fontTable" Target="fontTable.xml"/><Relationship Id="rId10" Type="http://schemas.openxmlformats.org/officeDocument/2006/relationships/hyperlink" Target="http://www.unesco.org/culture/ich/en/assistances/traditions-and-practices-associated-with-the-kayas-in-the-sacred-forests-of-the-mijikenda-00326" TargetMode="External"/><Relationship Id="rId31" Type="http://schemas.openxmlformats.org/officeDocument/2006/relationships/hyperlink" Target="http://www.unesco.org/culture/ich/en/assistances/safeguarding-of-nkhonde-tumbuka-and-chewa-proverbs-and-folktales-01060" TargetMode="External"/><Relationship Id="rId44" Type="http://schemas.openxmlformats.org/officeDocument/2006/relationships/hyperlink" Target="http://www.unesco.org/culture/ich/en/Decisions/7.COM/10.1" TargetMode="External"/><Relationship Id="rId52" Type="http://schemas.openxmlformats.org/officeDocument/2006/relationships/hyperlink" Target="http://www.unesco.org/culture/ich/doc/src/ITH-15-10.COM_1.BUR-Decisions-EN.do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qfs\dfs\clt\CRE\02-ITH\Convention-Statutory%20Meetings\2016_STATUTORY%20MEETINGS\2016-11_11COM\Documents\09.c_11.COM_Reports%20of%20SP%20on%20IA\Drafts\data%20financial%20assistances.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hqfs\dfs\clt\CRE\02-ITH\Convention-Statutory%20Meetings\2016_STATUTORY%20MEETINGS\2016-11_11COM\Documents\09.c_11.COM_Reports%20of%20SP%20on%20IA\Drafts\data%20financial%20assistances-EN.xls" TargetMode="External"/></Relationships>
</file>

<file path=word/charts/_rels/chart3.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hqfs\dfs\clt\CRE\02-ITH\Convention-Statutory%20Meetings\2016_STATUTORY%20MEETINGS\2016-11_11COM\Documents\09.c_11.COM_Reports%20of%20SP%20on%20IA\Drafts\data%20financial%20assistances-EN.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hqfs\dfs\clt\CRE\02-ITH\Convention-Statutory%20Meetings\2016_STATUTORY%20MEETINGS\2016-11_11COM\Documents\09.c_11.COM_Reports%20of%20SP%20on%20IA\Drafts\data%20financial%20assistanc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rgbClr val="000000"/>
                </a:solidFill>
                <a:latin typeface="Arial" panose="020B0604020202020204" pitchFamily="34" charset="0"/>
                <a:ea typeface="Calibri"/>
                <a:cs typeface="Arial" panose="020B0604020202020204" pitchFamily="34" charset="0"/>
              </a:defRPr>
            </a:pPr>
            <a:r>
              <a:rPr lang="fr-FR" sz="1100">
                <a:latin typeface="Arial" panose="020B0604020202020204" pitchFamily="34" charset="0"/>
                <a:cs typeface="Arial" panose="020B0604020202020204" pitchFamily="34" charset="0"/>
              </a:rPr>
              <a:t>DISTRIBUTION BY ELECTORAL GROUP </a:t>
            </a:r>
          </a:p>
        </c:rich>
      </c:tx>
      <c:layout/>
      <c:overlay val="1"/>
      <c:spPr>
        <a:noFill/>
        <a:ln>
          <a:noFill/>
        </a:ln>
        <a:effectLst/>
      </c:spPr>
    </c:title>
    <c:autoTitleDeleted val="0"/>
    <c:plotArea>
      <c:layout>
        <c:manualLayout>
          <c:layoutTarget val="inner"/>
          <c:xMode val="edge"/>
          <c:yMode val="edge"/>
          <c:x val="0.23090536576409701"/>
          <c:y val="0.15316024076336901"/>
          <c:w val="0.48243480877107597"/>
          <c:h val="0.74995150664186705"/>
        </c:manualLayout>
      </c:layout>
      <c:doughnutChart>
        <c:varyColors val="1"/>
        <c:ser>
          <c:idx val="0"/>
          <c:order val="0"/>
          <c:tx>
            <c:strRef>
              <c:f>'Data Analysis EN'!$D$1</c:f>
              <c:strCache>
                <c:ptCount val="1"/>
                <c:pt idx="0">
                  <c:v>Count (%)</c:v>
                </c:pt>
              </c:strCache>
            </c:strRef>
          </c:tx>
          <c:dPt>
            <c:idx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D659-4FBD-92E1-C2208B59BA4A}"/>
              </c:ext>
            </c:extLst>
          </c:dPt>
          <c:dPt>
            <c:idx val="1"/>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3-D659-4FBD-92E1-C2208B59BA4A}"/>
              </c:ext>
            </c:extLst>
          </c:dPt>
          <c:dPt>
            <c:idx val="2"/>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5-D659-4FBD-92E1-C2208B59BA4A}"/>
              </c:ext>
            </c:extLst>
          </c:dPt>
          <c:dPt>
            <c:idx val="3"/>
            <c:bubble3D val="0"/>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07-D659-4FBD-92E1-C2208B59BA4A}"/>
              </c:ext>
            </c:extLst>
          </c:dPt>
          <c:dPt>
            <c:idx val="4"/>
            <c:bubble3D val="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09-D659-4FBD-92E1-C2208B59BA4A}"/>
              </c:ext>
            </c:extLst>
          </c:dPt>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Calibri"/>
                    <a:cs typeface="Arial" panose="020B0604020202020204" pitchFamily="34" charset="0"/>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ext>
            </c:extLst>
          </c:dLbls>
          <c:cat>
            <c:strRef>
              <c:f>'Data Analysis EN'!$A$2:$A$6</c:f>
              <c:strCache>
                <c:ptCount val="5"/>
                <c:pt idx="0">
                  <c:v>Electoral Group II</c:v>
                </c:pt>
                <c:pt idx="1">
                  <c:v>Electoral Group III</c:v>
                </c:pt>
                <c:pt idx="2">
                  <c:v>Electoral Group IV</c:v>
                </c:pt>
                <c:pt idx="3">
                  <c:v>Electoral Group V(a)</c:v>
                </c:pt>
                <c:pt idx="4">
                  <c:v>Electoral Group V(b)</c:v>
                </c:pt>
              </c:strCache>
            </c:strRef>
          </c:cat>
          <c:val>
            <c:numRef>
              <c:f>'Data Analysis EN'!$D$2:$D$6</c:f>
              <c:numCache>
                <c:formatCode>0%</c:formatCode>
                <c:ptCount val="5"/>
                <c:pt idx="0">
                  <c:v>5.5555555555555497E-2</c:v>
                </c:pt>
                <c:pt idx="1">
                  <c:v>9.2592592592592601E-2</c:v>
                </c:pt>
                <c:pt idx="2">
                  <c:v>0.22222222222222199</c:v>
                </c:pt>
                <c:pt idx="3">
                  <c:v>0.53703703703703698</c:v>
                </c:pt>
                <c:pt idx="4">
                  <c:v>9.2592592592592601E-2</c:v>
                </c:pt>
              </c:numCache>
            </c:numRef>
          </c:val>
          <c:extLst xmlns:c16r2="http://schemas.microsoft.com/office/drawing/2015/06/chart">
            <c:ext xmlns:c16="http://schemas.microsoft.com/office/drawing/2014/chart" uri="{C3380CC4-5D6E-409C-BE32-E72D297353CC}">
              <c16:uniqueId val="{0000000A-D659-4FBD-92E1-C2208B59BA4A}"/>
            </c:ext>
          </c:extLst>
        </c:ser>
        <c:ser>
          <c:idx val="1"/>
          <c:order val="1"/>
          <c:tx>
            <c:strRef>
              <c:f>'Data Analysis EN'!$E$1</c:f>
              <c:strCache>
                <c:ptCount val="1"/>
                <c:pt idx="0">
                  <c:v>Amount (%)</c:v>
                </c:pt>
              </c:strCache>
            </c:strRef>
          </c:tx>
          <c:dPt>
            <c:idx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C-D659-4FBD-92E1-C2208B59BA4A}"/>
              </c:ext>
            </c:extLst>
          </c:dPt>
          <c:dPt>
            <c:idx val="1"/>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E-D659-4FBD-92E1-C2208B59BA4A}"/>
              </c:ext>
            </c:extLst>
          </c:dPt>
          <c:dPt>
            <c:idx val="2"/>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10-D659-4FBD-92E1-C2208B59BA4A}"/>
              </c:ext>
            </c:extLst>
          </c:dPt>
          <c:dPt>
            <c:idx val="3"/>
            <c:bubble3D val="0"/>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12-D659-4FBD-92E1-C2208B59BA4A}"/>
              </c:ext>
            </c:extLst>
          </c:dPt>
          <c:dPt>
            <c:idx val="4"/>
            <c:bubble3D val="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14-D659-4FBD-92E1-C2208B59BA4A}"/>
              </c:ext>
            </c:extLst>
          </c:dPt>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Calibri"/>
                    <a:cs typeface="Arial" panose="020B0604020202020204" pitchFamily="34" charset="0"/>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ext>
            </c:extLst>
          </c:dLbls>
          <c:cat>
            <c:strRef>
              <c:f>'Data Analysis EN'!$A$2:$A$6</c:f>
              <c:strCache>
                <c:ptCount val="5"/>
                <c:pt idx="0">
                  <c:v>Electoral Group II</c:v>
                </c:pt>
                <c:pt idx="1">
                  <c:v>Electoral Group III</c:v>
                </c:pt>
                <c:pt idx="2">
                  <c:v>Electoral Group IV</c:v>
                </c:pt>
                <c:pt idx="3">
                  <c:v>Electoral Group V(a)</c:v>
                </c:pt>
                <c:pt idx="4">
                  <c:v>Electoral Group V(b)</c:v>
                </c:pt>
              </c:strCache>
            </c:strRef>
          </c:cat>
          <c:val>
            <c:numRef>
              <c:f>'Data Analysis EN'!$E$2:$E$6</c:f>
              <c:numCache>
                <c:formatCode>0%</c:formatCode>
                <c:ptCount val="5"/>
                <c:pt idx="0">
                  <c:v>5.9766070138400601E-2</c:v>
                </c:pt>
                <c:pt idx="1">
                  <c:v>8.0879044458468094E-2</c:v>
                </c:pt>
                <c:pt idx="2">
                  <c:v>0.11045942502257999</c:v>
                </c:pt>
                <c:pt idx="3">
                  <c:v>0.66864394144827699</c:v>
                </c:pt>
                <c:pt idx="4">
                  <c:v>8.0251518932274002E-2</c:v>
                </c:pt>
              </c:numCache>
            </c:numRef>
          </c:val>
          <c:extLst xmlns:c16r2="http://schemas.microsoft.com/office/drawing/2015/06/chart">
            <c:ext xmlns:c16="http://schemas.microsoft.com/office/drawing/2014/chart" uri="{C3380CC4-5D6E-409C-BE32-E72D297353CC}">
              <c16:uniqueId val="{00000015-D659-4FBD-92E1-C2208B59BA4A}"/>
            </c:ext>
          </c:extLst>
        </c:ser>
        <c:dLbls>
          <c:showLegendKey val="0"/>
          <c:showVal val="0"/>
          <c:showCatName val="0"/>
          <c:showSerName val="0"/>
          <c:showPercent val="0"/>
          <c:showBubbleSize val="0"/>
          <c:showLeaderLines val="0"/>
        </c:dLbls>
        <c:firstSliceAng val="0"/>
        <c:holeSize val="20"/>
      </c:doughnutChart>
      <c:spPr>
        <a:noFill/>
        <a:ln w="25400">
          <a:noFill/>
        </a:ln>
        <a:effectLst/>
      </c:spPr>
    </c:plotArea>
    <c:legend>
      <c:legendPos val="r"/>
      <c:layout>
        <c:manualLayout>
          <c:xMode val="edge"/>
          <c:yMode val="edge"/>
          <c:x val="0.76809231478712303"/>
          <c:y val="0.23779783743625099"/>
          <c:w val="0.19595365059005601"/>
          <c:h val="0.56101200224710501"/>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0000"/>
              </a:solidFill>
              <a:latin typeface="Arial" panose="020B0604020202020204" pitchFamily="34" charset="0"/>
              <a:ea typeface="Calibri"/>
              <a:cs typeface="Arial" panose="020B0604020202020204" pitchFamily="34" charset="0"/>
            </a:defRPr>
          </a:pPr>
          <a:endParaRPr lang="fr-FR"/>
        </a:p>
      </c:txPr>
    </c:legend>
    <c:plotVisOnly val="1"/>
    <c:dispBlanksAs val="gap"/>
    <c:showDLblsOverMax val="0"/>
  </c:chart>
  <c:spPr>
    <a:solidFill>
      <a:schemeClr val="bg1"/>
    </a:solidFill>
    <a:ln w="9525" cap="flat" cmpd="sng" algn="ctr">
      <a:noFill/>
      <a:prstDash val="solid"/>
      <a:round/>
    </a:ln>
    <a:effectLst/>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panose="020B0604020202020204" pitchFamily="34" charset="0"/>
                <a:ea typeface="Calibri"/>
                <a:cs typeface="Arial" panose="020B0604020202020204" pitchFamily="34" charset="0"/>
              </a:defRPr>
            </a:pPr>
            <a:r>
              <a:rPr lang="fr-FR" sz="1100">
                <a:latin typeface="Arial" panose="020B0604020202020204" pitchFamily="34" charset="0"/>
                <a:cs typeface="Arial" panose="020B0604020202020204" pitchFamily="34" charset="0"/>
              </a:rPr>
              <a:t>DISTRIBUTION BY PURPOSE</a:t>
            </a:r>
          </a:p>
        </c:rich>
      </c:tx>
      <c:layout>
        <c:manualLayout>
          <c:xMode val="edge"/>
          <c:yMode val="edge"/>
          <c:x val="0.32526351161122163"/>
          <c:y val="9.0639309772962459E-2"/>
        </c:manualLayout>
      </c:layout>
      <c:overlay val="0"/>
    </c:title>
    <c:autoTitleDeleted val="0"/>
    <c:plotArea>
      <c:layout>
        <c:manualLayout>
          <c:layoutTarget val="inner"/>
          <c:xMode val="edge"/>
          <c:yMode val="edge"/>
          <c:x val="0.15622937271249396"/>
          <c:y val="0.25227496693461621"/>
          <c:w val="0.37961964301559903"/>
          <c:h val="0.63153561411473724"/>
        </c:manualLayout>
      </c:layout>
      <c:doughnutChart>
        <c:varyColors val="1"/>
        <c:ser>
          <c:idx val="0"/>
          <c:order val="0"/>
          <c:tx>
            <c:strRef>
              <c:f>'Data Analysis EN'!$D$17</c:f>
              <c:strCache>
                <c:ptCount val="1"/>
                <c:pt idx="0">
                  <c:v>Count (%)</c:v>
                </c:pt>
              </c:strCache>
            </c:strRef>
          </c:tx>
          <c:dPt>
            <c:idx val="0"/>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1-0D27-4D43-8FBE-BFAFCE356E84}"/>
              </c:ext>
            </c:extLst>
          </c:dPt>
          <c:dPt>
            <c:idx val="1"/>
            <c:bubble3D val="0"/>
            <c:spPr>
              <a:solidFill>
                <a:schemeClr val="accent5"/>
              </a:solidFill>
            </c:spPr>
            <c:extLst xmlns:c16r2="http://schemas.microsoft.com/office/drawing/2015/06/chart">
              <c:ext xmlns:c16="http://schemas.microsoft.com/office/drawing/2014/chart" uri="{C3380CC4-5D6E-409C-BE32-E72D297353CC}">
                <c16:uniqueId val="{00000003-0D27-4D43-8FBE-BFAFCE356E84}"/>
              </c:ext>
            </c:extLst>
          </c:dPt>
          <c:dPt>
            <c:idx val="2"/>
            <c:bubble3D val="0"/>
            <c:spPr>
              <a:solidFill>
                <a:schemeClr val="accent4">
                  <a:lumMod val="75000"/>
                </a:schemeClr>
              </a:solidFill>
            </c:spPr>
            <c:extLst xmlns:c16r2="http://schemas.microsoft.com/office/drawing/2015/06/chart">
              <c:ext xmlns:c16="http://schemas.microsoft.com/office/drawing/2014/chart" uri="{C3380CC4-5D6E-409C-BE32-E72D297353CC}">
                <c16:uniqueId val="{00000005-0D27-4D43-8FBE-BFAFCE356E84}"/>
              </c:ext>
            </c:extLst>
          </c:dPt>
          <c:dPt>
            <c:idx val="3"/>
            <c:bubble3D val="0"/>
            <c:spPr>
              <a:solidFill>
                <a:schemeClr val="accent6">
                  <a:lumMod val="50000"/>
                </a:schemeClr>
              </a:solidFill>
            </c:spPr>
            <c:extLst xmlns:c16r2="http://schemas.microsoft.com/office/drawing/2015/06/chart">
              <c:ext xmlns:c16="http://schemas.microsoft.com/office/drawing/2014/chart" uri="{C3380CC4-5D6E-409C-BE32-E72D297353CC}">
                <c16:uniqueId val="{00000007-0D27-4D43-8FBE-BFAFCE356E84}"/>
              </c:ext>
            </c:extLst>
          </c:dPt>
          <c:dPt>
            <c:idx val="4"/>
            <c:bubble3D val="0"/>
            <c:spPr>
              <a:solidFill>
                <a:schemeClr val="accent5">
                  <a:lumMod val="50000"/>
                </a:schemeClr>
              </a:solidFill>
            </c:spPr>
            <c:extLst xmlns:c16r2="http://schemas.microsoft.com/office/drawing/2015/06/chart">
              <c:ext xmlns:c16="http://schemas.microsoft.com/office/drawing/2014/chart" uri="{C3380CC4-5D6E-409C-BE32-E72D297353CC}">
                <c16:uniqueId val="{00000009-0D27-4D43-8FBE-BFAFCE356E84}"/>
              </c:ext>
            </c:extLst>
          </c:dPt>
          <c:dLbls>
            <c:dLbl>
              <c:idx val="0"/>
              <c:layout>
                <c:manualLayout>
                  <c:x val="4.0373451245004381E-3"/>
                  <c:y val="-2.3509655751469415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0D27-4D43-8FBE-BFAFCE356E84}"/>
                </c:ext>
                <c:ext xmlns:c15="http://schemas.microsoft.com/office/drawing/2012/chart" uri="{CE6537A1-D6FC-4f65-9D91-7224C49458BB}">
                  <c15:layout/>
                </c:ext>
              </c:extLst>
            </c:dLbl>
            <c:spPr>
              <a:noFill/>
              <a:ln w="25400">
                <a:noFill/>
              </a:ln>
            </c:spPr>
            <c:txPr>
              <a:bodyPr/>
              <a:lstStyle/>
              <a:p>
                <a:pPr>
                  <a:defRPr sz="800" b="1" i="0" u="none" strike="noStrike" baseline="0">
                    <a:solidFill>
                      <a:srgbClr val="FFFFFF"/>
                    </a:solidFill>
                    <a:latin typeface="Arial" panose="020B0604020202020204" pitchFamily="34" charset="0"/>
                    <a:ea typeface="Calibri"/>
                    <a:cs typeface="Arial" panose="020B0604020202020204" pitchFamily="34" charset="0"/>
                  </a:defRPr>
                </a:pPr>
                <a:endParaRPr lang="fr-FR"/>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'Data Analysis EN'!$A$18:$A$22</c:f>
              <c:strCache>
                <c:ptCount val="5"/>
                <c:pt idx="0">
                  <c:v>Safeguarding of the heritage inscribed on the Urgent Safeguarding List</c:v>
                </c:pt>
                <c:pt idx="1">
                  <c:v>Preparation of inventories</c:v>
                </c:pt>
                <c:pt idx="2">
                  <c:v>Programmes, projects and activities aimed at safeguarding</c:v>
                </c:pt>
                <c:pt idx="3">
                  <c:v>Preparatory assistance for the Register of Best Safeguarding Practices</c:v>
                </c:pt>
                <c:pt idx="4">
                  <c:v>Preparatory assistance for nominations to the Urgent Safeguarding List</c:v>
                </c:pt>
              </c:strCache>
            </c:strRef>
          </c:cat>
          <c:val>
            <c:numRef>
              <c:f>'Data Analysis EN'!$D$18:$D$22</c:f>
              <c:numCache>
                <c:formatCode>0%</c:formatCode>
                <c:ptCount val="5"/>
                <c:pt idx="0">
                  <c:v>7.407407407407407E-2</c:v>
                </c:pt>
                <c:pt idx="1">
                  <c:v>0.37037037037037035</c:v>
                </c:pt>
                <c:pt idx="2">
                  <c:v>0.20370370370370369</c:v>
                </c:pt>
                <c:pt idx="3">
                  <c:v>3.7037037037037035E-2</c:v>
                </c:pt>
                <c:pt idx="4">
                  <c:v>0.31481481481481483</c:v>
                </c:pt>
              </c:numCache>
            </c:numRef>
          </c:val>
          <c:extLst xmlns:c16r2="http://schemas.microsoft.com/office/drawing/2015/06/chart">
            <c:ext xmlns:c16="http://schemas.microsoft.com/office/drawing/2014/chart" uri="{C3380CC4-5D6E-409C-BE32-E72D297353CC}">
              <c16:uniqueId val="{0000000A-0D27-4D43-8FBE-BFAFCE356E84}"/>
            </c:ext>
          </c:extLst>
        </c:ser>
        <c:ser>
          <c:idx val="1"/>
          <c:order val="1"/>
          <c:tx>
            <c:strRef>
              <c:f>'Data Analysis EN'!$E$17</c:f>
              <c:strCache>
                <c:ptCount val="1"/>
                <c:pt idx="0">
                  <c:v>Amount (%)</c:v>
                </c:pt>
              </c:strCache>
            </c:strRef>
          </c:tx>
          <c:dPt>
            <c:idx val="0"/>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C-0D27-4D43-8FBE-BFAFCE356E84}"/>
              </c:ext>
            </c:extLst>
          </c:dPt>
          <c:dPt>
            <c:idx val="1"/>
            <c:bubble3D val="0"/>
            <c:spPr>
              <a:solidFill>
                <a:schemeClr val="accent5"/>
              </a:solidFill>
            </c:spPr>
            <c:extLst xmlns:c16r2="http://schemas.microsoft.com/office/drawing/2015/06/chart">
              <c:ext xmlns:c16="http://schemas.microsoft.com/office/drawing/2014/chart" uri="{C3380CC4-5D6E-409C-BE32-E72D297353CC}">
                <c16:uniqueId val="{0000000E-0D27-4D43-8FBE-BFAFCE356E84}"/>
              </c:ext>
            </c:extLst>
          </c:dPt>
          <c:dPt>
            <c:idx val="2"/>
            <c:bubble3D val="0"/>
            <c:spPr>
              <a:solidFill>
                <a:schemeClr val="accent4">
                  <a:lumMod val="75000"/>
                </a:schemeClr>
              </a:solidFill>
            </c:spPr>
            <c:extLst xmlns:c16r2="http://schemas.microsoft.com/office/drawing/2015/06/chart">
              <c:ext xmlns:c16="http://schemas.microsoft.com/office/drawing/2014/chart" uri="{C3380CC4-5D6E-409C-BE32-E72D297353CC}">
                <c16:uniqueId val="{00000010-0D27-4D43-8FBE-BFAFCE356E84}"/>
              </c:ext>
            </c:extLst>
          </c:dPt>
          <c:dPt>
            <c:idx val="3"/>
            <c:bubble3D val="0"/>
            <c:spPr>
              <a:solidFill>
                <a:schemeClr val="accent6">
                  <a:lumMod val="50000"/>
                </a:schemeClr>
              </a:solidFill>
            </c:spPr>
            <c:extLst xmlns:c16r2="http://schemas.microsoft.com/office/drawing/2015/06/chart">
              <c:ext xmlns:c16="http://schemas.microsoft.com/office/drawing/2014/chart" uri="{C3380CC4-5D6E-409C-BE32-E72D297353CC}">
                <c16:uniqueId val="{00000012-0D27-4D43-8FBE-BFAFCE356E84}"/>
              </c:ext>
            </c:extLst>
          </c:dPt>
          <c:dPt>
            <c:idx val="4"/>
            <c:bubble3D val="0"/>
            <c:spPr>
              <a:solidFill>
                <a:schemeClr val="accent5">
                  <a:lumMod val="50000"/>
                </a:schemeClr>
              </a:solidFill>
            </c:spPr>
            <c:extLst xmlns:c16r2="http://schemas.microsoft.com/office/drawing/2015/06/chart">
              <c:ext xmlns:c16="http://schemas.microsoft.com/office/drawing/2014/chart" uri="{C3380CC4-5D6E-409C-BE32-E72D297353CC}">
                <c16:uniqueId val="{00000014-0D27-4D43-8FBE-BFAFCE356E84}"/>
              </c:ext>
            </c:extLst>
          </c:dPt>
          <c:dLbls>
            <c:spPr>
              <a:ln w="25400">
                <a:noFill/>
              </a:ln>
            </c:spPr>
            <c:txPr>
              <a:bodyPr/>
              <a:lstStyle/>
              <a:p>
                <a:pPr>
                  <a:defRPr sz="800" b="1" i="0" u="none" strike="noStrike" baseline="0">
                    <a:solidFill>
                      <a:srgbClr val="FFFFFF"/>
                    </a:solidFill>
                    <a:latin typeface="Arial" panose="020B0604020202020204" pitchFamily="34" charset="0"/>
                    <a:ea typeface="Calibri"/>
                    <a:cs typeface="Arial" panose="020B0604020202020204" pitchFamily="34" charset="0"/>
                  </a:defRPr>
                </a:pPr>
                <a:endParaRPr lang="fr-FR"/>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'Data Analysis EN'!$A$18:$A$22</c:f>
              <c:strCache>
                <c:ptCount val="5"/>
                <c:pt idx="0">
                  <c:v>Safeguarding of the heritage inscribed on the Urgent Safeguarding List</c:v>
                </c:pt>
                <c:pt idx="1">
                  <c:v>Preparation of inventories</c:v>
                </c:pt>
                <c:pt idx="2">
                  <c:v>Programmes, projects and activities aimed at safeguarding</c:v>
                </c:pt>
                <c:pt idx="3">
                  <c:v>Preparatory assistance for the Register of Best Safeguarding Practices</c:v>
                </c:pt>
                <c:pt idx="4">
                  <c:v>Preparatory assistance for nominations to the Urgent Safeguarding List</c:v>
                </c:pt>
              </c:strCache>
            </c:strRef>
          </c:cat>
          <c:val>
            <c:numRef>
              <c:f>'Data Analysis EN'!$E$18:$E$22</c:f>
              <c:numCache>
                <c:formatCode>0%</c:formatCode>
                <c:ptCount val="5"/>
                <c:pt idx="0">
                  <c:v>0.17691339489255553</c:v>
                </c:pt>
                <c:pt idx="1">
                  <c:v>0.66148767385443563</c:v>
                </c:pt>
                <c:pt idx="2">
                  <c:v>0.10291345788548358</c:v>
                </c:pt>
                <c:pt idx="3">
                  <c:v>6.3007496245845842E-3</c:v>
                </c:pt>
                <c:pt idx="4">
                  <c:v>5.2384723742940717E-2</c:v>
                </c:pt>
              </c:numCache>
            </c:numRef>
          </c:val>
          <c:extLst xmlns:c16r2="http://schemas.microsoft.com/office/drawing/2015/06/chart">
            <c:ext xmlns:c16="http://schemas.microsoft.com/office/drawing/2014/chart" uri="{C3380CC4-5D6E-409C-BE32-E72D297353CC}">
              <c16:uniqueId val="{00000015-0D27-4D43-8FBE-BFAFCE356E84}"/>
            </c:ext>
          </c:extLst>
        </c:ser>
        <c:dLbls>
          <c:showLegendKey val="0"/>
          <c:showVal val="0"/>
          <c:showCatName val="0"/>
          <c:showSerName val="0"/>
          <c:showPercent val="0"/>
          <c:showBubbleSize val="0"/>
          <c:showLeaderLines val="0"/>
        </c:dLbls>
        <c:firstSliceAng val="0"/>
        <c:holeSize val="17"/>
      </c:doughnutChart>
      <c:spPr>
        <a:noFill/>
        <a:ln w="25400">
          <a:noFill/>
        </a:ln>
      </c:spPr>
    </c:plotArea>
    <c:legend>
      <c:legendPos val="r"/>
      <c:layout>
        <c:manualLayout>
          <c:xMode val="edge"/>
          <c:yMode val="edge"/>
          <c:x val="0.64849871141672899"/>
          <c:y val="0.19970831102031641"/>
          <c:w val="0.33938931841664588"/>
          <c:h val="0.57704926570862713"/>
        </c:manualLayout>
      </c:layout>
      <c:overlay val="0"/>
      <c:txPr>
        <a:bodyPr/>
        <a:lstStyle/>
        <a:p>
          <a:pPr rtl="0">
            <a:defRPr sz="900" b="0" i="0" u="none" strike="noStrike" baseline="0">
              <a:solidFill>
                <a:srgbClr val="000000"/>
              </a:solidFill>
              <a:latin typeface="Arial" panose="020B0604020202020204" pitchFamily="34" charset="0"/>
              <a:ea typeface="Calibri"/>
              <a:cs typeface="Arial" panose="020B0604020202020204" pitchFamily="34" charset="0"/>
            </a:defRPr>
          </a:pPr>
          <a:endParaRPr lang="fr-FR"/>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rgbClr val="000000"/>
                </a:solidFill>
                <a:latin typeface="Arial" panose="020B0604020202020204" pitchFamily="34" charset="0"/>
                <a:ea typeface="Calibri"/>
                <a:cs typeface="Arial" panose="020B0604020202020204" pitchFamily="34" charset="0"/>
              </a:defRPr>
            </a:pPr>
            <a:r>
              <a:rPr lang="fr-FR" sz="1100">
                <a:latin typeface="Arial" panose="020B0604020202020204" pitchFamily="34" charset="0"/>
                <a:cs typeface="Arial" panose="020B0604020202020204" pitchFamily="34" charset="0"/>
              </a:rPr>
              <a:t>EVOLUTION BY PURPOSE</a:t>
            </a:r>
          </a:p>
        </c:rich>
      </c:tx>
      <c:layout>
        <c:manualLayout>
          <c:xMode val="edge"/>
          <c:yMode val="edge"/>
          <c:x val="0.32261935760730875"/>
          <c:y val="4.3333333333333335E-2"/>
        </c:manualLayout>
      </c:layout>
      <c:overlay val="1"/>
      <c:spPr>
        <a:noFill/>
        <a:ln>
          <a:noFill/>
        </a:ln>
        <a:effectLst/>
      </c:spPr>
    </c:title>
    <c:autoTitleDeleted val="0"/>
    <c:plotArea>
      <c:layout>
        <c:manualLayout>
          <c:layoutTarget val="inner"/>
          <c:xMode val="edge"/>
          <c:yMode val="edge"/>
          <c:x val="0.11177827268761326"/>
          <c:y val="4.0341732283464569E-2"/>
          <c:w val="0.66288012135439611"/>
          <c:h val="0.87948608923884519"/>
        </c:manualLayout>
      </c:layout>
      <c:barChart>
        <c:barDir val="col"/>
        <c:grouping val="clustered"/>
        <c:varyColors val="0"/>
        <c:ser>
          <c:idx val="0"/>
          <c:order val="0"/>
          <c:tx>
            <c:strRef>
              <c:f>'Data Analysis EN'!$H$18</c:f>
              <c:strCache>
                <c:ptCount val="1"/>
                <c:pt idx="0">
                  <c:v>Safeguarding of the heritage inscribed on the Urgent Safeguarding List</c:v>
                </c:pt>
              </c:strCache>
            </c:strRef>
          </c:tx>
          <c:spPr>
            <a:solidFill>
              <a:schemeClr val="accent6"/>
            </a:solidFill>
            <a:ln>
              <a:noFill/>
            </a:ln>
            <a:effectLst/>
          </c:spPr>
          <c:invertIfNegative val="0"/>
          <c:cat>
            <c:strRef>
              <c:f>'Data Analysis EN'!$I$17:$P$17</c:f>
              <c:strCache>
                <c:ptCount val="8"/>
                <c:pt idx="0">
                  <c:v>2008</c:v>
                </c:pt>
                <c:pt idx="1">
                  <c:v>2009</c:v>
                </c:pt>
                <c:pt idx="2">
                  <c:v>2010</c:v>
                </c:pt>
                <c:pt idx="3">
                  <c:v>2012</c:v>
                </c:pt>
                <c:pt idx="4">
                  <c:v>2013</c:v>
                </c:pt>
                <c:pt idx="5">
                  <c:v>2014</c:v>
                </c:pt>
                <c:pt idx="6">
                  <c:v>2015</c:v>
                </c:pt>
                <c:pt idx="7">
                  <c:v>2016</c:v>
                </c:pt>
              </c:strCache>
            </c:strRef>
          </c:cat>
          <c:val>
            <c:numRef>
              <c:f>'Data Analysis EN'!$I$18:$P$18</c:f>
              <c:numCache>
                <c:formatCode>_-[$$-409]* #.##0\.00_ ;_-[$$-409]* \-#.##0\.00\ ;_-[$$-409]* "-"??_ ;_-@_ </c:formatCode>
                <c:ptCount val="8"/>
                <c:pt idx="0">
                  <c:v>0</c:v>
                </c:pt>
                <c:pt idx="1">
                  <c:v>150580</c:v>
                </c:pt>
                <c:pt idx="3">
                  <c:v>107000</c:v>
                </c:pt>
                <c:pt idx="6">
                  <c:v>24990</c:v>
                </c:pt>
              </c:numCache>
            </c:numRef>
          </c:val>
          <c:extLst xmlns:c16r2="http://schemas.microsoft.com/office/drawing/2015/06/chart">
            <c:ext xmlns:c16="http://schemas.microsoft.com/office/drawing/2014/chart" uri="{C3380CC4-5D6E-409C-BE32-E72D297353CC}">
              <c16:uniqueId val="{00000000-CE78-4E47-BEB2-D558C528F860}"/>
            </c:ext>
          </c:extLst>
        </c:ser>
        <c:ser>
          <c:idx val="1"/>
          <c:order val="1"/>
          <c:tx>
            <c:strRef>
              <c:f>'Data Analysis EN'!$H$19</c:f>
              <c:strCache>
                <c:ptCount val="1"/>
                <c:pt idx="0">
                  <c:v>Preparation of inventories </c:v>
                </c:pt>
              </c:strCache>
            </c:strRef>
          </c:tx>
          <c:spPr>
            <a:solidFill>
              <a:schemeClr val="accent5"/>
            </a:solidFill>
            <a:ln>
              <a:noFill/>
            </a:ln>
            <a:effectLst/>
          </c:spPr>
          <c:invertIfNegative val="0"/>
          <c:cat>
            <c:strRef>
              <c:f>'Data Analysis EN'!$I$17:$P$17</c:f>
              <c:strCache>
                <c:ptCount val="8"/>
                <c:pt idx="0">
                  <c:v>2008</c:v>
                </c:pt>
                <c:pt idx="1">
                  <c:v>2009</c:v>
                </c:pt>
                <c:pt idx="2">
                  <c:v>2010</c:v>
                </c:pt>
                <c:pt idx="3">
                  <c:v>2012</c:v>
                </c:pt>
                <c:pt idx="4">
                  <c:v>2013</c:v>
                </c:pt>
                <c:pt idx="5">
                  <c:v>2014</c:v>
                </c:pt>
                <c:pt idx="6">
                  <c:v>2015</c:v>
                </c:pt>
                <c:pt idx="7">
                  <c:v>2016</c:v>
                </c:pt>
              </c:strCache>
            </c:strRef>
          </c:cat>
          <c:val>
            <c:numRef>
              <c:f>'Data Analysis EN'!$I$19:$P$19</c:f>
              <c:numCache>
                <c:formatCode>_-[$$-409]* #.##0\.00_ ;_-[$$-409]* \-#.##0\.00\ ;_-[$$-409]* "-"??_ ;_-@_ </c:formatCode>
                <c:ptCount val="8"/>
                <c:pt idx="0">
                  <c:v>0</c:v>
                </c:pt>
                <c:pt idx="1">
                  <c:v>144100.60999999999</c:v>
                </c:pt>
                <c:pt idx="2">
                  <c:v>158100</c:v>
                </c:pt>
                <c:pt idx="3">
                  <c:v>583816.23</c:v>
                </c:pt>
                <c:pt idx="4">
                  <c:v>307307</c:v>
                </c:pt>
                <c:pt idx="5">
                  <c:v>0</c:v>
                </c:pt>
                <c:pt idx="6">
                  <c:v>548000</c:v>
                </c:pt>
                <c:pt idx="7">
                  <c:v>74926.200000000012</c:v>
                </c:pt>
              </c:numCache>
            </c:numRef>
          </c:val>
          <c:extLst xmlns:c16r2="http://schemas.microsoft.com/office/drawing/2015/06/chart">
            <c:ext xmlns:c16="http://schemas.microsoft.com/office/drawing/2014/chart" uri="{C3380CC4-5D6E-409C-BE32-E72D297353CC}">
              <c16:uniqueId val="{00000001-CE78-4E47-BEB2-D558C528F860}"/>
            </c:ext>
          </c:extLst>
        </c:ser>
        <c:ser>
          <c:idx val="2"/>
          <c:order val="2"/>
          <c:tx>
            <c:strRef>
              <c:f>'Data Analysis EN'!$H$20</c:f>
              <c:strCache>
                <c:ptCount val="1"/>
                <c:pt idx="0">
                  <c:v>Programmes, projects and activities aimed at safeguarding</c:v>
                </c:pt>
              </c:strCache>
            </c:strRef>
          </c:tx>
          <c:spPr>
            <a:solidFill>
              <a:schemeClr val="accent4"/>
            </a:solidFill>
            <a:ln>
              <a:noFill/>
            </a:ln>
            <a:effectLst/>
          </c:spPr>
          <c:invertIfNegative val="0"/>
          <c:cat>
            <c:strRef>
              <c:f>'Data Analysis EN'!$I$17:$P$17</c:f>
              <c:strCache>
                <c:ptCount val="8"/>
                <c:pt idx="0">
                  <c:v>2008</c:v>
                </c:pt>
                <c:pt idx="1">
                  <c:v>2009</c:v>
                </c:pt>
                <c:pt idx="2">
                  <c:v>2010</c:v>
                </c:pt>
                <c:pt idx="3">
                  <c:v>2012</c:v>
                </c:pt>
                <c:pt idx="4">
                  <c:v>2013</c:v>
                </c:pt>
                <c:pt idx="5">
                  <c:v>2014</c:v>
                </c:pt>
                <c:pt idx="6">
                  <c:v>2015</c:v>
                </c:pt>
                <c:pt idx="7">
                  <c:v>2016</c:v>
                </c:pt>
              </c:strCache>
            </c:strRef>
          </c:cat>
          <c:val>
            <c:numRef>
              <c:f>'Data Analysis EN'!$I$20:$P$20</c:f>
              <c:numCache>
                <c:formatCode>_-[$$-409]* #.##0\.00_ ;_-[$$-409]* \-#.##0\.00\ ;_-[$$-409]* "-"??_ ;_-@_ </c:formatCode>
                <c:ptCount val="8"/>
                <c:pt idx="0">
                  <c:v>0</c:v>
                </c:pt>
                <c:pt idx="1">
                  <c:v>12167</c:v>
                </c:pt>
                <c:pt idx="2">
                  <c:v>25000</c:v>
                </c:pt>
                <c:pt idx="3">
                  <c:v>25000</c:v>
                </c:pt>
                <c:pt idx="4">
                  <c:v>211506</c:v>
                </c:pt>
                <c:pt idx="5">
                  <c:v>49250</c:v>
                </c:pt>
                <c:pt idx="6">
                  <c:v>114441</c:v>
                </c:pt>
                <c:pt idx="7">
                  <c:v>48388</c:v>
                </c:pt>
              </c:numCache>
            </c:numRef>
          </c:val>
          <c:extLst xmlns:c16r2="http://schemas.microsoft.com/office/drawing/2015/06/chart">
            <c:ext xmlns:c16="http://schemas.microsoft.com/office/drawing/2014/chart" uri="{C3380CC4-5D6E-409C-BE32-E72D297353CC}">
              <c16:uniqueId val="{00000002-CE78-4E47-BEB2-D558C528F860}"/>
            </c:ext>
          </c:extLst>
        </c:ser>
        <c:ser>
          <c:idx val="4"/>
          <c:order val="3"/>
          <c:tx>
            <c:strRef>
              <c:f>'Data Analysis EN'!$H$21</c:f>
              <c:strCache>
                <c:ptCount val="1"/>
                <c:pt idx="0">
                  <c:v>Preparatory assistance for the Register of Best Safeguarding Practices</c:v>
                </c:pt>
              </c:strCache>
            </c:strRef>
          </c:tx>
          <c:spPr>
            <a:solidFill>
              <a:schemeClr val="accent5">
                <a:lumMod val="60000"/>
              </a:schemeClr>
            </a:solidFill>
            <a:ln>
              <a:noFill/>
            </a:ln>
            <a:effectLst/>
          </c:spPr>
          <c:invertIfNegative val="0"/>
          <c:cat>
            <c:strRef>
              <c:f>'Data Analysis EN'!$I$17:$P$17</c:f>
              <c:strCache>
                <c:ptCount val="8"/>
                <c:pt idx="0">
                  <c:v>2008</c:v>
                </c:pt>
                <c:pt idx="1">
                  <c:v>2009</c:v>
                </c:pt>
                <c:pt idx="2">
                  <c:v>2010</c:v>
                </c:pt>
                <c:pt idx="3">
                  <c:v>2012</c:v>
                </c:pt>
                <c:pt idx="4">
                  <c:v>2013</c:v>
                </c:pt>
                <c:pt idx="5">
                  <c:v>2014</c:v>
                </c:pt>
                <c:pt idx="6">
                  <c:v>2015</c:v>
                </c:pt>
                <c:pt idx="7">
                  <c:v>2016</c:v>
                </c:pt>
              </c:strCache>
            </c:strRef>
          </c:cat>
          <c:val>
            <c:numRef>
              <c:f>'Data Analysis EN'!$I$21:$P$21</c:f>
              <c:numCache>
                <c:formatCode>_-[$$-409]* #.##0\.00_ ;_-[$$-409]* \-#.##0\.00\ ;_-[$$-409]* "-"??_ ;_-@_ </c:formatCode>
                <c:ptCount val="8"/>
                <c:pt idx="0">
                  <c:v>7500</c:v>
                </c:pt>
                <c:pt idx="1">
                  <c:v>9800</c:v>
                </c:pt>
                <c:pt idx="2">
                  <c:v>0</c:v>
                </c:pt>
                <c:pt idx="3">
                  <c:v>0</c:v>
                </c:pt>
                <c:pt idx="4">
                  <c:v>0</c:v>
                </c:pt>
                <c:pt idx="5">
                  <c:v>0</c:v>
                </c:pt>
                <c:pt idx="6">
                  <c:v>0</c:v>
                </c:pt>
                <c:pt idx="7">
                  <c:v>0</c:v>
                </c:pt>
              </c:numCache>
            </c:numRef>
          </c:val>
          <c:extLst xmlns:c16r2="http://schemas.microsoft.com/office/drawing/2015/06/chart">
            <c:ext xmlns:c16="http://schemas.microsoft.com/office/drawing/2014/chart" uri="{C3380CC4-5D6E-409C-BE32-E72D297353CC}">
              <c16:uniqueId val="{00000003-CE78-4E47-BEB2-D558C528F860}"/>
            </c:ext>
          </c:extLst>
        </c:ser>
        <c:ser>
          <c:idx val="5"/>
          <c:order val="4"/>
          <c:tx>
            <c:strRef>
              <c:f>'Data Analysis EN'!$H$22</c:f>
              <c:strCache>
                <c:ptCount val="1"/>
                <c:pt idx="0">
                  <c:v>Preparatory assistance for nominations to the Urgent Safeguarding List</c:v>
                </c:pt>
              </c:strCache>
            </c:strRef>
          </c:tx>
          <c:spPr>
            <a:solidFill>
              <a:schemeClr val="accent4">
                <a:lumMod val="60000"/>
              </a:schemeClr>
            </a:solidFill>
            <a:ln>
              <a:noFill/>
            </a:ln>
            <a:effectLst/>
          </c:spPr>
          <c:invertIfNegative val="0"/>
          <c:cat>
            <c:strRef>
              <c:f>'Data Analysis EN'!$I$17:$P$17</c:f>
              <c:strCache>
                <c:ptCount val="8"/>
                <c:pt idx="0">
                  <c:v>2008</c:v>
                </c:pt>
                <c:pt idx="1">
                  <c:v>2009</c:v>
                </c:pt>
                <c:pt idx="2">
                  <c:v>2010</c:v>
                </c:pt>
                <c:pt idx="3">
                  <c:v>2012</c:v>
                </c:pt>
                <c:pt idx="4">
                  <c:v>2013</c:v>
                </c:pt>
                <c:pt idx="5">
                  <c:v>2014</c:v>
                </c:pt>
                <c:pt idx="6">
                  <c:v>2015</c:v>
                </c:pt>
                <c:pt idx="7">
                  <c:v>2016</c:v>
                </c:pt>
              </c:strCache>
            </c:strRef>
          </c:cat>
          <c:val>
            <c:numRef>
              <c:f>'Data Analysis EN'!$I$22:$P$22</c:f>
              <c:numCache>
                <c:formatCode>_-[$$-409]* #.##0\.00_ ;_-[$$-409]* \-#.##0\.00\ ;_-[$$-409]* "-"??_ ;_-@_ </c:formatCode>
                <c:ptCount val="8"/>
                <c:pt idx="0">
                  <c:v>41500</c:v>
                </c:pt>
                <c:pt idx="1">
                  <c:v>41995</c:v>
                </c:pt>
                <c:pt idx="2">
                  <c:v>0</c:v>
                </c:pt>
                <c:pt idx="3">
                  <c:v>18570</c:v>
                </c:pt>
                <c:pt idx="4">
                  <c:v>27668</c:v>
                </c:pt>
                <c:pt idx="5">
                  <c:v>14100</c:v>
                </c:pt>
                <c:pt idx="6">
                  <c:v>0</c:v>
                </c:pt>
                <c:pt idx="7">
                  <c:v>0</c:v>
                </c:pt>
              </c:numCache>
            </c:numRef>
          </c:val>
          <c:extLst xmlns:c16r2="http://schemas.microsoft.com/office/drawing/2015/06/chart">
            <c:ext xmlns:c16="http://schemas.microsoft.com/office/drawing/2014/chart" uri="{C3380CC4-5D6E-409C-BE32-E72D297353CC}">
              <c16:uniqueId val="{00000004-CE78-4E47-BEB2-D558C528F860}"/>
            </c:ext>
          </c:extLst>
        </c:ser>
        <c:dLbls>
          <c:showLegendKey val="0"/>
          <c:showVal val="0"/>
          <c:showCatName val="0"/>
          <c:showSerName val="0"/>
          <c:showPercent val="0"/>
          <c:showBubbleSize val="0"/>
        </c:dLbls>
        <c:gapWidth val="150"/>
        <c:axId val="224032256"/>
        <c:axId val="133190144"/>
      </c:barChart>
      <c:catAx>
        <c:axId val="224032256"/>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800" b="1" i="0" u="none" strike="noStrike" kern="1200" baseline="0">
                <a:solidFill>
                  <a:srgbClr val="000000"/>
                </a:solidFill>
                <a:latin typeface="Arial" panose="020B0604020202020204" pitchFamily="34" charset="0"/>
                <a:ea typeface="Calibri"/>
                <a:cs typeface="Arial" panose="020B0604020202020204" pitchFamily="34" charset="0"/>
              </a:defRPr>
            </a:pPr>
            <a:endParaRPr lang="fr-FR"/>
          </a:p>
        </c:txPr>
        <c:crossAx val="133190144"/>
        <c:crosses val="autoZero"/>
        <c:auto val="1"/>
        <c:lblAlgn val="ctr"/>
        <c:lblOffset val="100"/>
        <c:noMultiLvlLbl val="0"/>
      </c:catAx>
      <c:valAx>
        <c:axId val="133190144"/>
        <c:scaling>
          <c:orientation val="minMax"/>
        </c:scaling>
        <c:delete val="0"/>
        <c:axPos val="l"/>
        <c:numFmt formatCode="[$$-409]#,##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800" b="1" i="0" u="none" strike="noStrike" kern="1200" baseline="0">
                <a:solidFill>
                  <a:srgbClr val="000000"/>
                </a:solidFill>
                <a:latin typeface="Arial" panose="020B0604020202020204" pitchFamily="34" charset="0"/>
                <a:ea typeface="Calibri"/>
                <a:cs typeface="Arial" panose="020B0604020202020204" pitchFamily="34" charset="0"/>
              </a:defRPr>
            </a:pPr>
            <a:endParaRPr lang="fr-FR"/>
          </a:p>
        </c:txPr>
        <c:crossAx val="224032256"/>
        <c:crosses val="autoZero"/>
        <c:crossBetween val="between"/>
      </c:valAx>
      <c:spPr>
        <a:solidFill>
          <a:schemeClr val="bg1"/>
        </a:solidFill>
        <a:ln>
          <a:noFill/>
        </a:ln>
        <a:effectLst/>
      </c:spPr>
    </c:plotArea>
    <c:legend>
      <c:legendPos val="r"/>
      <c:layout>
        <c:manualLayout>
          <c:xMode val="edge"/>
          <c:yMode val="edge"/>
          <c:x val="0.79674982840661079"/>
          <c:y val="1.8464090952361529E-2"/>
          <c:w val="0.19463775157390339"/>
          <c:h val="0.95698992638773628"/>
        </c:manualLayout>
      </c:layout>
      <c:overlay val="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Arial" panose="020B0604020202020204" pitchFamily="34" charset="0"/>
              <a:ea typeface="Calibri"/>
              <a:cs typeface="Arial" panose="020B0604020202020204" pitchFamily="34" charset="0"/>
            </a:defRPr>
          </a:pPr>
          <a:endParaRPr lang="fr-FR"/>
        </a:p>
      </c:txPr>
    </c:legend>
    <c:plotVisOnly val="1"/>
    <c:dispBlanksAs val="gap"/>
    <c:showDLblsOverMax val="0"/>
  </c:chart>
  <c:spPr>
    <a:solidFill>
      <a:schemeClr val="bg1"/>
    </a:solidFill>
    <a:ln w="9525" cap="flat" cmpd="sng" algn="ctr">
      <a:noFill/>
      <a:prstDash val="solid"/>
      <a:round/>
    </a:ln>
    <a:effectLst/>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rgbClr val="000000"/>
                </a:solidFill>
                <a:latin typeface="Arial" panose="020B0604020202020204" pitchFamily="34" charset="0"/>
                <a:ea typeface="Calibri"/>
                <a:cs typeface="Arial" panose="020B0604020202020204" pitchFamily="34" charset="0"/>
              </a:defRPr>
            </a:pPr>
            <a:r>
              <a:rPr lang="fr-FR" sz="1100">
                <a:latin typeface="Arial" panose="020B0604020202020204" pitchFamily="34" charset="0"/>
                <a:cs typeface="Arial" panose="020B0604020202020204" pitchFamily="34" charset="0"/>
              </a:rPr>
              <a:t>DISTRIBUTION BY TYPE</a:t>
            </a:r>
          </a:p>
        </c:rich>
      </c:tx>
      <c:layout/>
      <c:overlay val="0"/>
      <c:spPr>
        <a:noFill/>
        <a:ln>
          <a:noFill/>
        </a:ln>
        <a:effectLst/>
      </c:spPr>
    </c:title>
    <c:autoTitleDeleted val="0"/>
    <c:plotArea>
      <c:layout>
        <c:manualLayout>
          <c:layoutTarget val="inner"/>
          <c:xMode val="edge"/>
          <c:yMode val="edge"/>
          <c:x val="0.105338835657591"/>
          <c:y val="0.19388050177938301"/>
          <c:w val="0.42787654555228799"/>
          <c:h val="0.71205520362586305"/>
        </c:manualLayout>
      </c:layout>
      <c:doughnutChart>
        <c:varyColors val="1"/>
        <c:ser>
          <c:idx val="0"/>
          <c:order val="0"/>
          <c:tx>
            <c:strRef>
              <c:f>'Data Analysis EN'!$D$9</c:f>
              <c:strCache>
                <c:ptCount val="1"/>
                <c:pt idx="0">
                  <c:v>Count (%)</c:v>
                </c:pt>
              </c:strCache>
            </c:strRef>
          </c:tx>
          <c:dPt>
            <c:idx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74B3-4E71-823A-67574CF06D2F}"/>
              </c:ext>
            </c:extLst>
          </c:dPt>
          <c:dPt>
            <c:idx val="1"/>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3-74B3-4E71-823A-67574CF06D2F}"/>
              </c:ext>
            </c:extLst>
          </c:dPt>
          <c:dPt>
            <c:idx val="2"/>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5-74B3-4E71-823A-67574CF06D2F}"/>
              </c:ext>
            </c:extLst>
          </c:dPt>
          <c:dPt>
            <c:idx val="3"/>
            <c:bubble3D val="0"/>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07-74B3-4E71-823A-67574CF06D2F}"/>
              </c:ext>
            </c:extLst>
          </c:dPt>
          <c:dPt>
            <c:idx val="4"/>
            <c:bubble3D val="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09-74B3-4E71-823A-67574CF06D2F}"/>
              </c:ext>
            </c:extLst>
          </c:dPt>
          <c:dLbls>
            <c:dLbl>
              <c:idx val="3"/>
              <c:layout>
                <c:manualLayout>
                  <c:x val="6.0240963855421699E-3"/>
                  <c:y val="0"/>
                </c:manualLayout>
              </c:layout>
              <c:spPr>
                <a:noFill/>
                <a:ln>
                  <a:noFill/>
                </a:ln>
                <a:effectLst/>
              </c:spPr>
              <c:txPr>
                <a:bodyPr rot="0" spcFirstLastPara="1" vertOverflow="ellipsis" vert="horz" wrap="square" anchor="ctr" anchorCtr="1"/>
                <a:lstStyle/>
                <a:p>
                  <a:pPr>
                    <a:defRPr sz="800" b="1" i="0" u="none" strike="noStrike" kern="1200" baseline="0">
                      <a:solidFill>
                        <a:srgbClr val="FFFFFF"/>
                      </a:solidFill>
                      <a:latin typeface="Arial" panose="020B0604020202020204" pitchFamily="34" charset="0"/>
                      <a:ea typeface="Calibri"/>
                      <a:cs typeface="Arial" panose="020B0604020202020204" pitchFamily="34" charset="0"/>
                    </a:defRPr>
                  </a:pPr>
                  <a:endParaRPr lang="fr-FR"/>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74B3-4E71-823A-67574CF06D2F}"/>
                </c:ext>
                <c:ext xmlns:c15="http://schemas.microsoft.com/office/drawing/2012/chart" uri="{CE6537A1-D6FC-4f65-9D91-7224C49458BB}">
                  <c15:layout/>
                </c:ext>
              </c:extLst>
            </c:dLbl>
            <c:dLbl>
              <c:idx val="4"/>
              <c:layout>
                <c:manualLayout>
                  <c:x val="-1.20481927710843E-2"/>
                  <c:y val="2.00501253132832E-2"/>
                </c:manualLayout>
              </c:layout>
              <c:spPr>
                <a:noFill/>
                <a:ln>
                  <a:noFill/>
                </a:ln>
                <a:effectLst/>
              </c:spPr>
              <c:txPr>
                <a:bodyPr rot="0" spcFirstLastPara="1" vertOverflow="ellipsis" vert="horz" wrap="square" anchor="ctr" anchorCtr="1"/>
                <a:lstStyle/>
                <a:p>
                  <a:pPr>
                    <a:defRPr sz="800" b="1" i="0" u="none" strike="noStrike" kern="1200" baseline="0">
                      <a:solidFill>
                        <a:srgbClr val="FFFFFF"/>
                      </a:solidFill>
                      <a:latin typeface="Arial" panose="020B0604020202020204" pitchFamily="34" charset="0"/>
                      <a:ea typeface="Calibri"/>
                      <a:cs typeface="Arial" panose="020B0604020202020204" pitchFamily="34" charset="0"/>
                    </a:defRPr>
                  </a:pPr>
                  <a:endParaRPr lang="fr-FR"/>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74B3-4E71-823A-67574CF06D2F}"/>
                </c:ext>
                <c:ext xmlns:c15="http://schemas.microsoft.com/office/drawing/2012/chart" uri="{CE6537A1-D6FC-4f65-9D91-7224C49458BB}">
                  <c15:layout/>
                </c:ext>
              </c:extLst>
            </c:dLbl>
            <c:spPr>
              <a:noFill/>
              <a:ln w="25400">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FFFF"/>
                    </a:solidFill>
                    <a:latin typeface="Arial" panose="020B0604020202020204" pitchFamily="34" charset="0"/>
                    <a:ea typeface="Calibri"/>
                    <a:cs typeface="Arial" panose="020B0604020202020204" pitchFamily="34" charset="0"/>
                  </a:defRPr>
                </a:pPr>
                <a:endParaRPr lang="fr-FR"/>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'Data Analysis EN'!$A$10:$A$14</c:f>
              <c:strCache>
                <c:ptCount val="5"/>
                <c:pt idx="0">
                  <c:v>Greater than US$100,000 </c:v>
                </c:pt>
                <c:pt idx="1">
                  <c:v>Greater than US$25,000 and up to US$100,000</c:v>
                </c:pt>
                <c:pt idx="2">
                  <c:v>Up to US$25,000</c:v>
                </c:pt>
                <c:pt idx="3">
                  <c:v>Emergency</c:v>
                </c:pt>
                <c:pt idx="4">
                  <c:v>Preparatory assistance</c:v>
                </c:pt>
              </c:strCache>
            </c:strRef>
          </c:cat>
          <c:val>
            <c:numRef>
              <c:f>'Data Analysis EN'!$D$10:$D$14</c:f>
              <c:numCache>
                <c:formatCode>0%</c:formatCode>
                <c:ptCount val="5"/>
                <c:pt idx="0">
                  <c:v>0.12962962962963001</c:v>
                </c:pt>
                <c:pt idx="1">
                  <c:v>7.4074074074074098E-2</c:v>
                </c:pt>
                <c:pt idx="2">
                  <c:v>0.38888888888888901</c:v>
                </c:pt>
                <c:pt idx="3">
                  <c:v>5.5555555555555497E-2</c:v>
                </c:pt>
                <c:pt idx="4">
                  <c:v>0.35185185185185203</c:v>
                </c:pt>
              </c:numCache>
            </c:numRef>
          </c:val>
          <c:extLst xmlns:c16r2="http://schemas.microsoft.com/office/drawing/2015/06/chart">
            <c:ext xmlns:c16="http://schemas.microsoft.com/office/drawing/2014/chart" uri="{C3380CC4-5D6E-409C-BE32-E72D297353CC}">
              <c16:uniqueId val="{0000000A-74B3-4E71-823A-67574CF06D2F}"/>
            </c:ext>
          </c:extLst>
        </c:ser>
        <c:ser>
          <c:idx val="1"/>
          <c:order val="1"/>
          <c:tx>
            <c:strRef>
              <c:f>'Data Analysis EN'!$E$9</c:f>
              <c:strCache>
                <c:ptCount val="1"/>
                <c:pt idx="0">
                  <c:v>Amount (%)</c:v>
                </c:pt>
              </c:strCache>
            </c:strRef>
          </c:tx>
          <c:dPt>
            <c:idx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C-74B3-4E71-823A-67574CF06D2F}"/>
              </c:ext>
            </c:extLst>
          </c:dPt>
          <c:dPt>
            <c:idx val="1"/>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E-74B3-4E71-823A-67574CF06D2F}"/>
              </c:ext>
            </c:extLst>
          </c:dPt>
          <c:dPt>
            <c:idx val="2"/>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10-74B3-4E71-823A-67574CF06D2F}"/>
              </c:ext>
            </c:extLst>
          </c:dPt>
          <c:dPt>
            <c:idx val="3"/>
            <c:bubble3D val="0"/>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12-74B3-4E71-823A-67574CF06D2F}"/>
              </c:ext>
            </c:extLst>
          </c:dPt>
          <c:dPt>
            <c:idx val="4"/>
            <c:bubble3D val="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14-74B3-4E71-823A-67574CF06D2F}"/>
              </c:ext>
            </c:extLst>
          </c:dPt>
          <c:dLbls>
            <c:dLbl>
              <c:idx val="4"/>
              <c:spPr>
                <a:noFill/>
                <a:ln>
                  <a:noFill/>
                </a:ln>
                <a:effectLst/>
              </c:spPr>
              <c:txPr>
                <a:bodyPr rot="0" spcFirstLastPara="1" vertOverflow="ellipsis" vert="horz" wrap="square" anchor="ctr" anchorCtr="1"/>
                <a:lstStyle/>
                <a:p>
                  <a:pPr>
                    <a:defRPr sz="800" b="1" i="0" u="none" strike="noStrike" kern="1200" baseline="0">
                      <a:solidFill>
                        <a:srgbClr val="FFFFFF"/>
                      </a:solidFill>
                      <a:latin typeface="Arial" panose="020B0604020202020204" pitchFamily="34" charset="0"/>
                      <a:ea typeface="Calibri"/>
                      <a:cs typeface="Arial" panose="020B0604020202020204" pitchFamily="34" charset="0"/>
                    </a:defRPr>
                  </a:pPr>
                  <a:endParaRPr lang="fr-FR"/>
                </a:p>
              </c:txPr>
              <c:showLegendKey val="0"/>
              <c:showVal val="0"/>
              <c:showCatName val="0"/>
              <c:showSerName val="0"/>
              <c:showPercent val="1"/>
              <c:showBubbleSize val="0"/>
            </c:dLbl>
            <c:spPr>
              <a:noFill/>
              <a:ln w="25400">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FFFF"/>
                    </a:solidFill>
                    <a:latin typeface="Arial" panose="020B0604020202020204" pitchFamily="34" charset="0"/>
                    <a:ea typeface="Calibri"/>
                    <a:cs typeface="Arial" panose="020B0604020202020204" pitchFamily="34" charset="0"/>
                  </a:defRPr>
                </a:pPr>
                <a:endParaRPr lang="fr-FR"/>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'Data Analysis EN'!$A$10:$A$14</c:f>
              <c:strCache>
                <c:ptCount val="5"/>
                <c:pt idx="0">
                  <c:v>Greater than US$100,000 </c:v>
                </c:pt>
                <c:pt idx="1">
                  <c:v>Greater than US$25,000 and up to US$100,000</c:v>
                </c:pt>
                <c:pt idx="2">
                  <c:v>Up to US$25,000</c:v>
                </c:pt>
                <c:pt idx="3">
                  <c:v>Emergency</c:v>
                </c:pt>
                <c:pt idx="4">
                  <c:v>Preparatory assistance</c:v>
                </c:pt>
              </c:strCache>
            </c:strRef>
          </c:cat>
          <c:val>
            <c:numRef>
              <c:f>'Data Analysis EN'!$E$10:$E$14</c:f>
              <c:numCache>
                <c:formatCode>0%</c:formatCode>
                <c:ptCount val="5"/>
                <c:pt idx="0">
                  <c:v>0.43945543400393799</c:v>
                </c:pt>
                <c:pt idx="1">
                  <c:v>9.3524248329310694E-2</c:v>
                </c:pt>
                <c:pt idx="2">
                  <c:v>0.17845326896439001</c:v>
                </c:pt>
                <c:pt idx="3">
                  <c:v>0.229881575334836</c:v>
                </c:pt>
                <c:pt idx="4">
                  <c:v>5.8685473367525297E-2</c:v>
                </c:pt>
              </c:numCache>
            </c:numRef>
          </c:val>
          <c:extLst xmlns:c16r2="http://schemas.microsoft.com/office/drawing/2015/06/chart">
            <c:ext xmlns:c16="http://schemas.microsoft.com/office/drawing/2014/chart" uri="{C3380CC4-5D6E-409C-BE32-E72D297353CC}">
              <c16:uniqueId val="{00000015-74B3-4E71-823A-67574CF06D2F}"/>
            </c:ext>
          </c:extLst>
        </c:ser>
        <c:dLbls>
          <c:showLegendKey val="0"/>
          <c:showVal val="0"/>
          <c:showCatName val="0"/>
          <c:showSerName val="0"/>
          <c:showPercent val="0"/>
          <c:showBubbleSize val="0"/>
          <c:showLeaderLines val="0"/>
        </c:dLbls>
        <c:firstSliceAng val="0"/>
        <c:holeSize val="17"/>
      </c:doughnutChart>
      <c:spPr>
        <a:noFill/>
        <a:ln w="25400">
          <a:noFill/>
        </a:ln>
        <a:effectLst/>
      </c:spPr>
    </c:plotArea>
    <c:legend>
      <c:legendPos val="r"/>
      <c:layout>
        <c:manualLayout>
          <c:xMode val="edge"/>
          <c:yMode val="edge"/>
          <c:x val="0.60571878063434803"/>
          <c:y val="0.30567152790111801"/>
          <c:w val="0.35800003162255301"/>
          <c:h val="0.47176471362132399"/>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0000"/>
              </a:solidFill>
              <a:latin typeface="Arial" panose="020B0604020202020204" pitchFamily="34" charset="0"/>
              <a:ea typeface="Calibri"/>
              <a:cs typeface="Arial" panose="020B0604020202020204" pitchFamily="34" charset="0"/>
            </a:defRPr>
          </a:pPr>
          <a:endParaRPr lang="fr-FR"/>
        </a:p>
      </c:txPr>
    </c:legend>
    <c:plotVisOnly val="1"/>
    <c:dispBlanksAs val="gap"/>
    <c:showDLblsOverMax val="0"/>
  </c:chart>
  <c:spPr>
    <a:solidFill>
      <a:schemeClr val="bg1"/>
    </a:solidFill>
    <a:ln w="9525" cap="flat" cmpd="sng" algn="ctr">
      <a:noFill/>
      <a:prstDash val="solid"/>
      <a:round/>
    </a:ln>
    <a:effectLst/>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userShapes r:id="rId2"/>
</c:chartSpac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0.20668</cdr:x>
      <cdr:y>0.31653</cdr:y>
    </cdr:from>
    <cdr:to>
      <cdr:x>0.36213</cdr:x>
      <cdr:y>0.50498</cdr:y>
    </cdr:to>
    <cdr:cxnSp macro="">
      <cdr:nvCxnSpPr>
        <cdr:cNvPr id="2" name="Straight Arrow Connector 1"/>
        <cdr:cNvCxnSpPr/>
      </cdr:nvCxnSpPr>
      <cdr:spPr>
        <a:xfrm xmlns:a="http://schemas.openxmlformats.org/drawingml/2006/main">
          <a:off x="1238250" y="1285875"/>
          <a:ext cx="931327" cy="765556"/>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0.22893</cdr:x>
      <cdr:y>0.76055</cdr:y>
    </cdr:from>
    <cdr:to>
      <cdr:x>0.32079</cdr:x>
      <cdr:y>0.82532</cdr:y>
    </cdr:to>
    <cdr:cxnSp macro="">
      <cdr:nvCxnSpPr>
        <cdr:cNvPr id="3" name="Straight Arrow Connector 2"/>
        <cdr:cNvCxnSpPr/>
      </cdr:nvCxnSpPr>
      <cdr:spPr>
        <a:xfrm xmlns:a="http://schemas.openxmlformats.org/drawingml/2006/main" flipV="1">
          <a:off x="1371600" y="3089656"/>
          <a:ext cx="550327" cy="263144"/>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0.04855</cdr:x>
      <cdr:y>0.22118</cdr:y>
    </cdr:from>
    <cdr:to>
      <cdr:x>0.20743</cdr:x>
      <cdr:y>0.34624</cdr:y>
    </cdr:to>
    <cdr:sp macro="" textlink="">
      <cdr:nvSpPr>
        <cdr:cNvPr id="5" name="TextBox 1"/>
        <cdr:cNvSpPr txBox="1"/>
      </cdr:nvSpPr>
      <cdr:spPr>
        <a:xfrm xmlns:a="http://schemas.openxmlformats.org/drawingml/2006/main">
          <a:off x="212652" y="604353"/>
          <a:ext cx="695939" cy="341715"/>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ts val="800"/>
            </a:lnSpc>
          </a:pPr>
          <a:r>
            <a:rPr lang="en-GB" sz="800" b="1">
              <a:latin typeface="Arial" panose="020B0604020202020204" pitchFamily="34" charset="0"/>
              <a:cs typeface="Arial" panose="020B0604020202020204" pitchFamily="34" charset="0"/>
            </a:rPr>
            <a:t>Number of projects</a:t>
          </a:r>
        </a:p>
      </cdr:txBody>
    </cdr:sp>
  </cdr:relSizeAnchor>
  <cdr:relSizeAnchor xmlns:cdr="http://schemas.openxmlformats.org/drawingml/2006/chartDrawing">
    <cdr:from>
      <cdr:x>0.10864</cdr:x>
      <cdr:y>0.8261</cdr:y>
    </cdr:from>
    <cdr:to>
      <cdr:x>0.27915</cdr:x>
      <cdr:y>0.94947</cdr:y>
    </cdr:to>
    <cdr:sp macro="" textlink="">
      <cdr:nvSpPr>
        <cdr:cNvPr id="6" name="TextBox 1"/>
        <cdr:cNvSpPr txBox="1"/>
      </cdr:nvSpPr>
      <cdr:spPr>
        <a:xfrm xmlns:a="http://schemas.openxmlformats.org/drawingml/2006/main">
          <a:off x="475868" y="2257240"/>
          <a:ext cx="746876" cy="337104"/>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800" b="1">
              <a:latin typeface="Arial" panose="020B0604020202020204" pitchFamily="34" charset="0"/>
              <a:cs typeface="Arial" panose="020B0604020202020204" pitchFamily="34" charset="0"/>
            </a:rPr>
            <a:t>Amount </a:t>
          </a:r>
          <a:r>
            <a:rPr lang="en-GB" sz="800" b="1" baseline="0">
              <a:latin typeface="Arial" panose="020B0604020202020204" pitchFamily="34" charset="0"/>
              <a:cs typeface="Arial" panose="020B0604020202020204" pitchFamily="34" charset="0"/>
            </a:rPr>
            <a:t>granted</a:t>
          </a:r>
          <a:endParaRPr lang="en-GB" sz="80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0.12346</cdr:x>
      <cdr:y>0.2666</cdr:y>
    </cdr:from>
    <cdr:to>
      <cdr:x>0.26845</cdr:x>
      <cdr:y>0.49839</cdr:y>
    </cdr:to>
    <cdr:cxnSp macro="">
      <cdr:nvCxnSpPr>
        <cdr:cNvPr id="2" name="Straight Arrow Connector 1"/>
        <cdr:cNvCxnSpPr/>
      </cdr:nvCxnSpPr>
      <cdr:spPr>
        <a:xfrm xmlns:a="http://schemas.openxmlformats.org/drawingml/2006/main">
          <a:off x="679703" y="972577"/>
          <a:ext cx="798223" cy="845591"/>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0.14266</cdr:x>
      <cdr:y>0.67358</cdr:y>
    </cdr:from>
    <cdr:to>
      <cdr:x>0.21125</cdr:x>
      <cdr:y>0.76605</cdr:y>
    </cdr:to>
    <cdr:cxnSp macro="">
      <cdr:nvCxnSpPr>
        <cdr:cNvPr id="4" name="Straight Arrow Connector 3"/>
        <cdr:cNvCxnSpPr/>
      </cdr:nvCxnSpPr>
      <cdr:spPr>
        <a:xfrm xmlns:a="http://schemas.openxmlformats.org/drawingml/2006/main" flipV="1">
          <a:off x="990600" y="2419351"/>
          <a:ext cx="476250" cy="333374"/>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0.04218</cdr:x>
      <cdr:y>0.17992</cdr:y>
    </cdr:from>
    <cdr:to>
      <cdr:x>0.18347</cdr:x>
      <cdr:y>0.26231</cdr:y>
    </cdr:to>
    <cdr:sp macro="" textlink="">
      <cdr:nvSpPr>
        <cdr:cNvPr id="8" name="TextBox 1"/>
        <cdr:cNvSpPr txBox="1"/>
      </cdr:nvSpPr>
      <cdr:spPr>
        <a:xfrm xmlns:a="http://schemas.openxmlformats.org/drawingml/2006/main">
          <a:off x="232213" y="656354"/>
          <a:ext cx="777881" cy="300577"/>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ts val="800"/>
            </a:lnSpc>
          </a:pPr>
          <a:r>
            <a:rPr lang="en-GB" sz="800" b="1">
              <a:latin typeface="Arial" panose="020B0604020202020204" pitchFamily="34" charset="0"/>
              <a:cs typeface="Arial" panose="020B0604020202020204" pitchFamily="34" charset="0"/>
            </a:rPr>
            <a:t>Number of projects</a:t>
          </a:r>
        </a:p>
      </cdr:txBody>
    </cdr:sp>
  </cdr:relSizeAnchor>
  <cdr:relSizeAnchor xmlns:cdr="http://schemas.openxmlformats.org/drawingml/2006/chartDrawing">
    <cdr:from>
      <cdr:x>0.04024</cdr:x>
      <cdr:y>0.76645</cdr:y>
    </cdr:from>
    <cdr:to>
      <cdr:x>0.17222</cdr:x>
      <cdr:y>0.87152</cdr:y>
    </cdr:to>
    <cdr:sp macro="" textlink="">
      <cdr:nvSpPr>
        <cdr:cNvPr id="9" name="TextBox 1"/>
        <cdr:cNvSpPr txBox="1"/>
      </cdr:nvSpPr>
      <cdr:spPr>
        <a:xfrm xmlns:a="http://schemas.openxmlformats.org/drawingml/2006/main">
          <a:off x="253160" y="2898273"/>
          <a:ext cx="830309" cy="397315"/>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800" b="1">
              <a:latin typeface="Arial" panose="020B0604020202020204" pitchFamily="34" charset="0"/>
              <a:cs typeface="Arial" panose="020B0604020202020204" pitchFamily="34" charset="0"/>
            </a:rPr>
            <a:t>Amount</a:t>
          </a:r>
        </a:p>
        <a:p xmlns:a="http://schemas.openxmlformats.org/drawingml/2006/main">
          <a:pPr algn="ctr"/>
          <a:r>
            <a:rPr lang="en-GB" sz="800" b="1">
              <a:latin typeface="Arial" panose="020B0604020202020204" pitchFamily="34" charset="0"/>
              <a:cs typeface="Arial" panose="020B0604020202020204" pitchFamily="34" charset="0"/>
            </a:rPr>
            <a:t>granted</a:t>
          </a:r>
        </a:p>
      </cdr:txBody>
    </cdr:sp>
  </cdr:relSizeAnchor>
</c:userShapes>
</file>

<file path=word/drawings/drawing3.xml><?xml version="1.0" encoding="utf-8"?>
<c:userShapes xmlns:c="http://schemas.openxmlformats.org/drawingml/2006/chart">
  <cdr:relSizeAnchor xmlns:cdr="http://schemas.openxmlformats.org/drawingml/2006/chartDrawing">
    <cdr:from>
      <cdr:x>0.12249</cdr:x>
      <cdr:y>0.75773</cdr:y>
    </cdr:from>
    <cdr:to>
      <cdr:x>0.19097</cdr:x>
      <cdr:y>0.84986</cdr:y>
    </cdr:to>
    <cdr:cxnSp macro="">
      <cdr:nvCxnSpPr>
        <cdr:cNvPr id="2" name="Straight Arrow Connector 1"/>
        <cdr:cNvCxnSpPr/>
      </cdr:nvCxnSpPr>
      <cdr:spPr>
        <a:xfrm xmlns:a="http://schemas.openxmlformats.org/drawingml/2006/main" flipV="1">
          <a:off x="774700" y="2879725"/>
          <a:ext cx="433133" cy="350153"/>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0.14458</cdr:x>
      <cdr:y>0.24561</cdr:y>
    </cdr:from>
    <cdr:to>
      <cdr:x>0.26811</cdr:x>
      <cdr:y>0.45056</cdr:y>
    </cdr:to>
    <cdr:cxnSp macro="">
      <cdr:nvCxnSpPr>
        <cdr:cNvPr id="3" name="Straight Arrow Connector 2"/>
        <cdr:cNvCxnSpPr/>
      </cdr:nvCxnSpPr>
      <cdr:spPr>
        <a:xfrm xmlns:a="http://schemas.openxmlformats.org/drawingml/2006/main">
          <a:off x="722440" y="817243"/>
          <a:ext cx="617262" cy="681948"/>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0.01556</cdr:x>
      <cdr:y>0.84795</cdr:y>
    </cdr:from>
    <cdr:to>
      <cdr:x>0.15684</cdr:x>
      <cdr:y>0.96805</cdr:y>
    </cdr:to>
    <cdr:sp macro="" textlink="">
      <cdr:nvSpPr>
        <cdr:cNvPr id="6" name="TextBox 1"/>
        <cdr:cNvSpPr txBox="1"/>
      </cdr:nvSpPr>
      <cdr:spPr>
        <a:xfrm xmlns:a="http://schemas.openxmlformats.org/drawingml/2006/main">
          <a:off x="98039" y="3222614"/>
          <a:ext cx="890179" cy="456418"/>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900" b="1"/>
            <a:t>Amount </a:t>
          </a:r>
          <a:r>
            <a:rPr lang="en-GB" sz="800" b="1">
              <a:latin typeface="Arial" panose="020B0604020202020204" pitchFamily="34" charset="0"/>
              <a:cs typeface="Arial" panose="020B0604020202020204" pitchFamily="34" charset="0"/>
            </a:rPr>
            <a:t>granted</a:t>
          </a:r>
        </a:p>
      </cdr:txBody>
    </cdr:sp>
  </cdr:relSizeAnchor>
  <cdr:relSizeAnchor xmlns:cdr="http://schemas.openxmlformats.org/drawingml/2006/chartDrawing">
    <cdr:from>
      <cdr:x>0.0136</cdr:x>
      <cdr:y>0.16286</cdr:y>
    </cdr:from>
    <cdr:to>
      <cdr:x>0.18087</cdr:x>
      <cdr:y>0.24285</cdr:y>
    </cdr:to>
    <cdr:sp macro="" textlink="">
      <cdr:nvSpPr>
        <cdr:cNvPr id="7" name="TextBox 1"/>
        <cdr:cNvSpPr txBox="1"/>
      </cdr:nvSpPr>
      <cdr:spPr>
        <a:xfrm xmlns:a="http://schemas.openxmlformats.org/drawingml/2006/main">
          <a:off x="67959" y="541901"/>
          <a:ext cx="835807" cy="266174"/>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ts val="800"/>
            </a:lnSpc>
          </a:pPr>
          <a:r>
            <a:rPr lang="en-GB" sz="800" b="1">
              <a:latin typeface="Arial" panose="020B0604020202020204" pitchFamily="34" charset="0"/>
              <a:cs typeface="Arial" panose="020B0604020202020204" pitchFamily="34" charset="0"/>
            </a:rPr>
            <a:t>Number</a:t>
          </a:r>
          <a:r>
            <a:rPr lang="en-GB" sz="800" b="1" baseline="0">
              <a:latin typeface="Arial" panose="020B0604020202020204" pitchFamily="34" charset="0"/>
              <a:cs typeface="Arial" panose="020B0604020202020204" pitchFamily="34" charset="0"/>
            </a:rPr>
            <a:t> of projects</a:t>
          </a:r>
          <a:endParaRPr lang="en-GB" sz="8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4591D-6BC6-4A40-AB3A-84747854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19</TotalTime>
  <Pages>12</Pages>
  <Words>5312</Words>
  <Characters>29219</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Delsol, Christine</dc:creator>
  <cp:keywords/>
  <dc:description/>
  <cp:lastModifiedBy>UNESCO</cp:lastModifiedBy>
  <cp:revision>7</cp:revision>
  <cp:lastPrinted>2016-10-28T10:07:00Z</cp:lastPrinted>
  <dcterms:created xsi:type="dcterms:W3CDTF">2016-10-31T11:18:00Z</dcterms:created>
  <dcterms:modified xsi:type="dcterms:W3CDTF">2016-11-03T17:09:00Z</dcterms:modified>
</cp:coreProperties>
</file>