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C7" w:rsidRPr="00DB53FE" w:rsidRDefault="00EB0BC7" w:rsidP="00EB0BC7">
      <w:pPr>
        <w:pStyle w:val="Chapitre"/>
        <w:rPr>
          <w:lang w:val="en-US"/>
        </w:rPr>
      </w:pPr>
      <w:bookmarkStart w:id="0" w:name="_GoBack"/>
      <w:bookmarkEnd w:id="0"/>
      <w:r w:rsidRPr="00DB53FE">
        <w:rPr>
          <w:lang w:val="en-US"/>
        </w:rPr>
        <w:t xml:space="preserve">Unit </w:t>
      </w:r>
      <w:r>
        <w:rPr>
          <w:lang w:val="en-US"/>
        </w:rPr>
        <w:t>23</w:t>
      </w:r>
    </w:p>
    <w:p w:rsidR="00EB0BC7" w:rsidRPr="00354C74" w:rsidRDefault="00EB0BC7" w:rsidP="00EB0BC7">
      <w:pPr>
        <w:pStyle w:val="Titcoul"/>
      </w:pPr>
      <w:r w:rsidRPr="006E6DB0">
        <w:rPr>
          <w:rFonts w:ascii="Arial Bold" w:hAnsi="Arial Bold"/>
          <w:caps w:val="0"/>
        </w:rPr>
        <w:t>Hand-out</w:t>
      </w:r>
      <w:r>
        <w:rPr>
          <w:rFonts w:ascii="Arial Bold" w:hAnsi="Arial Bold"/>
          <w:caps w:val="0"/>
        </w:rPr>
        <w:t xml:space="preserve"> 2</w:t>
      </w:r>
      <w:r w:rsidRPr="006E6DB0">
        <w:rPr>
          <w:rFonts w:ascii="Arial Bold" w:hAnsi="Arial Bold"/>
          <w:caps w:val="0"/>
        </w:rPr>
        <w:t>:</w:t>
      </w:r>
      <w:r>
        <w:t xml:space="preserve"> </w:t>
      </w:r>
      <w:r>
        <w:br/>
        <w:t>Glossary for unit 23</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726"/>
        <w:gridCol w:w="1418"/>
      </w:tblGrid>
      <w:tr w:rsidR="00EB0BC7" w:rsidRPr="00354C74" w:rsidTr="005722FC">
        <w:trPr>
          <w:trHeight w:val="20"/>
          <w:tblHeader/>
        </w:trPr>
        <w:tc>
          <w:tcPr>
            <w:tcW w:w="1701" w:type="dxa"/>
            <w:shd w:val="clear" w:color="auto" w:fill="BAD0EE"/>
          </w:tcPr>
          <w:p w:rsidR="00EB0BC7" w:rsidRPr="00354C74" w:rsidRDefault="00EB0BC7" w:rsidP="005722FC">
            <w:pPr>
              <w:pStyle w:val="Tabltetiere"/>
              <w:spacing w:before="240"/>
              <w:rPr>
                <w:bCs/>
                <w:i/>
                <w:iCs/>
                <w:caps/>
                <w:color w:val="404040" w:themeColor="text1" w:themeTint="BF"/>
                <w:szCs w:val="22"/>
                <w:lang w:eastAsia="en-US"/>
              </w:rPr>
            </w:pPr>
            <w:proofErr w:type="spellStart"/>
            <w:r w:rsidRPr="00354C74">
              <w:t>Term</w:t>
            </w:r>
            <w:proofErr w:type="spellEnd"/>
          </w:p>
        </w:tc>
        <w:tc>
          <w:tcPr>
            <w:tcW w:w="5726" w:type="dxa"/>
            <w:shd w:val="clear" w:color="auto" w:fill="BAD0EE"/>
          </w:tcPr>
          <w:p w:rsidR="00EB0BC7" w:rsidRPr="00354C74" w:rsidRDefault="00EB0BC7" w:rsidP="005722FC">
            <w:pPr>
              <w:pStyle w:val="Tabltetiere"/>
              <w:spacing w:before="240"/>
              <w:rPr>
                <w:bCs/>
                <w:i/>
                <w:iCs/>
                <w:caps/>
                <w:color w:val="404040" w:themeColor="text1" w:themeTint="BF"/>
                <w:szCs w:val="22"/>
                <w:lang w:eastAsia="en-US"/>
              </w:rPr>
            </w:pPr>
            <w:proofErr w:type="spellStart"/>
            <w:r w:rsidRPr="00354C74">
              <w:t>D</w:t>
            </w:r>
            <w:r>
              <w:t>e</w:t>
            </w:r>
            <w:r w:rsidRPr="00354C74">
              <w:t>finition</w:t>
            </w:r>
            <w:proofErr w:type="spellEnd"/>
          </w:p>
        </w:tc>
        <w:tc>
          <w:tcPr>
            <w:tcW w:w="1418" w:type="dxa"/>
            <w:shd w:val="clear" w:color="auto" w:fill="BAD0EE"/>
          </w:tcPr>
          <w:p w:rsidR="00EB0BC7" w:rsidRPr="00DB53FE" w:rsidRDefault="00EB0BC7" w:rsidP="005722FC">
            <w:pPr>
              <w:pStyle w:val="Tabltetiere"/>
              <w:spacing w:before="80"/>
              <w:rPr>
                <w:bCs/>
                <w:i/>
                <w:iCs/>
                <w:caps/>
                <w:color w:val="404040" w:themeColor="text1" w:themeTint="BF"/>
                <w:szCs w:val="22"/>
                <w:lang w:val="en-US" w:eastAsia="en-US"/>
              </w:rPr>
            </w:pPr>
            <w:r w:rsidRPr="00DB53FE">
              <w:rPr>
                <w:lang w:val="en-US"/>
              </w:rPr>
              <w:t xml:space="preserve">Source </w:t>
            </w:r>
            <w:r w:rsidRPr="00DB53FE">
              <w:rPr>
                <w:lang w:val="en-US"/>
              </w:rPr>
              <w:br/>
              <w:t>(if other than CTA/IFAD)</w:t>
            </w:r>
          </w:p>
        </w:tc>
      </w:tr>
      <w:tr w:rsidR="00EB0BC7" w:rsidRPr="00A15AD4" w:rsidTr="005722FC">
        <w:trPr>
          <w:trHeight w:val="20"/>
        </w:trPr>
        <w:tc>
          <w:tcPr>
            <w:tcW w:w="1701" w:type="dxa"/>
          </w:tcPr>
          <w:p w:rsidR="00EB0BC7" w:rsidRPr="00C40409" w:rsidRDefault="00EB0BC7" w:rsidP="005722FC">
            <w:pPr>
              <w:pStyle w:val="Tabtxt"/>
              <w:ind w:left="113" w:right="113"/>
              <w:jc w:val="left"/>
              <w:rPr>
                <w:sz w:val="16"/>
                <w:szCs w:val="16"/>
              </w:rPr>
            </w:pPr>
            <w:r w:rsidRPr="00C40409">
              <w:rPr>
                <w:sz w:val="16"/>
                <w:szCs w:val="16"/>
              </w:rPr>
              <w:t>Archives</w:t>
            </w:r>
          </w:p>
        </w:tc>
        <w:tc>
          <w:tcPr>
            <w:tcW w:w="5726" w:type="dxa"/>
          </w:tcPr>
          <w:p w:rsidR="00EB0BC7" w:rsidRPr="00DB53FE" w:rsidRDefault="00EB0BC7" w:rsidP="005722FC">
            <w:pPr>
              <w:pStyle w:val="Tabtxt"/>
              <w:ind w:left="113" w:right="113"/>
              <w:jc w:val="both"/>
              <w:rPr>
                <w:sz w:val="16"/>
                <w:szCs w:val="16"/>
                <w:lang w:val="en-US"/>
              </w:rPr>
            </w:pPr>
            <w:r w:rsidRPr="00C40409">
              <w:rPr>
                <w:sz w:val="16"/>
                <w:szCs w:val="16"/>
                <w:lang w:val="en-GB"/>
              </w:rPr>
              <w:t>Archives are collections of historic documents pertaining to individuals or organizations. Items contained include primary documents, such as letters, birth or death certificates, marriage registrations, journals or financial records</w:t>
            </w:r>
            <w:r w:rsidRPr="00DB53FE">
              <w:rPr>
                <w:sz w:val="16"/>
                <w:szCs w:val="16"/>
                <w:lang w:val="en-US"/>
              </w:rPr>
              <w:t>.</w:t>
            </w:r>
          </w:p>
        </w:tc>
        <w:tc>
          <w:tcPr>
            <w:tcW w:w="1418" w:type="dxa"/>
          </w:tcPr>
          <w:p w:rsidR="00EB0BC7" w:rsidRPr="008E15B8" w:rsidRDefault="00EB0BC7" w:rsidP="005722FC">
            <w:pPr>
              <w:pStyle w:val="Tabtxt"/>
              <w:ind w:left="113" w:right="113"/>
              <w:jc w:val="left"/>
              <w:rPr>
                <w:sz w:val="16"/>
                <w:szCs w:val="16"/>
                <w:lang w:val="es-ES_tradnl"/>
              </w:rPr>
            </w:pPr>
            <w:r w:rsidRPr="008E15B8">
              <w:rPr>
                <w:sz w:val="16"/>
                <w:szCs w:val="16"/>
                <w:lang w:val="es-ES_tradnl"/>
              </w:rPr>
              <w:t>Wikipedia (</w:t>
            </w:r>
            <w:hyperlink r:id="rId6" w:history="1">
              <w:r w:rsidRPr="008E15B8">
                <w:rPr>
                  <w:rStyle w:val="Hyperlink"/>
                  <w:sz w:val="16"/>
                  <w:szCs w:val="16"/>
                  <w:lang w:val="es-ES_tradnl"/>
                </w:rPr>
                <w:t>http://en.wikipedia.org/wiki/Archives</w:t>
              </w:r>
            </w:hyperlink>
            <w:r w:rsidRPr="008E15B8">
              <w:rPr>
                <w:sz w:val="16"/>
                <w:szCs w:val="16"/>
                <w:lang w:val="es-ES_tradnl"/>
              </w:rPr>
              <w:t>)</w:t>
            </w:r>
          </w:p>
        </w:tc>
      </w:tr>
      <w:tr w:rsidR="00EB0BC7" w:rsidRPr="00C40409" w:rsidTr="005722FC">
        <w:trPr>
          <w:trHeight w:val="20"/>
        </w:trPr>
        <w:tc>
          <w:tcPr>
            <w:tcW w:w="1701" w:type="dxa"/>
          </w:tcPr>
          <w:p w:rsidR="00EB0BC7" w:rsidRPr="00C40409" w:rsidRDefault="00EB0BC7" w:rsidP="005722FC">
            <w:pPr>
              <w:pStyle w:val="Tabtxt"/>
              <w:ind w:left="113" w:right="113"/>
              <w:jc w:val="left"/>
              <w:rPr>
                <w:sz w:val="16"/>
                <w:szCs w:val="16"/>
              </w:rPr>
            </w:pPr>
            <w:r w:rsidRPr="00C40409">
              <w:rPr>
                <w:sz w:val="16"/>
                <w:szCs w:val="16"/>
                <w:lang w:val="en-GB"/>
              </w:rPr>
              <w:t>Audio recording</w:t>
            </w:r>
          </w:p>
        </w:tc>
        <w:tc>
          <w:tcPr>
            <w:tcW w:w="5726" w:type="dxa"/>
          </w:tcPr>
          <w:p w:rsidR="00EB0BC7" w:rsidRPr="00DB53FE" w:rsidRDefault="00EB0BC7" w:rsidP="005722FC">
            <w:pPr>
              <w:pStyle w:val="Tabtxt"/>
              <w:ind w:left="113" w:right="113"/>
              <w:jc w:val="both"/>
              <w:rPr>
                <w:bCs/>
                <w:sz w:val="16"/>
                <w:szCs w:val="16"/>
                <w:lang w:val="en-US"/>
              </w:rPr>
            </w:pPr>
            <w:r w:rsidRPr="00C40409">
              <w:rPr>
                <w:bCs/>
                <w:sz w:val="16"/>
                <w:szCs w:val="16"/>
                <w:lang w:val="en-GB"/>
              </w:rPr>
              <w:t xml:space="preserve">Audio recording is a technique that </w:t>
            </w:r>
            <w:proofErr w:type="gramStart"/>
            <w:r w:rsidRPr="00C40409">
              <w:rPr>
                <w:bCs/>
                <w:sz w:val="16"/>
                <w:szCs w:val="16"/>
                <w:lang w:val="en-GB"/>
              </w:rPr>
              <w:t>may be applied</w:t>
            </w:r>
            <w:proofErr w:type="gramEnd"/>
            <w:r w:rsidRPr="00C40409">
              <w:rPr>
                <w:bCs/>
                <w:sz w:val="16"/>
                <w:szCs w:val="16"/>
                <w:lang w:val="en-GB"/>
              </w:rPr>
              <w:t xml:space="preserve"> to a variety of information-generation </w:t>
            </w:r>
            <w:r w:rsidR="009E08DA">
              <w:rPr>
                <w:bCs/>
                <w:sz w:val="16"/>
                <w:szCs w:val="16"/>
                <w:lang w:val="en-GB"/>
              </w:rPr>
              <w:t>methods and is used to collect</w:t>
            </w:r>
            <w:r w:rsidRPr="00C40409">
              <w:rPr>
                <w:bCs/>
                <w:sz w:val="16"/>
                <w:szCs w:val="16"/>
                <w:lang w:val="en-GB"/>
              </w:rPr>
              <w:t xml:space="preserve"> ICH elements where sound is a defining aspect (i.e. interviews, music, dance, chants, etc.).</w:t>
            </w:r>
          </w:p>
        </w:tc>
        <w:tc>
          <w:tcPr>
            <w:tcW w:w="1418" w:type="dxa"/>
          </w:tcPr>
          <w:p w:rsidR="00EB0BC7" w:rsidRPr="00DB53FE" w:rsidRDefault="00EB0BC7" w:rsidP="005722FC">
            <w:pPr>
              <w:pStyle w:val="Tabtxt"/>
              <w:ind w:left="113" w:right="113"/>
              <w:jc w:val="left"/>
              <w:rPr>
                <w:sz w:val="16"/>
                <w:szCs w:val="16"/>
                <w:lang w:val="en-US"/>
              </w:rPr>
            </w:pPr>
          </w:p>
        </w:tc>
      </w:tr>
      <w:tr w:rsidR="00EB0BC7" w:rsidRPr="00C40409" w:rsidTr="005722FC">
        <w:trPr>
          <w:trHeight w:val="20"/>
        </w:trPr>
        <w:tc>
          <w:tcPr>
            <w:tcW w:w="1701" w:type="dxa"/>
          </w:tcPr>
          <w:p w:rsidR="00EB0BC7" w:rsidRPr="00C40409" w:rsidRDefault="00EB0BC7" w:rsidP="005722FC">
            <w:pPr>
              <w:pStyle w:val="Tabtxt"/>
              <w:ind w:left="113" w:right="113"/>
              <w:jc w:val="left"/>
              <w:rPr>
                <w:sz w:val="16"/>
                <w:szCs w:val="16"/>
              </w:rPr>
            </w:pPr>
            <w:r w:rsidRPr="00C40409">
              <w:rPr>
                <w:sz w:val="16"/>
                <w:szCs w:val="16"/>
                <w:lang w:val="en-GB"/>
              </w:rPr>
              <w:t>Focus groups</w:t>
            </w:r>
          </w:p>
        </w:tc>
        <w:tc>
          <w:tcPr>
            <w:tcW w:w="5726" w:type="dxa"/>
          </w:tcPr>
          <w:p w:rsidR="00EB0BC7" w:rsidRPr="00DB53FE" w:rsidRDefault="00EB0BC7" w:rsidP="005722FC">
            <w:pPr>
              <w:pStyle w:val="Tabtxt"/>
              <w:ind w:left="113" w:right="113"/>
              <w:jc w:val="both"/>
              <w:rPr>
                <w:sz w:val="16"/>
                <w:szCs w:val="16"/>
                <w:lang w:val="en-US"/>
              </w:rPr>
            </w:pPr>
            <w:r w:rsidRPr="00C40409">
              <w:rPr>
                <w:sz w:val="16"/>
                <w:szCs w:val="16"/>
                <w:lang w:val="en-GB"/>
              </w:rPr>
              <w:t xml:space="preserve">A focus group is an interview conducted with a small group of individuals surrounding a topic of interest. It may require a moderator and will be similar in style to a brainstorming session. A focus group generally involves the use of open-ended questions and/or broad discussion topics. </w:t>
            </w:r>
          </w:p>
        </w:tc>
        <w:tc>
          <w:tcPr>
            <w:tcW w:w="1418" w:type="dxa"/>
          </w:tcPr>
          <w:p w:rsidR="00EB0BC7" w:rsidRPr="00DB53FE" w:rsidRDefault="00EB0BC7" w:rsidP="005722FC">
            <w:pPr>
              <w:pStyle w:val="Tabtxt"/>
              <w:ind w:left="113" w:right="113"/>
              <w:jc w:val="left"/>
              <w:rPr>
                <w:sz w:val="16"/>
                <w:szCs w:val="16"/>
                <w:lang w:val="en-US"/>
              </w:rPr>
            </w:pPr>
          </w:p>
        </w:tc>
      </w:tr>
      <w:tr w:rsidR="00EB0BC7" w:rsidRPr="00C40409" w:rsidTr="005722FC">
        <w:trPr>
          <w:trHeight w:val="20"/>
        </w:trPr>
        <w:tc>
          <w:tcPr>
            <w:tcW w:w="1701" w:type="dxa"/>
          </w:tcPr>
          <w:p w:rsidR="00EB0BC7" w:rsidRPr="00DB53FE" w:rsidRDefault="00EB0BC7" w:rsidP="005722FC">
            <w:pPr>
              <w:pStyle w:val="Tabtxt"/>
              <w:ind w:left="113" w:right="113"/>
              <w:jc w:val="left"/>
              <w:rPr>
                <w:sz w:val="16"/>
                <w:szCs w:val="16"/>
                <w:lang w:val="en-US"/>
              </w:rPr>
            </w:pPr>
            <w:r w:rsidRPr="00C40409">
              <w:rPr>
                <w:sz w:val="16"/>
                <w:szCs w:val="16"/>
                <w:lang w:val="en-GB"/>
              </w:rPr>
              <w:t>FPIC (free, prior and informed consent)</w:t>
            </w:r>
          </w:p>
        </w:tc>
        <w:tc>
          <w:tcPr>
            <w:tcW w:w="5726" w:type="dxa"/>
          </w:tcPr>
          <w:p w:rsidR="00EB0BC7" w:rsidRPr="00C40409" w:rsidRDefault="00EB0BC7" w:rsidP="005722FC">
            <w:pPr>
              <w:pStyle w:val="Tabtxt"/>
              <w:ind w:left="113" w:right="113"/>
              <w:jc w:val="both"/>
              <w:rPr>
                <w:sz w:val="16"/>
                <w:szCs w:val="16"/>
                <w:lang w:val="en-GB"/>
              </w:rPr>
            </w:pPr>
            <w:r w:rsidRPr="00C40409">
              <w:rPr>
                <w:sz w:val="16"/>
                <w:szCs w:val="16"/>
                <w:lang w:val="en-GB"/>
              </w:rPr>
              <w:t>When communities, groups or individuals are involved in the development of a nomination file for inscription of an element of their ICH on one of the Lists of the Convention, their free, prior and informed consent is required for both the preparation and the submission of the file (OD 1, U.4 and OD 2, R.4). Without proof of community consent (which may take different forms, according to the situation), the Committee is not entitled to inscribe an eleme</w:t>
            </w:r>
            <w:r w:rsidR="00077F1D">
              <w:rPr>
                <w:sz w:val="16"/>
                <w:szCs w:val="16"/>
                <w:lang w:val="en-GB"/>
              </w:rPr>
              <w:t>nt on a List of the Convention.</w:t>
            </w:r>
          </w:p>
          <w:p w:rsidR="00EB0BC7" w:rsidRPr="00C40409" w:rsidRDefault="00EB0BC7" w:rsidP="005722FC">
            <w:pPr>
              <w:pStyle w:val="Tabtxt"/>
              <w:ind w:left="113" w:right="113"/>
              <w:jc w:val="both"/>
              <w:rPr>
                <w:sz w:val="16"/>
                <w:szCs w:val="16"/>
                <w:lang w:val="en-GB"/>
              </w:rPr>
            </w:pPr>
            <w:r w:rsidRPr="00C40409">
              <w:rPr>
                <w:sz w:val="16"/>
                <w:szCs w:val="16"/>
                <w:lang w:val="en-GB"/>
              </w:rPr>
              <w:t>Community consent is also required when a State Party nominates a safeguarding practice for selection as a best practice (OD 7, P.5) or when it prepares an awareness-raising activity that concerns the ICH of one or mo</w:t>
            </w:r>
            <w:r w:rsidR="00077F1D">
              <w:rPr>
                <w:sz w:val="16"/>
                <w:szCs w:val="16"/>
                <w:lang w:val="en-GB"/>
              </w:rPr>
              <w:t>re specific groups (OD 101(b)).</w:t>
            </w:r>
          </w:p>
          <w:p w:rsidR="00EB0BC7" w:rsidRPr="009E08DA" w:rsidRDefault="00EB0BC7" w:rsidP="005722FC">
            <w:pPr>
              <w:pStyle w:val="Tabtxt"/>
              <w:ind w:left="113" w:right="113"/>
              <w:jc w:val="both"/>
              <w:rPr>
                <w:sz w:val="16"/>
                <w:szCs w:val="16"/>
                <w:lang w:val="en-US"/>
              </w:rPr>
            </w:pPr>
            <w:r w:rsidRPr="00C40409">
              <w:rPr>
                <w:sz w:val="16"/>
                <w:szCs w:val="16"/>
                <w:lang w:val="en-GB"/>
              </w:rPr>
              <w:t>The notion of free, prior and informed consent was originally designed to apply to individuals, but it has now been extended to groups of people in instruments like the Declaration on the Rights of Indigenous Peoples, the Conventi</w:t>
            </w:r>
            <w:r w:rsidR="009E08DA">
              <w:rPr>
                <w:sz w:val="16"/>
                <w:szCs w:val="16"/>
                <w:lang w:val="en-GB"/>
              </w:rPr>
              <w:t>on on Biological Diversity</w:t>
            </w:r>
            <w:r w:rsidRPr="00C40409">
              <w:rPr>
                <w:sz w:val="16"/>
                <w:szCs w:val="16"/>
                <w:lang w:val="en-GB"/>
              </w:rPr>
              <w:t>, in the ODs of the Intangible Heritage Convention, and in various World Intellect</w:t>
            </w:r>
            <w:r w:rsidR="007A3E13">
              <w:rPr>
                <w:sz w:val="16"/>
                <w:szCs w:val="16"/>
                <w:lang w:val="en-GB"/>
              </w:rPr>
              <w:t>ual Property Organization</w:t>
            </w:r>
            <w:r w:rsidRPr="00C40409">
              <w:rPr>
                <w:sz w:val="16"/>
                <w:szCs w:val="16"/>
                <w:lang w:val="en-GB"/>
              </w:rPr>
              <w:t xml:space="preserve"> texts and recommendations. Refer to ODs 1, 2, 7 and 101(b).</w:t>
            </w:r>
          </w:p>
        </w:tc>
        <w:tc>
          <w:tcPr>
            <w:tcW w:w="1418" w:type="dxa"/>
          </w:tcPr>
          <w:p w:rsidR="00EB0BC7" w:rsidRPr="00C40409" w:rsidRDefault="00EB0BC7" w:rsidP="005722FC">
            <w:pPr>
              <w:pStyle w:val="Tabtxt"/>
              <w:ind w:left="113" w:right="113"/>
              <w:jc w:val="left"/>
              <w:rPr>
                <w:sz w:val="16"/>
                <w:szCs w:val="16"/>
              </w:rPr>
            </w:pPr>
            <w:r w:rsidRPr="00C40409">
              <w:rPr>
                <w:sz w:val="16"/>
                <w:szCs w:val="16"/>
              </w:rPr>
              <w:t xml:space="preserve">Participants’ </w:t>
            </w:r>
            <w:proofErr w:type="spellStart"/>
            <w:r w:rsidRPr="00C40409">
              <w:rPr>
                <w:sz w:val="16"/>
                <w:szCs w:val="16"/>
              </w:rPr>
              <w:t>text</w:t>
            </w:r>
            <w:proofErr w:type="spellEnd"/>
            <w:r w:rsidRPr="00C40409">
              <w:rPr>
                <w:sz w:val="16"/>
                <w:szCs w:val="16"/>
              </w:rPr>
              <w:t xml:space="preserve"> Unit 3 : Key concepts</w:t>
            </w:r>
          </w:p>
          <w:p w:rsidR="00EB0BC7" w:rsidRPr="00C40409" w:rsidRDefault="00EB0BC7" w:rsidP="005722FC">
            <w:pPr>
              <w:pStyle w:val="Tabtxt"/>
              <w:ind w:left="113" w:right="113"/>
              <w:jc w:val="left"/>
              <w:rPr>
                <w:b/>
                <w:sz w:val="16"/>
                <w:szCs w:val="16"/>
              </w:rPr>
            </w:pPr>
          </w:p>
        </w:tc>
      </w:tr>
      <w:tr w:rsidR="00EB0BC7" w:rsidRPr="00C40409" w:rsidTr="005722FC">
        <w:trPr>
          <w:trHeight w:val="20"/>
        </w:trPr>
        <w:tc>
          <w:tcPr>
            <w:tcW w:w="1701" w:type="dxa"/>
          </w:tcPr>
          <w:p w:rsidR="00EB0BC7" w:rsidRPr="00C40409" w:rsidRDefault="00EB0BC7" w:rsidP="005722FC">
            <w:pPr>
              <w:pStyle w:val="Tabtxt"/>
              <w:ind w:left="113" w:right="113"/>
              <w:jc w:val="left"/>
              <w:rPr>
                <w:sz w:val="16"/>
                <w:szCs w:val="16"/>
                <w:lang w:val="en-GB"/>
              </w:rPr>
            </w:pPr>
            <w:r w:rsidRPr="00C40409">
              <w:rPr>
                <w:bCs/>
                <w:sz w:val="16"/>
                <w:szCs w:val="16"/>
                <w:lang w:val="en-GB"/>
              </w:rPr>
              <w:t>Observation</w:t>
            </w:r>
          </w:p>
        </w:tc>
        <w:tc>
          <w:tcPr>
            <w:tcW w:w="5726" w:type="dxa"/>
          </w:tcPr>
          <w:p w:rsidR="00EB0BC7" w:rsidRPr="00C40409" w:rsidRDefault="00EB0BC7" w:rsidP="005722FC">
            <w:pPr>
              <w:pStyle w:val="Tabtxt"/>
              <w:tabs>
                <w:tab w:val="clear" w:pos="567"/>
                <w:tab w:val="left" w:pos="1053"/>
              </w:tabs>
              <w:ind w:left="113" w:right="113"/>
              <w:jc w:val="both"/>
              <w:rPr>
                <w:sz w:val="16"/>
                <w:szCs w:val="16"/>
                <w:lang w:val="en-GB"/>
              </w:rPr>
            </w:pPr>
            <w:r w:rsidRPr="00C40409">
              <w:rPr>
                <w:sz w:val="16"/>
                <w:szCs w:val="16"/>
                <w:lang w:val="en-GB"/>
              </w:rPr>
              <w:t xml:space="preserve">Observation is an information-generation method whereby individuals gain a level of familiarity with groups of people or individuals by watching and listening to them. Practices that </w:t>
            </w:r>
            <w:proofErr w:type="gramStart"/>
            <w:r w:rsidRPr="00C40409">
              <w:rPr>
                <w:sz w:val="16"/>
                <w:szCs w:val="16"/>
                <w:lang w:val="en-GB"/>
              </w:rPr>
              <w:t>might be observed</w:t>
            </w:r>
            <w:proofErr w:type="gramEnd"/>
            <w:r w:rsidRPr="00C40409">
              <w:rPr>
                <w:sz w:val="16"/>
                <w:szCs w:val="16"/>
                <w:lang w:val="en-GB"/>
              </w:rPr>
              <w:t xml:space="preserve"> include festivals, religious ceremonies, meetings or daily activities. </w:t>
            </w:r>
          </w:p>
        </w:tc>
        <w:tc>
          <w:tcPr>
            <w:tcW w:w="1418" w:type="dxa"/>
          </w:tcPr>
          <w:p w:rsidR="00EB0BC7" w:rsidRPr="00DB53FE" w:rsidRDefault="00EB0BC7" w:rsidP="005722FC">
            <w:pPr>
              <w:pStyle w:val="Tabtxt"/>
              <w:ind w:left="113" w:right="113"/>
              <w:jc w:val="left"/>
              <w:rPr>
                <w:sz w:val="16"/>
                <w:szCs w:val="16"/>
                <w:lang w:val="en-US"/>
              </w:rPr>
            </w:pPr>
          </w:p>
        </w:tc>
      </w:tr>
      <w:tr w:rsidR="00EB0BC7" w:rsidRPr="00A15AD4" w:rsidTr="005722FC">
        <w:trPr>
          <w:trHeight w:val="20"/>
        </w:trPr>
        <w:tc>
          <w:tcPr>
            <w:tcW w:w="1701" w:type="dxa"/>
          </w:tcPr>
          <w:p w:rsidR="00EB0BC7" w:rsidRPr="00C40409" w:rsidRDefault="00EB0BC7" w:rsidP="005722FC">
            <w:pPr>
              <w:pStyle w:val="Tabtxt"/>
              <w:ind w:left="113" w:right="113"/>
              <w:jc w:val="left"/>
              <w:rPr>
                <w:bCs/>
                <w:sz w:val="16"/>
                <w:szCs w:val="16"/>
                <w:lang w:val="en-GB"/>
              </w:rPr>
            </w:pPr>
            <w:r w:rsidRPr="00C40409">
              <w:rPr>
                <w:bCs/>
                <w:sz w:val="16"/>
                <w:szCs w:val="16"/>
                <w:lang w:val="en-GB"/>
              </w:rPr>
              <w:t>Participatory video</w:t>
            </w:r>
          </w:p>
        </w:tc>
        <w:tc>
          <w:tcPr>
            <w:tcW w:w="5726" w:type="dxa"/>
          </w:tcPr>
          <w:p w:rsidR="00EB0BC7" w:rsidRPr="00C40409" w:rsidRDefault="00EB0BC7" w:rsidP="005722FC">
            <w:pPr>
              <w:pStyle w:val="Tabtxt"/>
              <w:tabs>
                <w:tab w:val="clear" w:pos="567"/>
                <w:tab w:val="left" w:pos="1053"/>
              </w:tabs>
              <w:ind w:left="113" w:right="113"/>
              <w:jc w:val="both"/>
              <w:rPr>
                <w:sz w:val="16"/>
                <w:szCs w:val="16"/>
                <w:lang w:val="en-GB"/>
              </w:rPr>
            </w:pPr>
            <w:r w:rsidRPr="00C40409">
              <w:rPr>
                <w:sz w:val="16"/>
                <w:szCs w:val="16"/>
                <w:lang w:val="en-GB"/>
              </w:rPr>
              <w:t xml:space="preserve">Participatory video is an information-generation method that includes individuals and community members in the process of creating their own videos. Participatory video is considered </w:t>
            </w:r>
            <w:proofErr w:type="gramStart"/>
            <w:r w:rsidRPr="00C40409">
              <w:rPr>
                <w:sz w:val="16"/>
                <w:szCs w:val="16"/>
                <w:lang w:val="en-GB"/>
              </w:rPr>
              <w:t>to be an</w:t>
            </w:r>
            <w:proofErr w:type="gramEnd"/>
            <w:r w:rsidRPr="00C40409">
              <w:rPr>
                <w:sz w:val="16"/>
                <w:szCs w:val="16"/>
                <w:lang w:val="en-GB"/>
              </w:rPr>
              <w:t xml:space="preserve"> empowering process for community members because it brings them together to address their concerns and record their knowledge collectively. </w:t>
            </w:r>
          </w:p>
        </w:tc>
        <w:tc>
          <w:tcPr>
            <w:tcW w:w="1418" w:type="dxa"/>
          </w:tcPr>
          <w:p w:rsidR="00EB0BC7" w:rsidRPr="008E15B8" w:rsidRDefault="00EB0BC7" w:rsidP="005722FC">
            <w:pPr>
              <w:pStyle w:val="Tabtxt"/>
              <w:ind w:left="113" w:right="113"/>
              <w:jc w:val="left"/>
              <w:rPr>
                <w:sz w:val="16"/>
                <w:szCs w:val="16"/>
                <w:lang w:val="es-ES_tradnl"/>
              </w:rPr>
            </w:pPr>
            <w:r w:rsidRPr="008E15B8">
              <w:rPr>
                <w:sz w:val="16"/>
                <w:szCs w:val="16"/>
                <w:lang w:val="es-ES_tradnl"/>
              </w:rPr>
              <w:t>Wikipedia (</w:t>
            </w:r>
            <w:hyperlink r:id="rId7" w:history="1">
              <w:r w:rsidRPr="008E15B8">
                <w:rPr>
                  <w:rStyle w:val="Hyperlink"/>
                  <w:sz w:val="16"/>
                  <w:szCs w:val="16"/>
                  <w:lang w:val="es-ES_tradnl"/>
                </w:rPr>
                <w:t>http://en.wikipedia.org/wiki/Participatory_video</w:t>
              </w:r>
            </w:hyperlink>
            <w:r w:rsidRPr="008E15B8">
              <w:rPr>
                <w:sz w:val="16"/>
                <w:szCs w:val="16"/>
                <w:lang w:val="es-ES_tradnl"/>
              </w:rPr>
              <w:t>)</w:t>
            </w:r>
          </w:p>
        </w:tc>
      </w:tr>
    </w:tbl>
    <w:p w:rsidR="00EB0BC7" w:rsidRPr="008E15B8" w:rsidRDefault="00EB0BC7" w:rsidP="00EB0BC7">
      <w:pPr>
        <w:jc w:val="left"/>
        <w:rPr>
          <w:lang w:val="es-ES_tradnl"/>
        </w:rPr>
      </w:pPr>
      <w:r w:rsidRPr="008E15B8">
        <w:rPr>
          <w:lang w:val="es-ES_tradnl"/>
        </w:rPr>
        <w:br w:type="page"/>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726"/>
        <w:gridCol w:w="1418"/>
      </w:tblGrid>
      <w:tr w:rsidR="00EB0BC7" w:rsidRPr="00354C74" w:rsidTr="005722FC">
        <w:trPr>
          <w:trHeight w:val="20"/>
          <w:tblHeader/>
        </w:trPr>
        <w:tc>
          <w:tcPr>
            <w:tcW w:w="1701" w:type="dxa"/>
            <w:shd w:val="clear" w:color="auto" w:fill="BAD0EE"/>
          </w:tcPr>
          <w:p w:rsidR="00EB0BC7" w:rsidRPr="00354C74" w:rsidRDefault="00EB0BC7" w:rsidP="005722FC">
            <w:pPr>
              <w:pStyle w:val="Tabltetiere"/>
              <w:spacing w:before="240"/>
              <w:rPr>
                <w:bCs/>
                <w:i/>
                <w:iCs/>
                <w:caps/>
                <w:color w:val="404040" w:themeColor="text1" w:themeTint="BF"/>
                <w:szCs w:val="22"/>
                <w:lang w:eastAsia="en-US"/>
              </w:rPr>
            </w:pPr>
            <w:proofErr w:type="spellStart"/>
            <w:r w:rsidRPr="00354C74">
              <w:lastRenderedPageBreak/>
              <w:t>Term</w:t>
            </w:r>
            <w:proofErr w:type="spellEnd"/>
          </w:p>
        </w:tc>
        <w:tc>
          <w:tcPr>
            <w:tcW w:w="5726" w:type="dxa"/>
            <w:shd w:val="clear" w:color="auto" w:fill="BAD0EE"/>
          </w:tcPr>
          <w:p w:rsidR="00EB0BC7" w:rsidRPr="00354C74" w:rsidRDefault="00EB0BC7" w:rsidP="005722FC">
            <w:pPr>
              <w:pStyle w:val="Tabltetiere"/>
              <w:spacing w:before="240"/>
              <w:rPr>
                <w:bCs/>
                <w:i/>
                <w:iCs/>
                <w:caps/>
                <w:color w:val="404040" w:themeColor="text1" w:themeTint="BF"/>
                <w:szCs w:val="22"/>
                <w:lang w:eastAsia="en-US"/>
              </w:rPr>
            </w:pPr>
            <w:proofErr w:type="spellStart"/>
            <w:r w:rsidRPr="00354C74">
              <w:t>D</w:t>
            </w:r>
            <w:r>
              <w:t>e</w:t>
            </w:r>
            <w:r w:rsidRPr="00354C74">
              <w:t>finition</w:t>
            </w:r>
            <w:proofErr w:type="spellEnd"/>
          </w:p>
        </w:tc>
        <w:tc>
          <w:tcPr>
            <w:tcW w:w="1418" w:type="dxa"/>
            <w:shd w:val="clear" w:color="auto" w:fill="BAD0EE"/>
          </w:tcPr>
          <w:p w:rsidR="00EB0BC7" w:rsidRPr="00DB53FE" w:rsidRDefault="00EB0BC7" w:rsidP="005722FC">
            <w:pPr>
              <w:pStyle w:val="Tabltetiere"/>
              <w:spacing w:before="80"/>
              <w:rPr>
                <w:bCs/>
                <w:i/>
                <w:iCs/>
                <w:caps/>
                <w:color w:val="404040" w:themeColor="text1" w:themeTint="BF"/>
                <w:szCs w:val="22"/>
                <w:lang w:val="en-US" w:eastAsia="en-US"/>
              </w:rPr>
            </w:pPr>
            <w:r w:rsidRPr="00DB53FE">
              <w:rPr>
                <w:lang w:val="en-US"/>
              </w:rPr>
              <w:t xml:space="preserve">Source </w:t>
            </w:r>
            <w:r w:rsidRPr="00DB53FE">
              <w:rPr>
                <w:lang w:val="en-US"/>
              </w:rPr>
              <w:br/>
              <w:t>(if other than CTA/IFAD)</w:t>
            </w:r>
          </w:p>
        </w:tc>
      </w:tr>
      <w:tr w:rsidR="00EB0BC7" w:rsidRPr="00C40409" w:rsidTr="005722FC">
        <w:trPr>
          <w:trHeight w:val="20"/>
        </w:trPr>
        <w:tc>
          <w:tcPr>
            <w:tcW w:w="1701" w:type="dxa"/>
          </w:tcPr>
          <w:p w:rsidR="00EB0BC7" w:rsidRPr="00C40409" w:rsidRDefault="00EB0BC7" w:rsidP="005722FC">
            <w:pPr>
              <w:pStyle w:val="Tabtxt"/>
              <w:ind w:left="113" w:right="113"/>
              <w:jc w:val="left"/>
              <w:rPr>
                <w:bCs/>
                <w:sz w:val="16"/>
                <w:szCs w:val="16"/>
                <w:lang w:val="en-GB"/>
              </w:rPr>
            </w:pPr>
            <w:r w:rsidRPr="00C40409">
              <w:rPr>
                <w:bCs/>
                <w:sz w:val="16"/>
                <w:szCs w:val="16"/>
                <w:lang w:val="en-GB"/>
              </w:rPr>
              <w:t>Participatory mapping</w:t>
            </w:r>
          </w:p>
        </w:tc>
        <w:tc>
          <w:tcPr>
            <w:tcW w:w="5726" w:type="dxa"/>
          </w:tcPr>
          <w:p w:rsidR="00EB0BC7" w:rsidRPr="00C40409" w:rsidRDefault="00EB0BC7" w:rsidP="005722FC">
            <w:pPr>
              <w:pStyle w:val="Tabtxt"/>
              <w:tabs>
                <w:tab w:val="clear" w:pos="567"/>
                <w:tab w:val="left" w:pos="1053"/>
              </w:tabs>
              <w:ind w:left="113" w:right="113"/>
              <w:jc w:val="both"/>
              <w:rPr>
                <w:sz w:val="16"/>
                <w:szCs w:val="16"/>
                <w:lang w:val="en-GB"/>
              </w:rPr>
            </w:pPr>
            <w:r w:rsidRPr="00C40409">
              <w:rPr>
                <w:sz w:val="16"/>
                <w:szCs w:val="16"/>
                <w:lang w:val="en-GB"/>
              </w:rPr>
              <w:t xml:space="preserve">Participatory mapping </w:t>
            </w:r>
            <w:proofErr w:type="gramStart"/>
            <w:r w:rsidRPr="00C40409">
              <w:rPr>
                <w:sz w:val="16"/>
                <w:szCs w:val="16"/>
                <w:lang w:val="en-GB"/>
              </w:rPr>
              <w:t>can be carried out</w:t>
            </w:r>
            <w:proofErr w:type="gramEnd"/>
            <w:r w:rsidRPr="00C40409">
              <w:rPr>
                <w:sz w:val="16"/>
                <w:szCs w:val="16"/>
                <w:lang w:val="en-GB"/>
              </w:rPr>
              <w:t xml:space="preserve"> to document a community’s cultural landscape and related ICH elements. Mapping the cultural landscape refers to features that shape the social values, norms, practices and spirituality of a community and the related ICH element. These include, for example, sacred sites, dancing sites and circumcision sites. Participatory mapping may help to collect information on the ways in which communities interact with ICH elements and can be useful in relaying spatial information to external agencies, as well as recording and archiving local knowledge relative to a particular ICH element. </w:t>
            </w:r>
          </w:p>
        </w:tc>
        <w:tc>
          <w:tcPr>
            <w:tcW w:w="1418" w:type="dxa"/>
          </w:tcPr>
          <w:p w:rsidR="00EB0BC7" w:rsidRPr="00C40409" w:rsidRDefault="00EB0BC7" w:rsidP="005722FC">
            <w:pPr>
              <w:pStyle w:val="Tabtxt"/>
              <w:ind w:left="113" w:right="113"/>
              <w:jc w:val="left"/>
              <w:rPr>
                <w:sz w:val="16"/>
                <w:szCs w:val="16"/>
                <w:lang w:val="en-GB"/>
              </w:rPr>
            </w:pPr>
          </w:p>
        </w:tc>
      </w:tr>
      <w:tr w:rsidR="00EB0BC7" w:rsidRPr="00C40409" w:rsidTr="005722FC">
        <w:trPr>
          <w:trHeight w:val="20"/>
        </w:trPr>
        <w:tc>
          <w:tcPr>
            <w:tcW w:w="1701" w:type="dxa"/>
          </w:tcPr>
          <w:p w:rsidR="00EB0BC7" w:rsidRPr="00C40409" w:rsidRDefault="00EB0BC7" w:rsidP="005722FC">
            <w:pPr>
              <w:pStyle w:val="Tabtxt"/>
              <w:ind w:left="113" w:right="113"/>
              <w:jc w:val="left"/>
              <w:rPr>
                <w:bCs/>
                <w:sz w:val="16"/>
                <w:szCs w:val="16"/>
                <w:lang w:val="en-GB"/>
              </w:rPr>
            </w:pPr>
            <w:r w:rsidRPr="00C40409">
              <w:rPr>
                <w:bCs/>
                <w:sz w:val="16"/>
                <w:szCs w:val="16"/>
                <w:lang w:val="en-GB"/>
              </w:rPr>
              <w:t>Semi-structured interviews</w:t>
            </w:r>
          </w:p>
        </w:tc>
        <w:tc>
          <w:tcPr>
            <w:tcW w:w="5726" w:type="dxa"/>
          </w:tcPr>
          <w:p w:rsidR="00EB0BC7" w:rsidRPr="00C40409" w:rsidRDefault="00EB0BC7" w:rsidP="005722FC">
            <w:pPr>
              <w:pStyle w:val="Tabtxt"/>
              <w:tabs>
                <w:tab w:val="clear" w:pos="567"/>
                <w:tab w:val="left" w:pos="2280"/>
              </w:tabs>
              <w:ind w:left="113" w:right="113"/>
              <w:jc w:val="both"/>
              <w:rPr>
                <w:sz w:val="16"/>
                <w:szCs w:val="16"/>
                <w:lang w:val="en-GB"/>
              </w:rPr>
            </w:pPr>
            <w:r w:rsidRPr="00C40409">
              <w:rPr>
                <w:sz w:val="16"/>
                <w:szCs w:val="16"/>
                <w:lang w:val="en-GB"/>
              </w:rPr>
              <w:t xml:space="preserve">A semi-structured interview is a type of interview that involves the use of a pre-determined set of questions or topics. However, deviation from the prescribed questions and topics </w:t>
            </w:r>
            <w:proofErr w:type="gramStart"/>
            <w:r w:rsidRPr="00C40409">
              <w:rPr>
                <w:sz w:val="16"/>
                <w:szCs w:val="16"/>
                <w:lang w:val="en-GB"/>
              </w:rPr>
              <w:t>is allowed</w:t>
            </w:r>
            <w:proofErr w:type="gramEnd"/>
            <w:r w:rsidRPr="00C40409">
              <w:rPr>
                <w:sz w:val="16"/>
                <w:szCs w:val="16"/>
                <w:lang w:val="en-GB"/>
              </w:rPr>
              <w:t xml:space="preserve"> and respondents are encouraged to elaborate upon discussion topics and put forth ideas not included in the interview schedule. </w:t>
            </w:r>
          </w:p>
        </w:tc>
        <w:tc>
          <w:tcPr>
            <w:tcW w:w="1418" w:type="dxa"/>
          </w:tcPr>
          <w:p w:rsidR="00EB0BC7" w:rsidRPr="00C40409" w:rsidRDefault="00EB0BC7" w:rsidP="005722FC">
            <w:pPr>
              <w:pStyle w:val="Tabtxt"/>
              <w:ind w:left="113" w:right="113"/>
              <w:jc w:val="left"/>
              <w:rPr>
                <w:sz w:val="16"/>
                <w:szCs w:val="16"/>
                <w:lang w:val="en-GB"/>
              </w:rPr>
            </w:pPr>
          </w:p>
        </w:tc>
      </w:tr>
      <w:tr w:rsidR="00EB0BC7" w:rsidRPr="00C40409" w:rsidTr="005722FC">
        <w:trPr>
          <w:trHeight w:val="20"/>
        </w:trPr>
        <w:tc>
          <w:tcPr>
            <w:tcW w:w="1701" w:type="dxa"/>
          </w:tcPr>
          <w:p w:rsidR="00EB0BC7" w:rsidRPr="00C40409" w:rsidRDefault="00EB0BC7" w:rsidP="005722FC">
            <w:pPr>
              <w:pStyle w:val="Tabtxt"/>
              <w:ind w:left="113" w:right="113"/>
              <w:jc w:val="left"/>
              <w:rPr>
                <w:bCs/>
                <w:sz w:val="16"/>
                <w:szCs w:val="16"/>
                <w:lang w:val="en-GB"/>
              </w:rPr>
            </w:pPr>
            <w:r w:rsidRPr="00C40409">
              <w:rPr>
                <w:bCs/>
                <w:sz w:val="16"/>
                <w:szCs w:val="16"/>
                <w:lang w:val="en-GB"/>
              </w:rPr>
              <w:t>Structured interviews</w:t>
            </w:r>
          </w:p>
        </w:tc>
        <w:tc>
          <w:tcPr>
            <w:tcW w:w="5726" w:type="dxa"/>
          </w:tcPr>
          <w:p w:rsidR="00EB0BC7" w:rsidRPr="00C40409" w:rsidRDefault="00EB0BC7" w:rsidP="005722FC">
            <w:pPr>
              <w:pStyle w:val="Tabtxt"/>
              <w:tabs>
                <w:tab w:val="clear" w:pos="567"/>
                <w:tab w:val="left" w:pos="2280"/>
              </w:tabs>
              <w:ind w:left="113" w:right="113"/>
              <w:jc w:val="both"/>
              <w:rPr>
                <w:sz w:val="16"/>
                <w:szCs w:val="16"/>
                <w:lang w:val="en-GB"/>
              </w:rPr>
            </w:pPr>
            <w:r w:rsidRPr="00C40409">
              <w:rPr>
                <w:sz w:val="16"/>
                <w:szCs w:val="16"/>
                <w:lang w:val="en-GB"/>
              </w:rPr>
              <w:t xml:space="preserve">In a structured interview, the exact same questions </w:t>
            </w:r>
            <w:proofErr w:type="gramStart"/>
            <w:r w:rsidRPr="00C40409">
              <w:rPr>
                <w:sz w:val="16"/>
                <w:szCs w:val="16"/>
                <w:lang w:val="en-GB"/>
              </w:rPr>
              <w:t>are asked</w:t>
            </w:r>
            <w:proofErr w:type="gramEnd"/>
            <w:r w:rsidRPr="00C40409">
              <w:rPr>
                <w:sz w:val="16"/>
                <w:szCs w:val="16"/>
                <w:lang w:val="en-GB"/>
              </w:rPr>
              <w:t xml:space="preserve"> in the exact same order for each interviewee. Deviations from these questions are not encouraged. These kinds of interviews generally produce </w:t>
            </w:r>
            <w:proofErr w:type="gramStart"/>
            <w:r w:rsidRPr="00C40409">
              <w:rPr>
                <w:sz w:val="16"/>
                <w:szCs w:val="16"/>
                <w:lang w:val="en-GB"/>
              </w:rPr>
              <w:t>results that are highly comparable</w:t>
            </w:r>
            <w:proofErr w:type="gramEnd"/>
            <w:r w:rsidRPr="00C40409">
              <w:rPr>
                <w:sz w:val="16"/>
                <w:szCs w:val="16"/>
                <w:lang w:val="en-GB"/>
              </w:rPr>
              <w:t xml:space="preserve">. </w:t>
            </w:r>
          </w:p>
        </w:tc>
        <w:tc>
          <w:tcPr>
            <w:tcW w:w="1418" w:type="dxa"/>
          </w:tcPr>
          <w:p w:rsidR="00EB0BC7" w:rsidRPr="00C40409" w:rsidRDefault="00EB0BC7" w:rsidP="005722FC">
            <w:pPr>
              <w:pStyle w:val="Tabtxt"/>
              <w:ind w:left="113" w:right="113"/>
              <w:jc w:val="left"/>
              <w:rPr>
                <w:sz w:val="16"/>
                <w:szCs w:val="16"/>
                <w:lang w:val="en-GB"/>
              </w:rPr>
            </w:pPr>
          </w:p>
        </w:tc>
      </w:tr>
      <w:tr w:rsidR="00EB0BC7" w:rsidRPr="00C40409" w:rsidTr="005722FC">
        <w:trPr>
          <w:trHeight w:val="20"/>
        </w:trPr>
        <w:tc>
          <w:tcPr>
            <w:tcW w:w="1701" w:type="dxa"/>
          </w:tcPr>
          <w:p w:rsidR="00EB0BC7" w:rsidRPr="00C40409" w:rsidRDefault="00EB0BC7" w:rsidP="005722FC">
            <w:pPr>
              <w:pStyle w:val="Tabtxt"/>
              <w:ind w:left="113" w:right="113"/>
              <w:jc w:val="left"/>
              <w:rPr>
                <w:bCs/>
                <w:sz w:val="16"/>
                <w:szCs w:val="16"/>
                <w:lang w:val="en-GB"/>
              </w:rPr>
            </w:pPr>
            <w:r w:rsidRPr="00C40409">
              <w:rPr>
                <w:sz w:val="16"/>
                <w:szCs w:val="16"/>
                <w:lang w:val="en-GB"/>
              </w:rPr>
              <w:t>Unstructured interviews</w:t>
            </w:r>
          </w:p>
        </w:tc>
        <w:tc>
          <w:tcPr>
            <w:tcW w:w="5726" w:type="dxa"/>
          </w:tcPr>
          <w:p w:rsidR="00EB0BC7" w:rsidRPr="00C40409" w:rsidRDefault="00EB0BC7" w:rsidP="005722FC">
            <w:pPr>
              <w:pStyle w:val="Tabtxt"/>
              <w:tabs>
                <w:tab w:val="clear" w:pos="567"/>
                <w:tab w:val="left" w:pos="2280"/>
              </w:tabs>
              <w:ind w:left="113" w:right="113"/>
              <w:jc w:val="both"/>
              <w:rPr>
                <w:sz w:val="16"/>
                <w:szCs w:val="16"/>
                <w:lang w:val="en-GB"/>
              </w:rPr>
            </w:pPr>
            <w:r w:rsidRPr="00C40409">
              <w:rPr>
                <w:sz w:val="16"/>
                <w:szCs w:val="16"/>
                <w:lang w:val="en-GB"/>
              </w:rPr>
              <w:t xml:space="preserve">Unstructured interviews </w:t>
            </w:r>
            <w:proofErr w:type="gramStart"/>
            <w:r w:rsidRPr="00C40409">
              <w:rPr>
                <w:sz w:val="16"/>
                <w:szCs w:val="16"/>
                <w:lang w:val="en-GB"/>
              </w:rPr>
              <w:t>are not guided</w:t>
            </w:r>
            <w:proofErr w:type="gramEnd"/>
            <w:r w:rsidRPr="00C40409">
              <w:rPr>
                <w:sz w:val="16"/>
                <w:szCs w:val="16"/>
                <w:lang w:val="en-GB"/>
              </w:rPr>
              <w:t xml:space="preserve"> by a set of questions, but by the natural flow of conversation between the interviewer and respondent. These interviews begin with the premise </w:t>
            </w:r>
            <w:proofErr w:type="gramStart"/>
            <w:r w:rsidRPr="00C40409">
              <w:rPr>
                <w:sz w:val="16"/>
                <w:szCs w:val="16"/>
                <w:lang w:val="en-GB"/>
              </w:rPr>
              <w:t>that the interviewer has not identified the most important subjects for discussion and so should rely on the expertise of the interviewee</w:t>
            </w:r>
            <w:proofErr w:type="gramEnd"/>
            <w:r w:rsidRPr="00C40409">
              <w:rPr>
                <w:sz w:val="16"/>
                <w:szCs w:val="16"/>
                <w:lang w:val="en-GB"/>
              </w:rPr>
              <w:t>.</w:t>
            </w:r>
          </w:p>
        </w:tc>
        <w:tc>
          <w:tcPr>
            <w:tcW w:w="1418" w:type="dxa"/>
          </w:tcPr>
          <w:p w:rsidR="00EB0BC7" w:rsidRPr="00C40409" w:rsidRDefault="00EB0BC7" w:rsidP="005722FC">
            <w:pPr>
              <w:pStyle w:val="Tabtxt"/>
              <w:ind w:left="113" w:right="113"/>
              <w:jc w:val="left"/>
              <w:rPr>
                <w:sz w:val="16"/>
                <w:szCs w:val="16"/>
                <w:lang w:val="en-GB"/>
              </w:rPr>
            </w:pPr>
          </w:p>
        </w:tc>
      </w:tr>
    </w:tbl>
    <w:p w:rsidR="00734D77" w:rsidRDefault="00734D77" w:rsidP="009128FE">
      <w:pPr>
        <w:rPr>
          <w:sz w:val="16"/>
          <w:szCs w:val="16"/>
        </w:rPr>
      </w:pPr>
    </w:p>
    <w:p w:rsidR="00DF0476" w:rsidRPr="008411AB" w:rsidRDefault="00734D77" w:rsidP="009128FE">
      <w:pPr>
        <w:rPr>
          <w:sz w:val="16"/>
          <w:szCs w:val="16"/>
        </w:rPr>
      </w:pPr>
      <w:r w:rsidRPr="008411AB">
        <w:rPr>
          <w:sz w:val="16"/>
          <w:szCs w:val="16"/>
        </w:rPr>
        <w:t xml:space="preserve">Source; CTA. </w:t>
      </w:r>
      <w:proofErr w:type="gramStart"/>
      <w:r w:rsidRPr="008411AB">
        <w:rPr>
          <w:sz w:val="16"/>
          <w:szCs w:val="16"/>
        </w:rPr>
        <w:t>2010</w:t>
      </w:r>
      <w:proofErr w:type="gramEnd"/>
      <w:r w:rsidRPr="008411AB">
        <w:rPr>
          <w:sz w:val="16"/>
          <w:szCs w:val="16"/>
        </w:rPr>
        <w:t xml:space="preserve">, </w:t>
      </w:r>
      <w:r w:rsidRPr="00DC421D">
        <w:rPr>
          <w:i/>
          <w:sz w:val="16"/>
          <w:szCs w:val="16"/>
        </w:rPr>
        <w:t>Training Kit on Participatory Spatial Information Management and Communication</w:t>
      </w:r>
      <w:r w:rsidRPr="008411AB">
        <w:rPr>
          <w:sz w:val="16"/>
          <w:szCs w:val="16"/>
        </w:rPr>
        <w:t xml:space="preserve">. CTA, </w:t>
      </w:r>
      <w:proofErr w:type="gramStart"/>
      <w:r w:rsidRPr="008411AB">
        <w:rPr>
          <w:sz w:val="16"/>
          <w:szCs w:val="16"/>
        </w:rPr>
        <w:t>The</w:t>
      </w:r>
      <w:proofErr w:type="gramEnd"/>
      <w:r w:rsidRPr="008411AB">
        <w:rPr>
          <w:sz w:val="16"/>
          <w:szCs w:val="16"/>
        </w:rPr>
        <w:t xml:space="preserve"> Netherlands and IFAD, Italy (ISBN: 978-92-9081-446-7).</w:t>
      </w:r>
    </w:p>
    <w:sectPr w:rsidR="00DF0476" w:rsidRPr="008411AB" w:rsidSect="00EB0BC7">
      <w:headerReference w:type="even" r:id="rId8"/>
      <w:headerReference w:type="default" r:id="rId9"/>
      <w:footerReference w:type="even" r:id="rId10"/>
      <w:footerReference w:type="default" r:id="rId11"/>
      <w:headerReference w:type="first" r:id="rId12"/>
      <w:footerReference w:type="first" r:id="rId13"/>
      <w:pgSz w:w="11901" w:h="16817" w:code="9"/>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C7" w:rsidRDefault="00EB0BC7" w:rsidP="00EB0BC7">
      <w:pPr>
        <w:spacing w:before="0" w:after="0"/>
      </w:pPr>
      <w:r>
        <w:separator/>
      </w:r>
    </w:p>
  </w:endnote>
  <w:endnote w:type="continuationSeparator" w:id="0">
    <w:p w:rsidR="00EB0BC7" w:rsidRDefault="00EB0BC7" w:rsidP="00EB0B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5A" w:rsidRPr="006A0683" w:rsidRDefault="00EB0BC7" w:rsidP="006A0683">
    <w:pPr>
      <w:pStyle w:val="Footer"/>
      <w:ind w:right="360" w:firstLine="360"/>
    </w:pPr>
    <w:r w:rsidRPr="004C504F">
      <w:rPr>
        <w:noProof/>
        <w:lang w:val="fr-FR" w:eastAsia="ja-JP"/>
      </w:rPr>
      <w:drawing>
        <wp:anchor distT="0" distB="0" distL="114300" distR="114300" simplePos="0" relativeHeight="251659264" behindDoc="0" locked="1" layoutInCell="1" allowOverlap="0" wp14:anchorId="7D32297D" wp14:editId="086E9AB2">
          <wp:simplePos x="0" y="0"/>
          <wp:positionH relativeFrom="margin">
            <wp:posOffset>0</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r>
    <w:r>
      <w:t xml:space="preserve">© UNESCO </w:t>
    </w:r>
    <w:r>
      <w:t>• Not to be reproduced without permission</w:t>
    </w:r>
    <w:r>
      <w:rPr>
        <w:rStyle w:val="PageNumber"/>
      </w:rPr>
      <w:tab/>
    </w:r>
    <w:r>
      <w:rPr>
        <w:lang w:val="en-US"/>
      </w:rPr>
      <w:t>U023</w:t>
    </w:r>
    <w:r w:rsidRPr="00C41D44">
      <w:rPr>
        <w:lang w:val="en-US"/>
      </w:rPr>
      <w:t>-v1.0-</w:t>
    </w:r>
    <w:r>
      <w:rPr>
        <w:lang w:val="en-US"/>
      </w:rPr>
      <w:t>HO2</w:t>
    </w:r>
    <w:r w:rsidRPr="00C41D44">
      <w:rPr>
        <w:lang w:val="en-US"/>
      </w:rPr>
      <w:t>-</w:t>
    </w:r>
    <w:r>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7" w:rsidRPr="006A0683" w:rsidRDefault="00293E9C" w:rsidP="00907CEA">
    <w:pPr>
      <w:pStyle w:val="Footer"/>
      <w:ind w:right="360" w:firstLine="360"/>
    </w:pPr>
    <w:r w:rsidRPr="005F0158">
      <w:rPr>
        <w:rFonts w:cs="Arial"/>
        <w:noProof/>
        <w:sz w:val="22"/>
        <w:lang w:val="fr-FR" w:eastAsia="ja-JP"/>
      </w:rPr>
      <w:drawing>
        <wp:anchor distT="0" distB="0" distL="114300" distR="114300" simplePos="0" relativeHeight="251674624" behindDoc="0" locked="0" layoutInCell="1" allowOverlap="1" wp14:anchorId="7F84167F" wp14:editId="09601481">
          <wp:simplePos x="0" y="0"/>
          <wp:positionH relativeFrom="column">
            <wp:posOffset>2524125</wp:posOffset>
          </wp:positionH>
          <wp:positionV relativeFrom="paragraph">
            <wp:posOffset>9525</wp:posOffset>
          </wp:positionV>
          <wp:extent cx="565150" cy="198755"/>
          <wp:effectExtent l="0" t="0" r="6350" b="0"/>
          <wp:wrapTopAndBottom/>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EB0BC7" w:rsidRPr="004C504F">
      <w:rPr>
        <w:noProof/>
        <w:lang w:val="fr-FR" w:eastAsia="ja-JP"/>
      </w:rPr>
      <w:drawing>
        <wp:anchor distT="0" distB="0" distL="114300" distR="114300" simplePos="0" relativeHeight="251662336" behindDoc="0" locked="1" layoutInCell="1" allowOverlap="0" wp14:anchorId="141A8E08" wp14:editId="59C790B0">
          <wp:simplePos x="0" y="0"/>
          <wp:positionH relativeFrom="margin">
            <wp:align>left</wp:align>
          </wp:positionH>
          <wp:positionV relativeFrom="margin">
            <wp:posOffset>8641080</wp:posOffset>
          </wp:positionV>
          <wp:extent cx="942975" cy="538480"/>
          <wp:effectExtent l="0" t="0" r="9525"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B0BC7">
      <w:tab/>
    </w:r>
    <w:r w:rsidR="00EB0BC7">
      <w:rPr>
        <w:rStyle w:val="PageNumber"/>
      </w:rPr>
      <w:tab/>
    </w:r>
    <w:r w:rsidR="00EB0BC7">
      <w:rPr>
        <w:lang w:val="en-US"/>
      </w:rPr>
      <w:t>U023</w:t>
    </w:r>
    <w:r w:rsidR="00EB0BC7" w:rsidRPr="00C41D44">
      <w:rPr>
        <w:lang w:val="en-US"/>
      </w:rPr>
      <w:t>-v1.0-</w:t>
    </w:r>
    <w:r w:rsidR="00EB0BC7">
      <w:rPr>
        <w:lang w:val="en-US"/>
      </w:rPr>
      <w:t>HO2</w:t>
    </w:r>
    <w:r w:rsidR="00EB0BC7" w:rsidRPr="00C41D44">
      <w:rPr>
        <w:lang w:val="en-US"/>
      </w:rPr>
      <w:t>-</w:t>
    </w:r>
    <w:r w:rsidR="00EB0BC7">
      <w:rPr>
        <w:lang w:val="en-US"/>
      </w:rPr>
      <w:t>EN</w:t>
    </w:r>
  </w:p>
  <w:p w:rsidR="00EB0BC7" w:rsidRDefault="00EB0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5A" w:rsidRDefault="00293E9C" w:rsidP="00907CEA">
    <w:pPr>
      <w:pStyle w:val="Footer"/>
    </w:pPr>
    <w:r w:rsidRPr="005F0158">
      <w:rPr>
        <w:rFonts w:cs="Arial"/>
        <w:noProof/>
        <w:sz w:val="22"/>
        <w:lang w:val="fr-FR" w:eastAsia="ja-JP"/>
      </w:rPr>
      <w:drawing>
        <wp:anchor distT="0" distB="0" distL="114300" distR="114300" simplePos="0" relativeHeight="251672576" behindDoc="0" locked="0" layoutInCell="1" allowOverlap="1" wp14:anchorId="7F84167F" wp14:editId="09601481">
          <wp:simplePos x="0" y="0"/>
          <wp:positionH relativeFrom="column">
            <wp:posOffset>2524125</wp:posOffset>
          </wp:positionH>
          <wp:positionV relativeFrom="paragraph">
            <wp:posOffset>9525</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EB0BC7">
      <w:rPr>
        <w:lang w:val="en-US"/>
      </w:rPr>
      <w:t>U023</w:t>
    </w:r>
    <w:r w:rsidR="00EB0BC7" w:rsidRPr="00C41D44">
      <w:rPr>
        <w:lang w:val="en-US"/>
      </w:rPr>
      <w:t>-v1.0-</w:t>
    </w:r>
    <w:r w:rsidR="00EB0BC7">
      <w:rPr>
        <w:lang w:val="en-US"/>
      </w:rPr>
      <w:t>HO2</w:t>
    </w:r>
    <w:r w:rsidR="00EB0BC7" w:rsidRPr="00C41D44">
      <w:rPr>
        <w:lang w:val="en-US"/>
      </w:rPr>
      <w:t>-</w:t>
    </w:r>
    <w:r w:rsidR="00EB0BC7">
      <w:rPr>
        <w:lang w:val="en-US"/>
      </w:rPr>
      <w:t>EN</w:t>
    </w:r>
    <w:r w:rsidR="00EB0BC7">
      <w:tab/>
    </w:r>
    <w:r w:rsidR="00EB0BC7">
      <w:tab/>
    </w:r>
    <w:r w:rsidR="00EB0BC7" w:rsidRPr="007F7A45">
      <w:rPr>
        <w:noProof/>
        <w:lang w:val="fr-FR" w:eastAsia="ja-JP"/>
      </w:rPr>
      <w:drawing>
        <wp:anchor distT="0" distB="0" distL="114300" distR="114300" simplePos="0" relativeHeight="251660288" behindDoc="0" locked="1" layoutInCell="1" allowOverlap="0" wp14:anchorId="4EEF5AD8" wp14:editId="4F7CFFA9">
          <wp:simplePos x="0" y="0"/>
          <wp:positionH relativeFrom="margin">
            <wp:posOffset>4681855</wp:posOffset>
          </wp:positionH>
          <wp:positionV relativeFrom="margin">
            <wp:posOffset>8641080</wp:posOffset>
          </wp:positionV>
          <wp:extent cx="942975" cy="5384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C7" w:rsidRDefault="00EB0BC7" w:rsidP="00EB0BC7">
      <w:pPr>
        <w:spacing w:before="0" w:after="0"/>
      </w:pPr>
      <w:r>
        <w:separator/>
      </w:r>
    </w:p>
  </w:footnote>
  <w:footnote w:type="continuationSeparator" w:id="0">
    <w:p w:rsidR="00EB0BC7" w:rsidRDefault="00EB0BC7" w:rsidP="00EB0B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5A" w:rsidRPr="00313AA8" w:rsidRDefault="00EB0BC7" w:rsidP="004B4C5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r>
    <w:r>
      <w:t xml:space="preserve">Unit 23: </w:t>
    </w:r>
    <w:r w:rsidRPr="009E64F0">
      <w:t>Methods &amp; techniques of inventorying</w:t>
    </w:r>
    <w:r>
      <w:tab/>
      <w:t>Hand-out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7" w:rsidRDefault="00EB0BC7" w:rsidP="00EB0BC7">
    <w:pPr>
      <w:pStyle w:val="Header"/>
    </w:pPr>
    <w:r>
      <w:rPr>
        <w:rStyle w:val="PageNumber"/>
      </w:rPr>
      <w:fldChar w:fldCharType="begin"/>
    </w:r>
    <w:r>
      <w:rPr>
        <w:rStyle w:val="PageNumber"/>
      </w:rPr>
      <w:instrText xml:space="preserve"> PAGE </w:instrText>
    </w:r>
    <w:r>
      <w:rPr>
        <w:rStyle w:val="PageNumber"/>
      </w:rPr>
      <w:fldChar w:fldCharType="separate"/>
    </w:r>
    <w:r w:rsidR="00293E9C">
      <w:rPr>
        <w:rStyle w:val="PageNumber"/>
        <w:noProof/>
      </w:rPr>
      <w:t>2</w:t>
    </w:r>
    <w:r>
      <w:rPr>
        <w:rStyle w:val="PageNumber"/>
      </w:rPr>
      <w:fldChar w:fldCharType="end"/>
    </w:r>
    <w:r>
      <w:tab/>
      <w:t xml:space="preserve">Unit </w:t>
    </w:r>
    <w:r>
      <w:t xml:space="preserve">23: </w:t>
    </w:r>
    <w:r w:rsidRPr="009E64F0">
      <w:t>Methods &amp; techniques of inventorying</w:t>
    </w:r>
    <w:r>
      <w:tab/>
      <w:t>Hand-out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5A" w:rsidRDefault="00EB0BC7" w:rsidP="005B4E16">
    <w:pPr>
      <w:pStyle w:val="Header"/>
      <w:ind w:right="360"/>
    </w:pPr>
    <w:r>
      <w:rPr>
        <w:lang w:val="en-GB"/>
      </w:rPr>
      <w:tab/>
    </w:r>
    <w:r>
      <w:t>Hand-out 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9F"/>
    <w:rsid w:val="00077F1D"/>
    <w:rsid w:val="000D6342"/>
    <w:rsid w:val="00176DD5"/>
    <w:rsid w:val="00293E9C"/>
    <w:rsid w:val="00295065"/>
    <w:rsid w:val="00734D77"/>
    <w:rsid w:val="007A3E13"/>
    <w:rsid w:val="008411AB"/>
    <w:rsid w:val="008D5E9F"/>
    <w:rsid w:val="00907CEA"/>
    <w:rsid w:val="009128FE"/>
    <w:rsid w:val="009E08DA"/>
    <w:rsid w:val="00A15AD4"/>
    <w:rsid w:val="00DC421D"/>
    <w:rsid w:val="00DF0476"/>
    <w:rsid w:val="00EB0BC7"/>
    <w:rsid w:val="00FA0ABF"/>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C06E16-9303-43D3-903E-5647586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C7"/>
    <w:pPr>
      <w:tabs>
        <w:tab w:val="left" w:pos="567"/>
      </w:tabs>
      <w:snapToGrid w:val="0"/>
      <w:spacing w:before="120" w:after="120" w:line="240" w:lineRule="auto"/>
      <w:jc w:val="both"/>
    </w:pPr>
    <w:rPr>
      <w:rFonts w:ascii="Arial" w:eastAsia="SimSun" w:hAnsi="Arial" w:cs="Arial"/>
      <w:szCs w:val="24"/>
      <w:lang w:val="en-US" w:eastAsia="zh-CN"/>
    </w:rPr>
  </w:style>
  <w:style w:type="paragraph" w:styleId="Heading1">
    <w:name w:val="heading 1"/>
    <w:basedOn w:val="Normal"/>
    <w:next w:val="Normal"/>
    <w:link w:val="Heading1Char"/>
    <w:uiPriority w:val="9"/>
    <w:qFormat/>
    <w:rsid w:val="00EB0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C7"/>
    <w:pPr>
      <w:tabs>
        <w:tab w:val="clear" w:pos="567"/>
        <w:tab w:val="center" w:pos="4423"/>
        <w:tab w:val="right" w:pos="8845"/>
      </w:tabs>
      <w:snapToGrid/>
      <w:spacing w:before="0" w:after="200" w:line="276" w:lineRule="auto"/>
      <w:jc w:val="left"/>
    </w:pPr>
    <w:rPr>
      <w:rFonts w:eastAsia="Calibri" w:cs="Times New Roman"/>
      <w:sz w:val="16"/>
      <w:szCs w:val="22"/>
      <w:lang w:val="it-IT" w:eastAsia="en-US"/>
    </w:rPr>
  </w:style>
  <w:style w:type="character" w:customStyle="1" w:styleId="HeaderChar">
    <w:name w:val="Header Char"/>
    <w:basedOn w:val="DefaultParagraphFont"/>
    <w:link w:val="Header"/>
    <w:uiPriority w:val="99"/>
    <w:rsid w:val="00EB0BC7"/>
    <w:rPr>
      <w:rFonts w:ascii="Arial" w:eastAsia="Calibri" w:hAnsi="Arial" w:cs="Times New Roman"/>
      <w:sz w:val="16"/>
      <w:lang w:val="it-IT"/>
    </w:rPr>
  </w:style>
  <w:style w:type="character" w:styleId="Hyperlink">
    <w:name w:val="Hyperlink"/>
    <w:uiPriority w:val="99"/>
    <w:rsid w:val="00EB0BC7"/>
    <w:rPr>
      <w:rFonts w:cs="Times New Roman"/>
      <w:color w:val="0000FF"/>
      <w:u w:val="single"/>
    </w:rPr>
  </w:style>
  <w:style w:type="paragraph" w:styleId="Footer">
    <w:name w:val="footer"/>
    <w:basedOn w:val="Normal"/>
    <w:link w:val="FooterChar"/>
    <w:unhideWhenUsed/>
    <w:rsid w:val="00EB0BC7"/>
    <w:pPr>
      <w:tabs>
        <w:tab w:val="clear" w:pos="567"/>
        <w:tab w:val="center" w:pos="4423"/>
        <w:tab w:val="right" w:pos="8845"/>
      </w:tabs>
      <w:snapToGrid/>
      <w:spacing w:before="0" w:after="0" w:line="240" w:lineRule="exact"/>
      <w:jc w:val="left"/>
    </w:pPr>
    <w:rPr>
      <w:rFonts w:eastAsia="Calibri" w:cs="Times New Roman"/>
      <w:sz w:val="16"/>
      <w:szCs w:val="22"/>
      <w:lang w:val="it-IT" w:eastAsia="en-US"/>
    </w:rPr>
  </w:style>
  <w:style w:type="character" w:customStyle="1" w:styleId="FooterChar">
    <w:name w:val="Footer Char"/>
    <w:basedOn w:val="DefaultParagraphFont"/>
    <w:link w:val="Footer"/>
    <w:rsid w:val="00EB0BC7"/>
    <w:rPr>
      <w:rFonts w:ascii="Arial" w:eastAsia="Calibri" w:hAnsi="Arial" w:cs="Times New Roman"/>
      <w:sz w:val="16"/>
      <w:lang w:val="it-IT"/>
    </w:rPr>
  </w:style>
  <w:style w:type="paragraph" w:customStyle="1" w:styleId="Chapitre">
    <w:name w:val="Chapitre"/>
    <w:basedOn w:val="Heading1"/>
    <w:link w:val="ChapitreCar"/>
    <w:rsid w:val="00A15AD4"/>
    <w:pPr>
      <w:pBdr>
        <w:bottom w:val="single" w:sz="4" w:space="14" w:color="3366FF"/>
      </w:pBdr>
      <w:spacing w:before="240" w:after="480" w:line="840" w:lineRule="exact"/>
      <w:jc w:val="left"/>
    </w:pPr>
    <w:rPr>
      <w:rFonts w:ascii="Arial" w:eastAsia="Times New Roman" w:hAnsi="Arial" w:cs="Arial"/>
      <w:caps/>
      <w:noProof/>
      <w:snapToGrid w:val="0"/>
      <w:color w:val="3366FF"/>
      <w:kern w:val="28"/>
      <w:sz w:val="70"/>
      <w:szCs w:val="70"/>
      <w:lang w:val="en-GB"/>
    </w:rPr>
  </w:style>
  <w:style w:type="character" w:customStyle="1" w:styleId="ChapitreCar">
    <w:name w:val="Chapitre Car"/>
    <w:link w:val="Chapitre"/>
    <w:rsid w:val="00A15AD4"/>
    <w:rPr>
      <w:rFonts w:ascii="Arial" w:eastAsia="Times New Roman" w:hAnsi="Arial" w:cs="Arial"/>
      <w:b/>
      <w:bCs/>
      <w:caps/>
      <w:noProof/>
      <w:snapToGrid w:val="0"/>
      <w:color w:val="3366FF"/>
      <w:kern w:val="28"/>
      <w:sz w:val="70"/>
      <w:szCs w:val="70"/>
      <w:lang w:val="en-GB" w:eastAsia="zh-CN"/>
    </w:rPr>
  </w:style>
  <w:style w:type="paragraph" w:customStyle="1" w:styleId="Tabltetiere">
    <w:name w:val="Tabltetiere"/>
    <w:basedOn w:val="Normal"/>
    <w:rsid w:val="00EB0BC7"/>
    <w:pPr>
      <w:keepNext/>
      <w:spacing w:before="60" w:after="60" w:line="200" w:lineRule="exact"/>
      <w:jc w:val="center"/>
    </w:pPr>
    <w:rPr>
      <w:b/>
      <w:sz w:val="18"/>
      <w:szCs w:val="20"/>
      <w:lang w:val="fr-FR"/>
    </w:rPr>
  </w:style>
  <w:style w:type="paragraph" w:customStyle="1" w:styleId="Tabtxt">
    <w:name w:val="Tabtxt"/>
    <w:basedOn w:val="Normal"/>
    <w:rsid w:val="00EB0BC7"/>
    <w:pPr>
      <w:keepNext/>
      <w:spacing w:before="60" w:after="60" w:line="200" w:lineRule="exact"/>
      <w:jc w:val="center"/>
    </w:pPr>
    <w:rPr>
      <w:sz w:val="18"/>
      <w:szCs w:val="18"/>
      <w:lang w:val="fr-FR" w:eastAsia="fr-FR"/>
    </w:rPr>
  </w:style>
  <w:style w:type="paragraph" w:customStyle="1" w:styleId="Texte1">
    <w:name w:val="Texte1"/>
    <w:basedOn w:val="Normal"/>
    <w:link w:val="Texte1Car"/>
    <w:rsid w:val="00EB0BC7"/>
    <w:pPr>
      <w:spacing w:before="0" w:after="60" w:line="280" w:lineRule="exact"/>
      <w:ind w:left="851"/>
    </w:pPr>
    <w:rPr>
      <w:sz w:val="20"/>
      <w:lang w:val="fr-FR"/>
    </w:rPr>
  </w:style>
  <w:style w:type="character" w:customStyle="1" w:styleId="Texte1Car">
    <w:name w:val="Texte1 Car"/>
    <w:link w:val="Texte1"/>
    <w:rsid w:val="00EB0BC7"/>
    <w:rPr>
      <w:rFonts w:ascii="Arial" w:eastAsia="SimSun" w:hAnsi="Arial" w:cs="Arial"/>
      <w:sz w:val="20"/>
      <w:szCs w:val="24"/>
      <w:lang w:val="fr-FR" w:eastAsia="zh-CN"/>
    </w:rPr>
  </w:style>
  <w:style w:type="paragraph" w:customStyle="1" w:styleId="Titcoul">
    <w:name w:val="Titcoul"/>
    <w:basedOn w:val="Heading1"/>
    <w:link w:val="TitcoulCar"/>
    <w:rsid w:val="00EB0BC7"/>
    <w:pPr>
      <w:spacing w:after="480" w:line="480" w:lineRule="exact"/>
      <w:jc w:val="left"/>
    </w:pPr>
    <w:rPr>
      <w:rFonts w:ascii="Arial Gras" w:eastAsia="Times New Roman" w:hAnsi="Arial Gras" w:cs="Arial"/>
      <w:caps/>
      <w:noProof/>
      <w:snapToGrid w:val="0"/>
      <w:color w:val="3366FF"/>
      <w:kern w:val="28"/>
      <w:sz w:val="32"/>
      <w:szCs w:val="32"/>
      <w:lang w:val="en-GB"/>
    </w:rPr>
  </w:style>
  <w:style w:type="character" w:customStyle="1" w:styleId="TitcoulCar">
    <w:name w:val="Titcoul Car"/>
    <w:link w:val="Titcoul"/>
    <w:rsid w:val="00EB0BC7"/>
    <w:rPr>
      <w:rFonts w:ascii="Arial Gras" w:eastAsia="Times New Roman" w:hAnsi="Arial Gras" w:cs="Arial"/>
      <w:b/>
      <w:bCs/>
      <w:caps/>
      <w:noProof/>
      <w:snapToGrid w:val="0"/>
      <w:color w:val="3366FF"/>
      <w:kern w:val="28"/>
      <w:sz w:val="32"/>
      <w:szCs w:val="32"/>
      <w:lang w:val="en-GB" w:eastAsia="zh-CN"/>
    </w:rPr>
  </w:style>
  <w:style w:type="character" w:styleId="PageNumber">
    <w:name w:val="page number"/>
    <w:basedOn w:val="DefaultParagraphFont"/>
    <w:unhideWhenUsed/>
    <w:rsid w:val="00EB0BC7"/>
  </w:style>
  <w:style w:type="character" w:customStyle="1" w:styleId="Heading1Char">
    <w:name w:val="Heading 1 Char"/>
    <w:basedOn w:val="DefaultParagraphFont"/>
    <w:link w:val="Heading1"/>
    <w:uiPriority w:val="9"/>
    <w:rsid w:val="00EB0BC7"/>
    <w:rPr>
      <w:rFonts w:asciiTheme="majorHAnsi" w:eastAsiaTheme="majorEastAsia" w:hAnsiTheme="majorHAnsi" w:cstheme="majorBidi"/>
      <w:b/>
      <w:bCs/>
      <w:color w:val="365F91" w:themeColor="accent1" w:themeShade="BF"/>
      <w:sz w:val="28"/>
      <w:szCs w:val="28"/>
      <w:lang w:val="en-US" w:eastAsia="zh-CN"/>
    </w:rPr>
  </w:style>
  <w:style w:type="paragraph" w:styleId="BalloonText">
    <w:name w:val="Balloon Text"/>
    <w:basedOn w:val="Normal"/>
    <w:link w:val="BalloonTextChar"/>
    <w:uiPriority w:val="99"/>
    <w:semiHidden/>
    <w:unhideWhenUsed/>
    <w:rsid w:val="00734D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77"/>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n.wikipedia.org/wiki/Participatory_vide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rchiv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740</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Kim, Dain</cp:lastModifiedBy>
  <cp:revision>15</cp:revision>
  <dcterms:created xsi:type="dcterms:W3CDTF">2015-08-04T09:31:00Z</dcterms:created>
  <dcterms:modified xsi:type="dcterms:W3CDTF">2018-03-16T08:18:00Z</dcterms:modified>
</cp:coreProperties>
</file>