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41" w:rsidRPr="006571D8" w:rsidRDefault="00A17216" w:rsidP="009376D1">
      <w:pPr>
        <w:pStyle w:val="Chapitre"/>
        <w:rPr>
          <w:noProof w:val="0"/>
          <w:lang w:val="fr-FR"/>
        </w:rPr>
      </w:pPr>
      <w:bookmarkStart w:id="0" w:name="_Toc154220417"/>
      <w:bookmarkStart w:id="1" w:name="_Toc302374671"/>
      <w:bookmarkStart w:id="2" w:name="_Toc241644684"/>
      <w:bookmarkStart w:id="3" w:name="_GoBack"/>
      <w:bookmarkEnd w:id="3"/>
      <w:r w:rsidRPr="00EA6921">
        <w:rPr>
          <w:noProof w:val="0"/>
          <w:lang w:val="fr-FR"/>
        </w:rPr>
        <w:t>unité 42</w:t>
      </w:r>
    </w:p>
    <w:p w:rsidR="00945CDB" w:rsidRDefault="00A17216" w:rsidP="00EA6921">
      <w:pPr>
        <w:pStyle w:val="UPlan"/>
        <w:rPr>
          <w:lang w:val="fr-FR"/>
        </w:rPr>
      </w:pPr>
      <w:r w:rsidRPr="00EA6921">
        <w:rPr>
          <w:lang w:val="fr-FR"/>
        </w:rPr>
        <w:t>évaluation d’exemples de candidature finale</w:t>
      </w:r>
    </w:p>
    <w:p w:rsidR="00767596" w:rsidRPr="00325834" w:rsidRDefault="00767596" w:rsidP="00767596">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0339C1">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767596" w:rsidRPr="00325834" w:rsidRDefault="00767596" w:rsidP="00767596">
      <w:pPr>
        <w:autoSpaceDE w:val="0"/>
        <w:autoSpaceDN w:val="0"/>
        <w:adjustRightInd w:val="0"/>
        <w:rPr>
          <w:szCs w:val="22"/>
          <w:lang w:val="fr-FR"/>
        </w:rPr>
      </w:pPr>
      <w:r w:rsidRPr="00325834">
        <w:rPr>
          <w:szCs w:val="22"/>
          <w:lang w:val="fr-FR"/>
        </w:rPr>
        <w:t>7, place de Fontenoy, 75352 Paris 07 SP, France</w:t>
      </w:r>
    </w:p>
    <w:p w:rsidR="00767596" w:rsidRPr="00325834" w:rsidRDefault="00767596" w:rsidP="00767596">
      <w:pPr>
        <w:autoSpaceDE w:val="0"/>
        <w:autoSpaceDN w:val="0"/>
        <w:adjustRightInd w:val="0"/>
        <w:rPr>
          <w:szCs w:val="22"/>
          <w:lang w:val="fr-FR"/>
        </w:rPr>
      </w:pPr>
    </w:p>
    <w:p w:rsidR="00767596" w:rsidRPr="0063660E" w:rsidRDefault="00767596" w:rsidP="00767596">
      <w:pPr>
        <w:autoSpaceDE w:val="0"/>
        <w:autoSpaceDN w:val="0"/>
        <w:adjustRightInd w:val="0"/>
        <w:rPr>
          <w:szCs w:val="22"/>
          <w:lang w:val="fr-FR"/>
        </w:rPr>
      </w:pPr>
      <w:r w:rsidRPr="0063660E">
        <w:rPr>
          <w:szCs w:val="22"/>
          <w:lang w:val="fr-FR"/>
        </w:rPr>
        <w:t xml:space="preserve">© UNESCO </w:t>
      </w:r>
      <w:r w:rsidR="000339C1">
        <w:rPr>
          <w:szCs w:val="22"/>
          <w:lang w:val="fr-FR"/>
        </w:rPr>
        <w:t>2016</w:t>
      </w:r>
    </w:p>
    <w:p w:rsidR="00767596" w:rsidRPr="0063660E" w:rsidRDefault="00767596" w:rsidP="00767596">
      <w:pPr>
        <w:autoSpaceDE w:val="0"/>
        <w:autoSpaceDN w:val="0"/>
        <w:adjustRightInd w:val="0"/>
        <w:rPr>
          <w:szCs w:val="22"/>
          <w:lang w:val="fr-FR"/>
        </w:rPr>
      </w:pPr>
      <w:r w:rsidRPr="00CA0F44">
        <w:rPr>
          <w:noProof/>
          <w:szCs w:val="22"/>
          <w:lang w:val="fr-FR" w:eastAsia="ja-JP"/>
        </w:rPr>
        <w:drawing>
          <wp:anchor distT="0" distB="0" distL="114300" distR="114300" simplePos="0" relativeHeight="251663360" behindDoc="0" locked="0" layoutInCell="1" allowOverlap="1" wp14:anchorId="410F7DD1" wp14:editId="0A5A8BED">
            <wp:simplePos x="0" y="0"/>
            <wp:positionH relativeFrom="column">
              <wp:posOffset>-3810</wp:posOffset>
            </wp:positionH>
            <wp:positionV relativeFrom="paragraph">
              <wp:posOffset>202565</wp:posOffset>
            </wp:positionV>
            <wp:extent cx="756285" cy="265430"/>
            <wp:effectExtent l="0" t="0" r="571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767596" w:rsidRDefault="00767596" w:rsidP="00767596">
      <w:pPr>
        <w:autoSpaceDE w:val="0"/>
        <w:autoSpaceDN w:val="0"/>
        <w:adjustRightInd w:val="0"/>
        <w:rPr>
          <w:szCs w:val="22"/>
          <w:lang w:val="fr-FR"/>
        </w:rPr>
      </w:pPr>
    </w:p>
    <w:p w:rsidR="00767596" w:rsidRPr="00325834" w:rsidRDefault="00767596" w:rsidP="00767596">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1"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2" w:history="1">
        <w:r w:rsidRPr="00325834">
          <w:rPr>
            <w:szCs w:val="22"/>
            <w:lang w:val="fr-FR"/>
          </w:rPr>
          <w:t>www.unesco.org/open-access/terms-use-ccbysa-fr</w:t>
        </w:r>
      </w:hyperlink>
      <w:r w:rsidRPr="00325834">
        <w:rPr>
          <w:szCs w:val="22"/>
          <w:lang w:val="fr-FR"/>
        </w:rPr>
        <w:t>).</w:t>
      </w:r>
    </w:p>
    <w:p w:rsidR="00767596" w:rsidRPr="00325834" w:rsidRDefault="00767596" w:rsidP="00767596">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767596" w:rsidRPr="00325834" w:rsidRDefault="00767596" w:rsidP="00767596">
      <w:pPr>
        <w:autoSpaceDE w:val="0"/>
        <w:autoSpaceDN w:val="0"/>
        <w:adjustRightInd w:val="0"/>
        <w:rPr>
          <w:szCs w:val="22"/>
          <w:lang w:val="fr-FR"/>
        </w:rPr>
      </w:pPr>
    </w:p>
    <w:p w:rsidR="00767596" w:rsidRPr="000339C1" w:rsidRDefault="00767596" w:rsidP="00767596">
      <w:pPr>
        <w:autoSpaceDE w:val="0"/>
        <w:autoSpaceDN w:val="0"/>
        <w:adjustRightInd w:val="0"/>
        <w:rPr>
          <w:szCs w:val="22"/>
          <w:lang w:val="fr-FR"/>
        </w:rPr>
      </w:pPr>
      <w:r w:rsidRPr="000339C1">
        <w:rPr>
          <w:szCs w:val="22"/>
          <w:lang w:val="fr-FR"/>
        </w:rPr>
        <w:t>Titre original : Evaluation final sample nominations</w:t>
      </w:r>
    </w:p>
    <w:p w:rsidR="00767596" w:rsidRPr="00325834" w:rsidRDefault="00767596" w:rsidP="00767596">
      <w:pPr>
        <w:autoSpaceDE w:val="0"/>
        <w:autoSpaceDN w:val="0"/>
        <w:adjustRightInd w:val="0"/>
        <w:rPr>
          <w:szCs w:val="22"/>
          <w:lang w:val="fr-FR"/>
        </w:rPr>
      </w:pPr>
      <w:r w:rsidRPr="00325834">
        <w:rPr>
          <w:szCs w:val="22"/>
          <w:lang w:val="fr-FR"/>
        </w:rPr>
        <w:t xml:space="preserve">Publié en </w:t>
      </w:r>
      <w:r w:rsidR="000339C1">
        <w:rPr>
          <w:szCs w:val="22"/>
          <w:lang w:val="fr-FR"/>
        </w:rPr>
        <w:t>2016</w:t>
      </w:r>
      <w:r w:rsidRPr="00325834">
        <w:rPr>
          <w:szCs w:val="22"/>
          <w:lang w:val="fr-FR"/>
        </w:rPr>
        <w:t xml:space="preserve"> par l’Organisation des Nations Unies pour l’éducation, la science et la culture </w:t>
      </w:r>
    </w:p>
    <w:p w:rsidR="00767596" w:rsidRPr="00325834" w:rsidRDefault="00767596" w:rsidP="00767596">
      <w:pPr>
        <w:autoSpaceDE w:val="0"/>
        <w:autoSpaceDN w:val="0"/>
        <w:adjustRightInd w:val="0"/>
        <w:rPr>
          <w:szCs w:val="22"/>
          <w:lang w:val="fr-FR"/>
        </w:rPr>
      </w:pPr>
    </w:p>
    <w:p w:rsidR="00767596" w:rsidRPr="00325834" w:rsidRDefault="00767596" w:rsidP="00767596">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767596" w:rsidRPr="00325834" w:rsidRDefault="00767596" w:rsidP="00767596">
      <w:pPr>
        <w:autoSpaceDE w:val="0"/>
        <w:autoSpaceDN w:val="0"/>
        <w:adjustRightInd w:val="0"/>
        <w:rPr>
          <w:szCs w:val="22"/>
          <w:lang w:val="fr-FR"/>
        </w:rPr>
      </w:pPr>
    </w:p>
    <w:p w:rsidR="00767596" w:rsidRDefault="00767596" w:rsidP="00767596">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rsidR="00767596" w:rsidRPr="00325834" w:rsidRDefault="00767596" w:rsidP="00767596">
      <w:pPr>
        <w:autoSpaceDE w:val="0"/>
        <w:autoSpaceDN w:val="0"/>
        <w:adjustRightInd w:val="0"/>
        <w:rPr>
          <w:szCs w:val="22"/>
          <w:lang w:val="fr-FR"/>
        </w:rPr>
      </w:pPr>
      <w:r>
        <w:rPr>
          <w:szCs w:val="22"/>
          <w:lang w:val="fr-FR"/>
        </w:rPr>
        <w:br w:type="page"/>
      </w:r>
    </w:p>
    <w:p w:rsidR="00D11B3A" w:rsidRPr="00EA6921" w:rsidRDefault="00A17216" w:rsidP="007D638E">
      <w:pPr>
        <w:pStyle w:val="Titcoul"/>
        <w:rPr>
          <w:lang w:val="fr-FR"/>
        </w:rPr>
      </w:pPr>
      <w:r w:rsidRPr="00EA6921">
        <w:rPr>
          <w:lang w:val="fr-FR"/>
        </w:rPr>
        <w:lastRenderedPageBreak/>
        <w:t>plan de cours</w:t>
      </w:r>
    </w:p>
    <w:p w:rsidR="00B72B38" w:rsidRPr="00B72B38" w:rsidRDefault="001B222B" w:rsidP="00B72B38">
      <w:pPr>
        <w:pBdr>
          <w:top w:val="single" w:sz="12" w:space="1" w:color="auto" w:shadow="1"/>
          <w:left w:val="single" w:sz="12" w:space="4" w:color="auto" w:shadow="1"/>
          <w:bottom w:val="single" w:sz="12" w:space="1" w:color="auto" w:shadow="1"/>
          <w:right w:val="single" w:sz="12" w:space="4" w:color="auto" w:shadow="1"/>
        </w:pBdr>
        <w:spacing w:line="240" w:lineRule="exact"/>
        <w:ind w:left="113" w:right="113"/>
        <w:rPr>
          <w:b/>
          <w:sz w:val="20"/>
          <w:szCs w:val="20"/>
          <w:lang w:val="fr-FR"/>
        </w:rPr>
      </w:pPr>
      <w:r>
        <w:rPr>
          <w:b/>
          <w:sz w:val="20"/>
          <w:szCs w:val="20"/>
          <w:lang w:val="fr-FR"/>
        </w:rPr>
        <w:t>DURÉE :</w:t>
      </w:r>
    </w:p>
    <w:p w:rsidR="00B72B38" w:rsidRPr="00B72B38" w:rsidRDefault="00B72B38" w:rsidP="00B72B38">
      <w:pPr>
        <w:pBdr>
          <w:top w:val="single" w:sz="12" w:space="1" w:color="auto" w:shadow="1"/>
          <w:left w:val="single" w:sz="12" w:space="4" w:color="auto" w:shadow="1"/>
          <w:bottom w:val="single" w:sz="12" w:space="1" w:color="auto" w:shadow="1"/>
          <w:right w:val="single" w:sz="12" w:space="4" w:color="auto" w:shadow="1"/>
        </w:pBdr>
        <w:spacing w:after="60" w:line="280" w:lineRule="exact"/>
        <w:ind w:left="113" w:right="113"/>
        <w:rPr>
          <w:sz w:val="20"/>
          <w:szCs w:val="20"/>
          <w:lang w:val="fr-FR"/>
        </w:rPr>
      </w:pPr>
      <w:r w:rsidRPr="00B72B38">
        <w:rPr>
          <w:sz w:val="20"/>
          <w:szCs w:val="20"/>
          <w:lang w:val="fr-FR"/>
        </w:rPr>
        <w:t>3 heures 30 minutes</w:t>
      </w:r>
    </w:p>
    <w:p w:rsidR="00B72B38" w:rsidRPr="00B72B38" w:rsidRDefault="00B72B38" w:rsidP="00B72B38">
      <w:pPr>
        <w:pBdr>
          <w:top w:val="single" w:sz="12" w:space="1" w:color="auto" w:shadow="1"/>
          <w:left w:val="single" w:sz="12" w:space="4" w:color="auto" w:shadow="1"/>
          <w:bottom w:val="single" w:sz="12" w:space="1" w:color="auto" w:shadow="1"/>
          <w:right w:val="single" w:sz="12" w:space="4" w:color="auto" w:shadow="1"/>
        </w:pBdr>
        <w:spacing w:before="360" w:line="300" w:lineRule="exact"/>
        <w:ind w:left="113" w:right="113"/>
        <w:rPr>
          <w:b/>
          <w:sz w:val="20"/>
          <w:szCs w:val="20"/>
          <w:lang w:val="fr-FR"/>
        </w:rPr>
      </w:pPr>
      <w:r w:rsidRPr="00B72B38">
        <w:rPr>
          <w:b/>
          <w:sz w:val="20"/>
          <w:szCs w:val="20"/>
          <w:lang w:val="fr-FR"/>
        </w:rPr>
        <w:t>OBJECTIF(S) :</w:t>
      </w:r>
      <w:r w:rsidRPr="00C16EED">
        <w:rPr>
          <w:b/>
          <w:caps/>
          <w:noProof/>
          <w:sz w:val="20"/>
          <w:szCs w:val="20"/>
          <w:lang w:val="fr-FR" w:eastAsia="ja-JP"/>
        </w:rPr>
        <w:drawing>
          <wp:anchor distT="0" distB="0" distL="114300" distR="114300" simplePos="0" relativeHeight="251661312" behindDoc="1" locked="1" layoutInCell="1" allowOverlap="0" wp14:anchorId="357F7D2D" wp14:editId="76F20A1A">
            <wp:simplePos x="0" y="0"/>
            <wp:positionH relativeFrom="margin">
              <wp:posOffset>737235</wp:posOffset>
            </wp:positionH>
            <wp:positionV relativeFrom="margin">
              <wp:posOffset>2285365</wp:posOffset>
            </wp:positionV>
            <wp:extent cx="4870411" cy="4498145"/>
            <wp:effectExtent l="0" t="0" r="6985" b="0"/>
            <wp:wrapNone/>
            <wp:docPr id="1"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rsidR="00B72B38" w:rsidRPr="00B72B38" w:rsidRDefault="00B72B38" w:rsidP="00B72B38">
      <w:pPr>
        <w:pBdr>
          <w:top w:val="single" w:sz="12" w:space="1" w:color="auto" w:shadow="1"/>
          <w:left w:val="single" w:sz="12" w:space="4" w:color="auto" w:shadow="1"/>
          <w:bottom w:val="single" w:sz="12" w:space="1" w:color="auto" w:shadow="1"/>
          <w:right w:val="single" w:sz="12" w:space="4" w:color="auto" w:shadow="1"/>
        </w:pBdr>
        <w:spacing w:line="300" w:lineRule="exact"/>
        <w:ind w:left="113" w:right="113"/>
        <w:rPr>
          <w:sz w:val="20"/>
          <w:szCs w:val="20"/>
          <w:lang w:val="fr-FR"/>
        </w:rPr>
      </w:pPr>
      <w:r w:rsidRPr="00B72B38">
        <w:rPr>
          <w:sz w:val="20"/>
          <w:szCs w:val="20"/>
          <w:lang w:val="fr-FR"/>
        </w:rPr>
        <w:t>Comprendre ce qui permet à une candidature d’être couronnée de succès au moyen d’une analyse critique de la qualité d’un exemple de dossier de candidature complet au regard des critères définis dans les Directives opérationnelles (DO) et détaillés dans les formulaires de candidature.</w:t>
      </w:r>
    </w:p>
    <w:p w:rsidR="00B72B38" w:rsidRPr="00B72B38" w:rsidRDefault="001B222B" w:rsidP="00B72B38">
      <w:pPr>
        <w:pBdr>
          <w:top w:val="single" w:sz="12" w:space="1" w:color="auto" w:shadow="1"/>
          <w:left w:val="single" w:sz="12" w:space="4" w:color="auto" w:shadow="1"/>
          <w:bottom w:val="single" w:sz="12" w:space="1" w:color="auto" w:shadow="1"/>
          <w:right w:val="single" w:sz="12" w:space="4" w:color="auto" w:shadow="1"/>
        </w:pBdr>
        <w:spacing w:before="360" w:line="300" w:lineRule="exact"/>
        <w:ind w:left="113" w:right="113"/>
        <w:rPr>
          <w:b/>
          <w:sz w:val="20"/>
          <w:szCs w:val="20"/>
          <w:lang w:val="fr-FR"/>
        </w:rPr>
      </w:pPr>
      <w:r>
        <w:rPr>
          <w:b/>
          <w:sz w:val="20"/>
          <w:szCs w:val="20"/>
          <w:lang w:val="fr-FR"/>
        </w:rPr>
        <w:t>DESCRIPTION :</w:t>
      </w:r>
    </w:p>
    <w:p w:rsidR="00B72B38" w:rsidRPr="00B72B38" w:rsidRDefault="00B72B38" w:rsidP="00B72B38">
      <w:pPr>
        <w:pBdr>
          <w:top w:val="single" w:sz="12" w:space="1" w:color="auto" w:shadow="1"/>
          <w:left w:val="single" w:sz="12" w:space="4" w:color="auto" w:shadow="1"/>
          <w:bottom w:val="single" w:sz="12" w:space="1" w:color="auto" w:shadow="1"/>
          <w:right w:val="single" w:sz="12" w:space="4" w:color="auto" w:shadow="1"/>
        </w:pBdr>
        <w:spacing w:line="300" w:lineRule="exact"/>
        <w:ind w:left="113" w:right="113"/>
        <w:rPr>
          <w:sz w:val="20"/>
          <w:szCs w:val="20"/>
          <w:lang w:val="fr-FR"/>
        </w:rPr>
      </w:pPr>
      <w:r w:rsidRPr="00B72B38">
        <w:rPr>
          <w:sz w:val="20"/>
          <w:szCs w:val="20"/>
          <w:lang w:val="fr-FR"/>
        </w:rPr>
        <w:t>La présente unité donne aux participants la possibilité d’évaluer des exemples de dossiers de candidature en se mettant ainsi à la place de l’Organe d’évaluation. Des orientations sont remises aux participants pour faire l’évaluation des exemples de candidature et formuler en fin de séance une recommandation simulée en vue de leur possible inscription ou non-in</w:t>
      </w:r>
      <w:r w:rsidR="001B222B">
        <w:rPr>
          <w:sz w:val="20"/>
          <w:szCs w:val="20"/>
          <w:lang w:val="fr-FR"/>
        </w:rPr>
        <w:t>scription sur l’une des Listes</w:t>
      </w:r>
      <w:r w:rsidR="006368B7">
        <w:rPr>
          <w:sz w:val="20"/>
          <w:szCs w:val="20"/>
          <w:lang w:val="fr-FR"/>
        </w:rPr>
        <w:t xml:space="preserve"> ou de leur renvoi</w:t>
      </w:r>
      <w:r w:rsidR="001B222B">
        <w:rPr>
          <w:sz w:val="20"/>
          <w:szCs w:val="20"/>
          <w:lang w:val="fr-FR"/>
        </w:rPr>
        <w:t>.</w:t>
      </w:r>
    </w:p>
    <w:p w:rsidR="00B72B38" w:rsidRPr="008F17FA" w:rsidRDefault="00B72B38" w:rsidP="00B72B38">
      <w:pPr>
        <w:pBdr>
          <w:top w:val="single" w:sz="12" w:space="1" w:color="auto" w:shadow="1"/>
          <w:left w:val="single" w:sz="12" w:space="4" w:color="auto" w:shadow="1"/>
          <w:bottom w:val="single" w:sz="12" w:space="1" w:color="auto" w:shadow="1"/>
          <w:right w:val="single" w:sz="12" w:space="4" w:color="auto" w:shadow="1"/>
        </w:pBdr>
        <w:spacing w:line="300" w:lineRule="exact"/>
        <w:ind w:left="113" w:right="113"/>
        <w:rPr>
          <w:i/>
          <w:sz w:val="20"/>
          <w:szCs w:val="20"/>
        </w:rPr>
      </w:pPr>
      <w:r>
        <w:rPr>
          <w:i/>
          <w:sz w:val="20"/>
          <w:szCs w:val="20"/>
        </w:rPr>
        <w:t>Séquence proposée :</w:t>
      </w:r>
    </w:p>
    <w:p w:rsidR="00B72B38" w:rsidRPr="00B72B38" w:rsidRDefault="00B72B38" w:rsidP="00B72B38">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B72B38">
        <w:rPr>
          <w:sz w:val="20"/>
          <w:szCs w:val="20"/>
          <w:lang w:val="fr-FR"/>
        </w:rPr>
        <w:t xml:space="preserve">Les participants poursuivent leur travail dans les mêmes groupes que ceux de l’Unité 41. Ils se penchent cette fois sur la version finale des exemples de candidature (Imprimés de l’Unité 42 1.a à </w:t>
      </w:r>
      <w:r w:rsidR="00DD23E5">
        <w:rPr>
          <w:sz w:val="20"/>
          <w:szCs w:val="20"/>
          <w:lang w:val="fr-FR"/>
        </w:rPr>
        <w:t>7</w:t>
      </w:r>
      <w:r w:rsidRPr="00B72B38">
        <w:rPr>
          <w:sz w:val="20"/>
          <w:szCs w:val="20"/>
          <w:lang w:val="fr-FR"/>
        </w:rPr>
        <w:t xml:space="preserve">.a) déjà introduite dans l’Unité 41 avec la version initiale. Ils utilisent les orientations qui leur ont été remises (Imprimés de l’Unité 42 1.b à </w:t>
      </w:r>
      <w:r w:rsidR="00DD23E5">
        <w:rPr>
          <w:sz w:val="20"/>
          <w:szCs w:val="20"/>
          <w:lang w:val="fr-FR"/>
        </w:rPr>
        <w:t>7</w:t>
      </w:r>
      <w:r w:rsidRPr="00B72B38">
        <w:rPr>
          <w:sz w:val="20"/>
          <w:szCs w:val="20"/>
          <w:lang w:val="fr-FR"/>
        </w:rPr>
        <w:t>.b) pour réfléchir à la façon d’améliorer le dossier de candidature et voir s’il reste des problèmes de fond à traiter. Puis ils décident s’il convient de recommander l’inscription, la non-inscription ou le renvoi de leur exemple de candidature.</w:t>
      </w:r>
    </w:p>
    <w:p w:rsidR="00B72B38" w:rsidRPr="00B72B38" w:rsidRDefault="00B72B38" w:rsidP="00B72B38">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jc w:val="left"/>
        <w:rPr>
          <w:sz w:val="20"/>
          <w:szCs w:val="20"/>
          <w:lang w:val="fr-FR"/>
        </w:rPr>
      </w:pPr>
      <w:r w:rsidRPr="00B72B38">
        <w:rPr>
          <w:sz w:val="20"/>
          <w:szCs w:val="20"/>
          <w:lang w:val="fr-FR"/>
        </w:rPr>
        <w:t>En plénière, les groupes échangent deux ou trois exemples de suggestions qu’ils ont avancées pour améliorer les exemples de candidature finale et expliquent leurs recommandations devant la plénière.</w:t>
      </w:r>
    </w:p>
    <w:p w:rsidR="00B72B38" w:rsidRPr="00EA6921" w:rsidRDefault="00B72B38">
      <w:pPr>
        <w:tabs>
          <w:tab w:val="clear" w:pos="567"/>
        </w:tabs>
        <w:snapToGrid/>
        <w:spacing w:before="0" w:after="0"/>
        <w:jc w:val="left"/>
        <w:rPr>
          <w:b/>
          <w:sz w:val="20"/>
          <w:szCs w:val="20"/>
          <w:lang w:val="fr-FR"/>
        </w:rPr>
      </w:pPr>
      <w:r w:rsidRPr="00EA6921">
        <w:rPr>
          <w:b/>
          <w:sz w:val="20"/>
          <w:szCs w:val="20"/>
          <w:lang w:val="fr-FR"/>
        </w:rPr>
        <w:br w:type="page"/>
      </w:r>
    </w:p>
    <w:p w:rsidR="00773DAA" w:rsidRPr="00B62B74" w:rsidRDefault="00773DAA" w:rsidP="00B62B74">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b/>
          <w:sz w:val="20"/>
          <w:szCs w:val="20"/>
          <w:lang w:val="fr-FR"/>
        </w:rPr>
      </w:pPr>
      <w:r w:rsidRPr="00B62B74">
        <w:rPr>
          <w:b/>
          <w:sz w:val="20"/>
          <w:szCs w:val="20"/>
          <w:lang w:val="fr-FR"/>
        </w:rPr>
        <w:lastRenderedPageBreak/>
        <w:t>DOCUMENTS DE RÉFÉRENCE :</w:t>
      </w:r>
    </w:p>
    <w:p w:rsidR="00B72B38" w:rsidRPr="00773DAA" w:rsidRDefault="00B72B38" w:rsidP="00B62B74">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B62B74">
        <w:rPr>
          <w:sz w:val="20"/>
          <w:lang w:val="fr-FR"/>
        </w:rPr>
        <w:t>E</w:t>
      </w:r>
      <w:r w:rsidRPr="00773DAA">
        <w:rPr>
          <w:sz w:val="20"/>
          <w:szCs w:val="20"/>
          <w:lang w:val="fr-FR"/>
        </w:rPr>
        <w:t>xposé du facilitateur de l’Unité 42</w:t>
      </w:r>
    </w:p>
    <w:p w:rsidR="00B72B38" w:rsidRPr="00773DAA" w:rsidRDefault="00B72B38" w:rsidP="00B62B74">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773DAA">
        <w:rPr>
          <w:sz w:val="20"/>
          <w:szCs w:val="20"/>
          <w:lang w:val="fr-FR"/>
        </w:rPr>
        <w:t>Imprimés de l’Unité 42 : Versions finales d’exemples de candidature (Imprimés de l’Unité 42 1.a, 2.a, 3.a, 4.a, 5.a, 6.a</w:t>
      </w:r>
      <w:r w:rsidR="00CF3489" w:rsidRPr="00773DAA">
        <w:rPr>
          <w:sz w:val="20"/>
          <w:szCs w:val="20"/>
          <w:lang w:val="fr-FR"/>
        </w:rPr>
        <w:t>, 7.a</w:t>
      </w:r>
      <w:r w:rsidRPr="00773DAA">
        <w:rPr>
          <w:sz w:val="20"/>
          <w:szCs w:val="20"/>
          <w:lang w:val="fr-FR"/>
        </w:rPr>
        <w:t>) et leurs évaluations (Imprimés de l’Unité 42 1.b, 2.b, 3.b, 4.b, 5.b, 6.b</w:t>
      </w:r>
      <w:r w:rsidR="00CF3489" w:rsidRPr="00773DAA">
        <w:rPr>
          <w:sz w:val="20"/>
          <w:szCs w:val="20"/>
          <w:lang w:val="fr-FR"/>
        </w:rPr>
        <w:t>, 7.b</w:t>
      </w:r>
      <w:r w:rsidRPr="00773DAA">
        <w:rPr>
          <w:sz w:val="20"/>
          <w:szCs w:val="20"/>
          <w:lang w:val="fr-FR"/>
        </w:rPr>
        <w:t>)</w:t>
      </w:r>
    </w:p>
    <w:p w:rsidR="00B72B38" w:rsidRPr="00B62B74" w:rsidRDefault="00B72B38" w:rsidP="00B62B74">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773DAA">
        <w:rPr>
          <w:sz w:val="20"/>
          <w:szCs w:val="20"/>
          <w:lang w:val="fr-FR"/>
        </w:rPr>
        <w:t>Imprimé 7 de l’Unité 42 : Exemple de décision d’inscriptio</w:t>
      </w:r>
      <w:r w:rsidR="001B222B" w:rsidRPr="00773DAA">
        <w:rPr>
          <w:sz w:val="20"/>
          <w:szCs w:val="20"/>
          <w:lang w:val="fr-FR"/>
        </w:rPr>
        <w:t>n</w:t>
      </w:r>
    </w:p>
    <w:p w:rsidR="00773DAA" w:rsidRPr="00773DAA" w:rsidRDefault="00773DAA" w:rsidP="00B62B74">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B62B74">
        <w:rPr>
          <w:sz w:val="20"/>
          <w:szCs w:val="20"/>
          <w:lang w:val="fr-FR"/>
        </w:rPr>
        <w:t xml:space="preserve">UNESCO. Textes fondamentaux de la Convention de 2003 pour la sauvegarde du patrimoine culturel immatériel (dénommé ci-après ‘Textes fondamentaux’). Paris, UNESCO. Disponible à l’adresse </w:t>
      </w:r>
      <w:hyperlink r:id="rId14" w:history="1">
        <w:r w:rsidRPr="00B62B74">
          <w:rPr>
            <w:sz w:val="20"/>
            <w:szCs w:val="20"/>
            <w:lang w:val="fr-FR"/>
          </w:rPr>
          <w:t>http://www.unesco.org/culture/ich/index.php?lg=fr&amp;pg=00503</w:t>
        </w:r>
      </w:hyperlink>
    </w:p>
    <w:p w:rsidR="00945CDB" w:rsidRPr="00EA6921" w:rsidRDefault="00A17216" w:rsidP="00EA6921">
      <w:pPr>
        <w:pStyle w:val="Texte1"/>
        <w:spacing w:before="240"/>
        <w:ind w:left="-227"/>
        <w:rPr>
          <w:b/>
          <w:i/>
          <w:color w:val="000000" w:themeColor="text1"/>
        </w:rPr>
      </w:pPr>
      <w:bookmarkStart w:id="4" w:name="_Toc278288187"/>
      <w:bookmarkStart w:id="5" w:name="_Toc280780646"/>
      <w:r w:rsidRPr="00EA6921">
        <w:rPr>
          <w:b/>
          <w:i/>
        </w:rPr>
        <w:t>Remarqu</w:t>
      </w:r>
      <w:bookmarkEnd w:id="4"/>
      <w:bookmarkEnd w:id="5"/>
      <w:r w:rsidRPr="00EA6921">
        <w:rPr>
          <w:b/>
          <w:i/>
          <w:color w:val="000000" w:themeColor="text1"/>
        </w:rPr>
        <w:t>es et suggestions</w:t>
      </w:r>
    </w:p>
    <w:p w:rsidR="004F3330" w:rsidRPr="00583EF3" w:rsidRDefault="00A17216" w:rsidP="00AE7DDF">
      <w:pPr>
        <w:pStyle w:val="Texte1"/>
        <w:rPr>
          <w:color w:val="000000" w:themeColor="text1"/>
        </w:rPr>
      </w:pPr>
      <w:r w:rsidRPr="00EA6921">
        <w:rPr>
          <w:color w:val="000000" w:themeColor="text1"/>
        </w:rPr>
        <w:t>Cette s</w:t>
      </w:r>
      <w:r w:rsidR="00B87F52">
        <w:rPr>
          <w:color w:val="000000" w:themeColor="text1"/>
        </w:rPr>
        <w:t>éance</w:t>
      </w:r>
      <w:r w:rsidRPr="00EA6921">
        <w:rPr>
          <w:color w:val="000000" w:themeColor="text1"/>
        </w:rPr>
        <w:t xml:space="preserve"> repose sur l’expérience des participants en matière d’évaluation générale d</w:t>
      </w:r>
      <w:r w:rsidR="00B87F52">
        <w:rPr>
          <w:color w:val="000000" w:themeColor="text1"/>
        </w:rPr>
        <w:t xml:space="preserve">es </w:t>
      </w:r>
      <w:r w:rsidRPr="00EA6921">
        <w:rPr>
          <w:color w:val="000000" w:themeColor="text1"/>
        </w:rPr>
        <w:t>exemples de candidature</w:t>
      </w:r>
      <w:r w:rsidR="00B87F52" w:rsidRPr="00B87F52">
        <w:rPr>
          <w:color w:val="000000" w:themeColor="text1"/>
        </w:rPr>
        <w:t xml:space="preserve"> </w:t>
      </w:r>
      <w:r w:rsidR="00B87F52" w:rsidRPr="00A17216">
        <w:rPr>
          <w:color w:val="000000" w:themeColor="text1"/>
        </w:rPr>
        <w:t>d</w:t>
      </w:r>
      <w:r w:rsidR="00B87F52">
        <w:rPr>
          <w:color w:val="000000" w:themeColor="text1"/>
        </w:rPr>
        <w:t>ans leur</w:t>
      </w:r>
      <w:r w:rsidR="00B87F52" w:rsidRPr="00A17216">
        <w:rPr>
          <w:color w:val="000000" w:themeColor="text1"/>
        </w:rPr>
        <w:t xml:space="preserve"> </w:t>
      </w:r>
      <w:r w:rsidR="00B87F52">
        <w:rPr>
          <w:color w:val="000000" w:themeColor="text1"/>
        </w:rPr>
        <w:t>version</w:t>
      </w:r>
      <w:r w:rsidR="00B87F52" w:rsidRPr="00A17216">
        <w:rPr>
          <w:color w:val="000000" w:themeColor="text1"/>
        </w:rPr>
        <w:t xml:space="preserve"> initiale</w:t>
      </w:r>
      <w:r w:rsidRPr="00EA6921">
        <w:rPr>
          <w:color w:val="000000" w:themeColor="text1"/>
        </w:rPr>
        <w:t xml:space="preserve">. Le facilitateur devra </w:t>
      </w:r>
      <w:r w:rsidR="00C03B2A">
        <w:rPr>
          <w:color w:val="000000" w:themeColor="text1"/>
        </w:rPr>
        <w:t>organiser</w:t>
      </w:r>
      <w:r w:rsidRPr="00EA6921">
        <w:rPr>
          <w:color w:val="000000" w:themeColor="text1"/>
        </w:rPr>
        <w:t xml:space="preserve"> les </w:t>
      </w:r>
      <w:r w:rsidR="00C03B2A" w:rsidRPr="00A17216">
        <w:rPr>
          <w:color w:val="000000" w:themeColor="text1"/>
        </w:rPr>
        <w:t xml:space="preserve">mêmes groupes </w:t>
      </w:r>
      <w:r w:rsidR="00C03B2A">
        <w:rPr>
          <w:color w:val="000000" w:themeColor="text1"/>
        </w:rPr>
        <w:t>de travail</w:t>
      </w:r>
      <w:r w:rsidRPr="00EA6921">
        <w:rPr>
          <w:color w:val="000000" w:themeColor="text1"/>
        </w:rPr>
        <w:t xml:space="preserve"> que ceux </w:t>
      </w:r>
      <w:r w:rsidR="00C03B2A">
        <w:rPr>
          <w:color w:val="000000" w:themeColor="text1"/>
        </w:rPr>
        <w:t xml:space="preserve">qui avaient été </w:t>
      </w:r>
      <w:r w:rsidRPr="00EA6921">
        <w:rPr>
          <w:color w:val="000000" w:themeColor="text1"/>
        </w:rPr>
        <w:t xml:space="preserve">formés dans l’Unité 41 pour </w:t>
      </w:r>
      <w:r w:rsidR="00C03B2A">
        <w:rPr>
          <w:color w:val="000000" w:themeColor="text1"/>
        </w:rPr>
        <w:t xml:space="preserve">faire </w:t>
      </w:r>
      <w:r w:rsidRPr="00EA6921">
        <w:rPr>
          <w:color w:val="000000" w:themeColor="text1"/>
        </w:rPr>
        <w:t>l’évaluation générale de</w:t>
      </w:r>
      <w:r w:rsidR="00C03B2A">
        <w:rPr>
          <w:color w:val="000000" w:themeColor="text1"/>
        </w:rPr>
        <w:t xml:space="preserve"> la</w:t>
      </w:r>
      <w:r w:rsidRPr="00EA6921">
        <w:rPr>
          <w:color w:val="000000" w:themeColor="text1"/>
        </w:rPr>
        <w:t xml:space="preserve"> version initiale des dossiers de candidature.</w:t>
      </w:r>
    </w:p>
    <w:p w:rsidR="00AE7DDF" w:rsidRPr="00583EF3" w:rsidRDefault="00A17216" w:rsidP="00AE7DDF">
      <w:pPr>
        <w:pStyle w:val="Texte1"/>
        <w:rPr>
          <w:highlight w:val="yellow"/>
        </w:rPr>
      </w:pPr>
      <w:r w:rsidRPr="00EA6921">
        <w:rPr>
          <w:color w:val="000000" w:themeColor="text1"/>
        </w:rPr>
        <w:t>Cette fois, chaque groupe va travailler sur l</w:t>
      </w:r>
      <w:r w:rsidR="00B215C8">
        <w:rPr>
          <w:color w:val="000000" w:themeColor="text1"/>
        </w:rPr>
        <w:t>a</w:t>
      </w:r>
      <w:r w:rsidRPr="00EA6921">
        <w:rPr>
          <w:color w:val="000000" w:themeColor="text1"/>
        </w:rPr>
        <w:t xml:space="preserve"> version finale d’un des exemples de candidature. </w:t>
      </w:r>
      <w:r w:rsidRPr="00EA6921">
        <w:rPr>
          <w:szCs w:val="20"/>
        </w:rPr>
        <w:t xml:space="preserve">Les dossiers de candidature finale sont tous techniquement conformes et donc prêts </w:t>
      </w:r>
      <w:r w:rsidR="00B215C8">
        <w:rPr>
          <w:szCs w:val="20"/>
        </w:rPr>
        <w:t>pour l’</w:t>
      </w:r>
      <w:r w:rsidRPr="00EA6921">
        <w:rPr>
          <w:szCs w:val="20"/>
        </w:rPr>
        <w:t>évaluation. L</w:t>
      </w:r>
      <w:r w:rsidR="00B215C8">
        <w:rPr>
          <w:szCs w:val="20"/>
        </w:rPr>
        <w:t>a</w:t>
      </w:r>
      <w:r w:rsidRPr="00EA6921">
        <w:rPr>
          <w:szCs w:val="20"/>
        </w:rPr>
        <w:t xml:space="preserve"> </w:t>
      </w:r>
      <w:r w:rsidR="00B215C8" w:rsidRPr="00A17216">
        <w:rPr>
          <w:szCs w:val="20"/>
        </w:rPr>
        <w:t xml:space="preserve">séance </w:t>
      </w:r>
      <w:r w:rsidR="00B215C8">
        <w:rPr>
          <w:szCs w:val="20"/>
        </w:rPr>
        <w:t>a pour objectif essentiel</w:t>
      </w:r>
      <w:r w:rsidRPr="00EA6921">
        <w:rPr>
          <w:szCs w:val="20"/>
        </w:rPr>
        <w:t xml:space="preserve"> de porter un regard critique sur un exemple de candidature finale et de décider de sa conformité</w:t>
      </w:r>
      <w:r w:rsidR="00B215C8">
        <w:rPr>
          <w:szCs w:val="20"/>
        </w:rPr>
        <w:t xml:space="preserve"> ou non</w:t>
      </w:r>
      <w:r w:rsidRPr="00EA6921">
        <w:rPr>
          <w:szCs w:val="20"/>
        </w:rPr>
        <w:t xml:space="preserve"> avec les critères d</w:t>
      </w:r>
      <w:r w:rsidR="00B215C8">
        <w:rPr>
          <w:szCs w:val="20"/>
        </w:rPr>
        <w:t>e fond</w:t>
      </w:r>
      <w:r w:rsidR="002B0F21">
        <w:rPr>
          <w:szCs w:val="20"/>
        </w:rPr>
        <w:t xml:space="preserve"> établis pour l’inscription</w:t>
      </w:r>
      <w:r w:rsidRPr="00EA6921">
        <w:rPr>
          <w:szCs w:val="20"/>
        </w:rPr>
        <w:t>.</w:t>
      </w:r>
    </w:p>
    <w:p w:rsidR="00AE7DDF" w:rsidRPr="00583EF3" w:rsidRDefault="00A17216" w:rsidP="00AE7DDF">
      <w:pPr>
        <w:spacing w:before="0" w:after="60" w:line="280" w:lineRule="exact"/>
        <w:ind w:left="851"/>
        <w:rPr>
          <w:sz w:val="20"/>
          <w:szCs w:val="20"/>
          <w:lang w:val="fr-FR"/>
        </w:rPr>
      </w:pPr>
      <w:r w:rsidRPr="00EA6921">
        <w:rPr>
          <w:sz w:val="20"/>
          <w:szCs w:val="20"/>
          <w:lang w:val="fr-FR"/>
        </w:rPr>
        <w:t xml:space="preserve">Les candidatures finales seront évaluées </w:t>
      </w:r>
      <w:r w:rsidR="00D52FA3">
        <w:rPr>
          <w:sz w:val="20"/>
          <w:szCs w:val="20"/>
          <w:lang w:val="fr-FR"/>
        </w:rPr>
        <w:t xml:space="preserve">en </w:t>
      </w:r>
      <w:r w:rsidRPr="00EA6921">
        <w:rPr>
          <w:sz w:val="20"/>
          <w:szCs w:val="20"/>
          <w:lang w:val="fr-FR"/>
        </w:rPr>
        <w:t>groupe</w:t>
      </w:r>
      <w:r w:rsidR="007427A9">
        <w:rPr>
          <w:sz w:val="20"/>
          <w:szCs w:val="20"/>
          <w:lang w:val="fr-FR"/>
        </w:rPr>
        <w:t>s</w:t>
      </w:r>
      <w:r w:rsidRPr="00EA6921">
        <w:rPr>
          <w:sz w:val="20"/>
          <w:szCs w:val="20"/>
          <w:lang w:val="fr-FR"/>
        </w:rPr>
        <w:t xml:space="preserve">. Le facilitateur </w:t>
      </w:r>
      <w:r w:rsidR="00625BD5">
        <w:rPr>
          <w:sz w:val="20"/>
          <w:szCs w:val="20"/>
          <w:lang w:val="fr-FR"/>
        </w:rPr>
        <w:t xml:space="preserve">devra </w:t>
      </w:r>
      <w:r w:rsidRPr="00EA6921">
        <w:rPr>
          <w:sz w:val="20"/>
          <w:szCs w:val="20"/>
          <w:lang w:val="fr-FR"/>
        </w:rPr>
        <w:t xml:space="preserve">demander à chaque groupe de juger de la conformité du dossier avec les critères </w:t>
      </w:r>
      <w:r w:rsidR="00625BD5">
        <w:rPr>
          <w:sz w:val="20"/>
          <w:szCs w:val="20"/>
          <w:lang w:val="fr-FR"/>
        </w:rPr>
        <w:t>au moyen</w:t>
      </w:r>
      <w:r w:rsidRPr="00EA6921">
        <w:rPr>
          <w:sz w:val="20"/>
          <w:szCs w:val="20"/>
          <w:lang w:val="fr-FR"/>
        </w:rPr>
        <w:t xml:space="preserve"> des Imprimés d’évaluation (Imprimés de l’Unité 42 1.b, 2.b, 3.b, 4.b, 5.b</w:t>
      </w:r>
      <w:r w:rsidR="00D52FA3">
        <w:rPr>
          <w:sz w:val="20"/>
          <w:szCs w:val="20"/>
          <w:lang w:val="fr-FR"/>
        </w:rPr>
        <w:t>,</w:t>
      </w:r>
      <w:r w:rsidR="00BC1790">
        <w:rPr>
          <w:sz w:val="20"/>
          <w:szCs w:val="20"/>
          <w:lang w:val="fr-FR"/>
        </w:rPr>
        <w:t xml:space="preserve"> </w:t>
      </w:r>
      <w:r w:rsidRPr="00EA6921">
        <w:rPr>
          <w:sz w:val="20"/>
          <w:szCs w:val="20"/>
          <w:lang w:val="fr-FR"/>
        </w:rPr>
        <w:t>6.b</w:t>
      </w:r>
      <w:r w:rsidR="00D52FA3">
        <w:rPr>
          <w:sz w:val="20"/>
          <w:szCs w:val="20"/>
          <w:lang w:val="fr-FR"/>
        </w:rPr>
        <w:t xml:space="preserve"> et 7.b</w:t>
      </w:r>
      <w:r w:rsidRPr="00EA6921">
        <w:rPr>
          <w:sz w:val="20"/>
          <w:szCs w:val="20"/>
          <w:lang w:val="fr-FR"/>
        </w:rPr>
        <w:t xml:space="preserve">). Certains </w:t>
      </w:r>
      <w:r w:rsidR="00625BD5">
        <w:rPr>
          <w:sz w:val="20"/>
          <w:szCs w:val="20"/>
          <w:lang w:val="fr-FR"/>
        </w:rPr>
        <w:t xml:space="preserve">des </w:t>
      </w:r>
      <w:r w:rsidRPr="00EA6921">
        <w:rPr>
          <w:sz w:val="20"/>
          <w:szCs w:val="20"/>
          <w:lang w:val="fr-FR"/>
        </w:rPr>
        <w:t xml:space="preserve">imprimés posent des questions difficiles qui n’ont pas de réponse </w:t>
      </w:r>
      <w:r w:rsidR="00625BD5">
        <w:rPr>
          <w:sz w:val="20"/>
          <w:szCs w:val="20"/>
          <w:lang w:val="fr-FR"/>
        </w:rPr>
        <w:t xml:space="preserve">simple et </w:t>
      </w:r>
      <w:r w:rsidRPr="00EA6921">
        <w:rPr>
          <w:sz w:val="20"/>
          <w:szCs w:val="20"/>
          <w:lang w:val="fr-FR"/>
        </w:rPr>
        <w:t>directe ; dans leurs commentaires, les participants peuvent soulever des points à prendre en considération par le Comité.</w:t>
      </w:r>
    </w:p>
    <w:p w:rsidR="00AE7DDF" w:rsidRPr="00583EF3" w:rsidRDefault="00A17216" w:rsidP="00AE7DDF">
      <w:pPr>
        <w:spacing w:before="0" w:after="60" w:line="280" w:lineRule="exact"/>
        <w:ind w:left="851"/>
        <w:rPr>
          <w:sz w:val="20"/>
          <w:szCs w:val="20"/>
          <w:lang w:val="fr-FR"/>
        </w:rPr>
      </w:pPr>
      <w:r w:rsidRPr="00EA6921">
        <w:rPr>
          <w:sz w:val="20"/>
          <w:szCs w:val="20"/>
          <w:lang w:val="fr-FR"/>
        </w:rPr>
        <w:t>Cha</w:t>
      </w:r>
      <w:r w:rsidR="00625BD5">
        <w:rPr>
          <w:sz w:val="20"/>
          <w:szCs w:val="20"/>
          <w:lang w:val="fr-FR"/>
        </w:rPr>
        <w:t>que</w:t>
      </w:r>
      <w:r w:rsidRPr="00EA6921">
        <w:rPr>
          <w:sz w:val="20"/>
          <w:szCs w:val="20"/>
          <w:lang w:val="fr-FR"/>
        </w:rPr>
        <w:t xml:space="preserve"> groupe doit élire un président pour mener l</w:t>
      </w:r>
      <w:r w:rsidR="00873767">
        <w:rPr>
          <w:sz w:val="20"/>
          <w:szCs w:val="20"/>
          <w:lang w:val="fr-FR"/>
        </w:rPr>
        <w:t>a discussion</w:t>
      </w:r>
      <w:r w:rsidRPr="00EA6921">
        <w:rPr>
          <w:sz w:val="20"/>
          <w:szCs w:val="20"/>
          <w:lang w:val="fr-FR"/>
        </w:rPr>
        <w:t xml:space="preserve"> et un rapporteur </w:t>
      </w:r>
      <w:r w:rsidR="00873767">
        <w:rPr>
          <w:sz w:val="20"/>
          <w:szCs w:val="20"/>
          <w:lang w:val="fr-FR"/>
        </w:rPr>
        <w:t>qui</w:t>
      </w:r>
      <w:r w:rsidRPr="00EA6921">
        <w:rPr>
          <w:sz w:val="20"/>
          <w:szCs w:val="20"/>
          <w:lang w:val="fr-FR"/>
        </w:rPr>
        <w:t xml:space="preserve"> aide à enregistrer les commentaires et présenter les recommandations </w:t>
      </w:r>
      <w:r w:rsidR="00873767">
        <w:rPr>
          <w:sz w:val="20"/>
          <w:szCs w:val="20"/>
          <w:lang w:val="fr-FR"/>
        </w:rPr>
        <w:t>du groupe en</w:t>
      </w:r>
      <w:r w:rsidRPr="00EA6921">
        <w:rPr>
          <w:sz w:val="20"/>
          <w:szCs w:val="20"/>
          <w:lang w:val="fr-FR"/>
        </w:rPr>
        <w:t xml:space="preserve"> plénière. Le</w:t>
      </w:r>
      <w:r w:rsidR="00873767">
        <w:rPr>
          <w:sz w:val="20"/>
          <w:szCs w:val="20"/>
          <w:lang w:val="fr-FR"/>
        </w:rPr>
        <w:t xml:space="preserve"> rapporteur</w:t>
      </w:r>
      <w:r w:rsidRPr="00EA6921">
        <w:rPr>
          <w:sz w:val="20"/>
          <w:szCs w:val="20"/>
          <w:lang w:val="fr-FR"/>
        </w:rPr>
        <w:t xml:space="preserve"> pr</w:t>
      </w:r>
      <w:r w:rsidR="00873767">
        <w:rPr>
          <w:sz w:val="20"/>
          <w:szCs w:val="20"/>
          <w:lang w:val="fr-FR"/>
        </w:rPr>
        <w:t>endra</w:t>
      </w:r>
      <w:r w:rsidRPr="00EA6921">
        <w:rPr>
          <w:sz w:val="20"/>
          <w:szCs w:val="20"/>
          <w:lang w:val="fr-FR"/>
        </w:rPr>
        <w:t xml:space="preserve"> des notes </w:t>
      </w:r>
      <w:r w:rsidR="00873767">
        <w:rPr>
          <w:sz w:val="20"/>
          <w:szCs w:val="20"/>
          <w:lang w:val="fr-FR"/>
        </w:rPr>
        <w:t>basées sur</w:t>
      </w:r>
      <w:r w:rsidRPr="00EA6921">
        <w:rPr>
          <w:sz w:val="20"/>
          <w:szCs w:val="20"/>
          <w:lang w:val="fr-FR"/>
        </w:rPr>
        <w:t xml:space="preserve"> la discussion du groupe. Tous les dossiers de candidature finale peuvent potentiellement prétendre à l’inscription, mais si</w:t>
      </w:r>
      <w:r w:rsidR="00D52FA3">
        <w:rPr>
          <w:sz w:val="20"/>
          <w:szCs w:val="20"/>
          <w:lang w:val="fr-FR"/>
        </w:rPr>
        <w:t xml:space="preserve"> un groupe donne</w:t>
      </w:r>
      <w:r w:rsidRPr="00EA6921">
        <w:rPr>
          <w:sz w:val="20"/>
          <w:szCs w:val="20"/>
          <w:lang w:val="fr-FR"/>
        </w:rPr>
        <w:t xml:space="preserve"> des raisons valables, </w:t>
      </w:r>
      <w:r w:rsidR="00D52FA3">
        <w:rPr>
          <w:sz w:val="20"/>
          <w:szCs w:val="20"/>
          <w:lang w:val="fr-FR"/>
        </w:rPr>
        <w:t>il</w:t>
      </w:r>
      <w:r w:rsidRPr="00EA6921">
        <w:rPr>
          <w:sz w:val="20"/>
          <w:szCs w:val="20"/>
          <w:lang w:val="fr-FR"/>
        </w:rPr>
        <w:t xml:space="preserve"> doit alors </w:t>
      </w:r>
      <w:r w:rsidR="00873767">
        <w:rPr>
          <w:sz w:val="20"/>
          <w:szCs w:val="20"/>
          <w:lang w:val="fr-FR"/>
        </w:rPr>
        <w:t xml:space="preserve">être en </w:t>
      </w:r>
      <w:r w:rsidR="009F641D">
        <w:rPr>
          <w:sz w:val="20"/>
          <w:szCs w:val="20"/>
          <w:lang w:val="fr-FR"/>
        </w:rPr>
        <w:t>capacité</w:t>
      </w:r>
      <w:r w:rsidR="00873767">
        <w:rPr>
          <w:sz w:val="20"/>
          <w:szCs w:val="20"/>
          <w:lang w:val="fr-FR"/>
        </w:rPr>
        <w:t xml:space="preserve"> de</w:t>
      </w:r>
      <w:r w:rsidRPr="00EA6921">
        <w:rPr>
          <w:sz w:val="20"/>
          <w:szCs w:val="20"/>
          <w:lang w:val="fr-FR"/>
        </w:rPr>
        <w:t xml:space="preserve"> recommander une autre </w:t>
      </w:r>
      <w:r w:rsidR="009F641D">
        <w:rPr>
          <w:sz w:val="20"/>
          <w:szCs w:val="20"/>
          <w:lang w:val="fr-FR"/>
        </w:rPr>
        <w:t>ligne d’ac</w:t>
      </w:r>
      <w:r w:rsidRPr="00EA6921">
        <w:rPr>
          <w:sz w:val="20"/>
          <w:szCs w:val="20"/>
          <w:lang w:val="fr-FR"/>
        </w:rPr>
        <w:t>tion (comme le renvoi ou le rejet). Normalement, toute décision négative sera communiquée aux États parties concernés</w:t>
      </w:r>
      <w:r w:rsidR="009F641D">
        <w:rPr>
          <w:sz w:val="20"/>
          <w:szCs w:val="20"/>
          <w:lang w:val="fr-FR"/>
        </w:rPr>
        <w:t xml:space="preserve"> qui</w:t>
      </w:r>
      <w:r w:rsidRPr="00EA6921">
        <w:rPr>
          <w:sz w:val="20"/>
          <w:szCs w:val="20"/>
          <w:lang w:val="fr-FR"/>
        </w:rPr>
        <w:t xml:space="preserve"> peuvent ensuite retirer le dossier de candidature s’ils le souhaitent.</w:t>
      </w:r>
    </w:p>
    <w:p w:rsidR="00AE7DDF" w:rsidRPr="00583EF3" w:rsidRDefault="00D52FA3" w:rsidP="00AE7DDF">
      <w:pPr>
        <w:spacing w:before="0" w:after="60" w:line="280" w:lineRule="exact"/>
        <w:ind w:left="851"/>
        <w:rPr>
          <w:sz w:val="20"/>
          <w:szCs w:val="20"/>
          <w:lang w:val="fr-FR"/>
        </w:rPr>
      </w:pPr>
      <w:r>
        <w:rPr>
          <w:sz w:val="20"/>
          <w:szCs w:val="20"/>
          <w:lang w:val="fr-FR"/>
        </w:rPr>
        <w:t>L’</w:t>
      </w:r>
      <w:r w:rsidR="00A17216" w:rsidRPr="00EA6921">
        <w:rPr>
          <w:sz w:val="20"/>
          <w:szCs w:val="20"/>
          <w:lang w:val="fr-FR"/>
        </w:rPr>
        <w:t xml:space="preserve">exemple de décision d’inscription </w:t>
      </w:r>
      <w:r w:rsidR="00BC1790">
        <w:rPr>
          <w:sz w:val="20"/>
          <w:szCs w:val="20"/>
          <w:lang w:val="fr-FR"/>
        </w:rPr>
        <w:t>du</w:t>
      </w:r>
      <w:r w:rsidR="00A17216" w:rsidRPr="00EA6921">
        <w:rPr>
          <w:sz w:val="20"/>
          <w:szCs w:val="20"/>
          <w:lang w:val="fr-FR"/>
        </w:rPr>
        <w:t xml:space="preserve"> </w:t>
      </w:r>
      <w:r w:rsidR="00A17216" w:rsidRPr="00EA6921">
        <w:rPr>
          <w:sz w:val="20"/>
          <w:szCs w:val="20"/>
          <w:lang w:val="fr-FR" w:bidi="en-US"/>
        </w:rPr>
        <w:t>Cantu in Paghjella (Imprimé 7 de l’Unité 42)</w:t>
      </w:r>
      <w:r>
        <w:rPr>
          <w:sz w:val="20"/>
          <w:szCs w:val="20"/>
          <w:lang w:val="fr-FR" w:bidi="en-US"/>
        </w:rPr>
        <w:t xml:space="preserve"> </w:t>
      </w:r>
      <w:r w:rsidRPr="00EA6921">
        <w:rPr>
          <w:sz w:val="20"/>
          <w:szCs w:val="20"/>
          <w:lang w:val="fr-FR"/>
        </w:rPr>
        <w:t>donne une indication de la manière dont le Comité formule ses décisions</w:t>
      </w:r>
      <w:r w:rsidR="00A17216" w:rsidRPr="00EA6921">
        <w:rPr>
          <w:sz w:val="20"/>
          <w:szCs w:val="20"/>
          <w:lang w:val="fr-FR" w:bidi="en-US"/>
        </w:rPr>
        <w:t>.</w:t>
      </w:r>
    </w:p>
    <w:p w:rsidR="006C0051" w:rsidRPr="00583EF3" w:rsidRDefault="006C0051" w:rsidP="00547038">
      <w:pPr>
        <w:pStyle w:val="Txtpucegras"/>
        <w:numPr>
          <w:ilvl w:val="0"/>
          <w:numId w:val="0"/>
        </w:numPr>
        <w:ind w:left="851" w:hanging="284"/>
        <w:rPr>
          <w:highlight w:val="yellow"/>
        </w:rPr>
        <w:sectPr w:rsidR="006C0051" w:rsidRPr="00583EF3">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20" w:code="9"/>
          <w:pgMar w:top="1701" w:right="1531" w:bottom="1701" w:left="1531" w:header="720" w:footer="720" w:gutter="0"/>
          <w:pgNumType w:start="1"/>
          <w:cols w:space="708"/>
          <w:titlePg/>
          <w:docGrid w:linePitch="360"/>
        </w:sectPr>
      </w:pPr>
    </w:p>
    <w:p w:rsidR="006A23D9" w:rsidRPr="00583EF3" w:rsidRDefault="00A17216" w:rsidP="004936EF">
      <w:pPr>
        <w:pStyle w:val="Chapitre"/>
        <w:rPr>
          <w:noProof w:val="0"/>
          <w:lang w:val="fr-FR"/>
        </w:rPr>
      </w:pPr>
      <w:r w:rsidRPr="00EA6921">
        <w:rPr>
          <w:noProof w:val="0"/>
          <w:lang w:val="fr-FR"/>
        </w:rPr>
        <w:lastRenderedPageBreak/>
        <w:t>Unité 42</w:t>
      </w:r>
    </w:p>
    <w:bookmarkEnd w:id="0"/>
    <w:bookmarkEnd w:id="1"/>
    <w:bookmarkEnd w:id="2"/>
    <w:p w:rsidR="00945CDB" w:rsidRPr="00EA6921" w:rsidRDefault="00A17216" w:rsidP="00EA6921">
      <w:pPr>
        <w:pStyle w:val="UPlan"/>
        <w:rPr>
          <w:lang w:val="fr-FR"/>
        </w:rPr>
      </w:pPr>
      <w:r w:rsidRPr="00EA6921">
        <w:rPr>
          <w:lang w:val="fr-FR"/>
        </w:rPr>
        <w:t>évaluation d’exemples de candidature finale</w:t>
      </w:r>
    </w:p>
    <w:p w:rsidR="00945CDB" w:rsidRPr="00EA6921" w:rsidRDefault="00A17216" w:rsidP="00EA6921">
      <w:pPr>
        <w:pStyle w:val="Titcoul"/>
        <w:rPr>
          <w:lang w:val="fr-FR"/>
        </w:rPr>
      </w:pPr>
      <w:r w:rsidRPr="00EA6921">
        <w:rPr>
          <w:lang w:val="fr-FR"/>
        </w:rPr>
        <w:t>exposé du facilitateur</w:t>
      </w:r>
    </w:p>
    <w:p w:rsidR="00022EBE" w:rsidRPr="00583EF3" w:rsidRDefault="00A17216" w:rsidP="007E627F">
      <w:pPr>
        <w:spacing w:before="0" w:after="60" w:line="280" w:lineRule="exact"/>
        <w:ind w:left="851"/>
        <w:rPr>
          <w:sz w:val="20"/>
          <w:szCs w:val="20"/>
          <w:lang w:val="fr-FR"/>
        </w:rPr>
      </w:pPr>
      <w:r w:rsidRPr="00EA6921">
        <w:rPr>
          <w:sz w:val="20"/>
          <w:szCs w:val="20"/>
          <w:lang w:val="fr-FR"/>
        </w:rPr>
        <w:t xml:space="preserve">Il </w:t>
      </w:r>
      <w:r w:rsidR="008D3AAC">
        <w:rPr>
          <w:sz w:val="20"/>
          <w:szCs w:val="20"/>
          <w:lang w:val="fr-FR"/>
        </w:rPr>
        <w:t xml:space="preserve">se </w:t>
      </w:r>
      <w:r w:rsidRPr="00EA6921">
        <w:rPr>
          <w:sz w:val="20"/>
          <w:szCs w:val="20"/>
          <w:lang w:val="fr-FR"/>
        </w:rPr>
        <w:t xml:space="preserve">peut </w:t>
      </w:r>
      <w:r w:rsidR="008D3AAC">
        <w:rPr>
          <w:sz w:val="20"/>
          <w:szCs w:val="20"/>
          <w:lang w:val="fr-FR"/>
        </w:rPr>
        <w:t xml:space="preserve">que les facilitateurs doivent </w:t>
      </w:r>
      <w:r w:rsidRPr="00EA6921">
        <w:rPr>
          <w:sz w:val="20"/>
          <w:szCs w:val="20"/>
          <w:lang w:val="fr-FR"/>
        </w:rPr>
        <w:t xml:space="preserve">rappeler aux participants le processus d’examen et d’inscription </w:t>
      </w:r>
      <w:r w:rsidR="00DD3D8E">
        <w:rPr>
          <w:sz w:val="20"/>
          <w:szCs w:val="20"/>
          <w:lang w:val="fr-FR"/>
        </w:rPr>
        <w:t>examin</w:t>
      </w:r>
      <w:r w:rsidRPr="00EA6921">
        <w:rPr>
          <w:sz w:val="20"/>
          <w:szCs w:val="20"/>
          <w:lang w:val="fr-FR"/>
        </w:rPr>
        <w:t>é dans l’Unité 11 « Candidatures : aperçu » et l’Unité 40 « Présentation des formulaires de candidature ». Voir le Texte du participant de l’Unité 11 pour un</w:t>
      </w:r>
      <w:r w:rsidR="00DD3D8E">
        <w:rPr>
          <w:sz w:val="20"/>
          <w:szCs w:val="20"/>
          <w:lang w:val="fr-FR"/>
        </w:rPr>
        <w:t>e discussion</w:t>
      </w:r>
      <w:r w:rsidRPr="00EA6921">
        <w:rPr>
          <w:sz w:val="20"/>
          <w:szCs w:val="20"/>
          <w:lang w:val="fr-FR"/>
        </w:rPr>
        <w:t xml:space="preserve"> autour du processus d’évaluation, d’examen et d’inscription des candidatures sur les Listes de la Convention, et de l’Organe d’évaluation.</w:t>
      </w:r>
    </w:p>
    <w:p w:rsidR="00022EBE" w:rsidRPr="00583EF3" w:rsidRDefault="00A17216" w:rsidP="007E627F">
      <w:pPr>
        <w:pStyle w:val="Heading4"/>
        <w:rPr>
          <w:lang w:val="fr-FR"/>
        </w:rPr>
      </w:pPr>
      <w:r w:rsidRPr="00EA6921">
        <w:rPr>
          <w:lang w:val="fr-FR"/>
        </w:rPr>
        <w:t>Note sur l’inscription d’un élément</w:t>
      </w:r>
    </w:p>
    <w:p w:rsidR="007E627F" w:rsidRPr="00583EF3" w:rsidRDefault="00A17216" w:rsidP="007E627F">
      <w:pPr>
        <w:spacing w:before="0" w:after="60" w:line="280" w:lineRule="exact"/>
        <w:ind w:left="851"/>
        <w:rPr>
          <w:sz w:val="20"/>
          <w:szCs w:val="20"/>
          <w:lang w:val="fr-FR"/>
        </w:rPr>
      </w:pPr>
      <w:r w:rsidRPr="00EA6921">
        <w:rPr>
          <w:sz w:val="20"/>
          <w:szCs w:val="20"/>
          <w:lang w:val="fr-FR"/>
        </w:rPr>
        <w:t>L’inscription d’éléments sur les Listes de la Convention a lieu lors des sessions du Comité intergouvernemental. L’inscription d’un élément est l’aboutissement d’un processus d’évaluation et d’examen des dossiers de candidature (étudié dans l’Unité 11) qui prend au moins dix-huit mois.</w:t>
      </w:r>
    </w:p>
    <w:p w:rsidR="007E627F" w:rsidRPr="00583EF3" w:rsidRDefault="00A17216" w:rsidP="007E627F">
      <w:pPr>
        <w:spacing w:before="0" w:after="60" w:line="280" w:lineRule="exact"/>
        <w:ind w:left="851"/>
        <w:rPr>
          <w:sz w:val="20"/>
          <w:szCs w:val="20"/>
          <w:lang w:val="fr-FR"/>
        </w:rPr>
      </w:pPr>
      <w:r w:rsidRPr="00EA6921">
        <w:rPr>
          <w:sz w:val="20"/>
          <w:szCs w:val="20"/>
          <w:lang w:val="fr-FR"/>
        </w:rPr>
        <w:t>Avant le début du processus d’inscription, l’Organe d’évaluation présent</w:t>
      </w:r>
      <w:r w:rsidR="00127133">
        <w:rPr>
          <w:sz w:val="20"/>
          <w:szCs w:val="20"/>
          <w:lang w:val="fr-FR"/>
        </w:rPr>
        <w:t>e son</w:t>
      </w:r>
      <w:r w:rsidR="00127133" w:rsidRPr="00A17216">
        <w:rPr>
          <w:sz w:val="20"/>
          <w:szCs w:val="20"/>
          <w:lang w:val="fr-FR"/>
        </w:rPr>
        <w:t xml:space="preserve"> rapport</w:t>
      </w:r>
      <w:r w:rsidRPr="00EA6921">
        <w:rPr>
          <w:sz w:val="20"/>
          <w:szCs w:val="20"/>
          <w:lang w:val="fr-FR"/>
        </w:rPr>
        <w:t xml:space="preserve">. Les rapports de l’Organe d’évaluation résument ses débats et ses réflexions sur les dossiers évalués. Ces rapports </w:t>
      </w:r>
      <w:r w:rsidR="00127133">
        <w:rPr>
          <w:sz w:val="20"/>
          <w:szCs w:val="20"/>
          <w:lang w:val="fr-FR"/>
        </w:rPr>
        <w:t>consultab</w:t>
      </w:r>
      <w:r w:rsidRPr="00EA6921">
        <w:rPr>
          <w:sz w:val="20"/>
          <w:szCs w:val="20"/>
          <w:lang w:val="fr-FR"/>
        </w:rPr>
        <w:t xml:space="preserve">les sur le site Web des réunions du Comité </w:t>
      </w:r>
      <w:r w:rsidR="00127133">
        <w:rPr>
          <w:sz w:val="20"/>
          <w:szCs w:val="20"/>
          <w:lang w:val="fr-FR"/>
        </w:rPr>
        <w:t>correspondantes</w:t>
      </w:r>
      <w:r w:rsidRPr="00EA6921">
        <w:rPr>
          <w:sz w:val="20"/>
          <w:szCs w:val="20"/>
          <w:lang w:val="fr-FR"/>
        </w:rPr>
        <w:t>, sont des documents importants susceptibles d</w:t>
      </w:r>
      <w:r w:rsidR="00947AE0">
        <w:rPr>
          <w:sz w:val="20"/>
          <w:szCs w:val="20"/>
          <w:lang w:val="fr-FR"/>
        </w:rPr>
        <w:t xml:space="preserve">’alimenter </w:t>
      </w:r>
      <w:r w:rsidRPr="00EA6921">
        <w:rPr>
          <w:sz w:val="20"/>
          <w:szCs w:val="20"/>
          <w:lang w:val="fr-FR"/>
        </w:rPr>
        <w:t xml:space="preserve">des discussions de fond </w:t>
      </w:r>
      <w:r w:rsidR="00947AE0">
        <w:rPr>
          <w:sz w:val="20"/>
          <w:szCs w:val="20"/>
          <w:lang w:val="fr-FR"/>
        </w:rPr>
        <w:t>dans le</w:t>
      </w:r>
      <w:r w:rsidRPr="00EA6921">
        <w:rPr>
          <w:sz w:val="20"/>
          <w:szCs w:val="20"/>
          <w:lang w:val="fr-FR"/>
        </w:rPr>
        <w:t>s sessions du Comité.</w:t>
      </w:r>
    </w:p>
    <w:p w:rsidR="007E627F" w:rsidRPr="00583EF3" w:rsidRDefault="00A17216" w:rsidP="007E627F">
      <w:pPr>
        <w:spacing w:before="0" w:after="60" w:line="280" w:lineRule="exact"/>
        <w:ind w:left="851"/>
        <w:rPr>
          <w:sz w:val="20"/>
          <w:szCs w:val="20"/>
          <w:lang w:val="fr-FR"/>
        </w:rPr>
      </w:pPr>
      <w:r w:rsidRPr="00EA6921">
        <w:rPr>
          <w:sz w:val="20"/>
          <w:szCs w:val="20"/>
          <w:lang w:val="fr-FR"/>
        </w:rPr>
        <w:t xml:space="preserve">L’Organe d’évaluation prépare une décision d’inscription pour chaque dossier sur la base de ses évaluations. Ce texte est envoyé aux membres du Comité un mois avant le début de la session et publié simultanément sur le site Web du PCI. Lors de la réunion du Comité, le Président de l’Organe d’évaluation donne lecture des décisions d’inscription. Puis le Comité examine les dossiers de candidature et prend sa décision. Les éléments </w:t>
      </w:r>
      <w:r w:rsidR="00344A7A">
        <w:rPr>
          <w:sz w:val="20"/>
          <w:szCs w:val="20"/>
          <w:lang w:val="fr-FR"/>
        </w:rPr>
        <w:t>sélectionné</w:t>
      </w:r>
      <w:r w:rsidRPr="00EA6921">
        <w:rPr>
          <w:sz w:val="20"/>
          <w:szCs w:val="20"/>
          <w:lang w:val="fr-FR"/>
        </w:rPr>
        <w:t xml:space="preserve">s sont inscrits sur les Listes appropriées. Un représentant de l’État partie concerné, voire aussi de la communauté ou du groupe concerné, pourra prononcer un mot de remerciement. Il ne </w:t>
      </w:r>
      <w:r w:rsidR="00344A7A">
        <w:rPr>
          <w:sz w:val="20"/>
          <w:szCs w:val="20"/>
          <w:lang w:val="fr-FR"/>
        </w:rPr>
        <w:t>peut</w:t>
      </w:r>
      <w:r w:rsidRPr="00EA6921">
        <w:rPr>
          <w:sz w:val="20"/>
          <w:szCs w:val="20"/>
          <w:lang w:val="fr-FR"/>
        </w:rPr>
        <w:t xml:space="preserve"> pas </w:t>
      </w:r>
      <w:r w:rsidR="00344A7A">
        <w:rPr>
          <w:sz w:val="20"/>
          <w:szCs w:val="20"/>
          <w:lang w:val="fr-FR"/>
        </w:rPr>
        <w:t xml:space="preserve">prendre </w:t>
      </w:r>
      <w:r w:rsidRPr="00EA6921">
        <w:rPr>
          <w:sz w:val="20"/>
          <w:szCs w:val="20"/>
          <w:lang w:val="fr-FR"/>
        </w:rPr>
        <w:t xml:space="preserve">la parole </w:t>
      </w:r>
      <w:r w:rsidR="00344A7A">
        <w:rPr>
          <w:sz w:val="20"/>
          <w:szCs w:val="20"/>
          <w:lang w:val="fr-FR"/>
        </w:rPr>
        <w:t>pendant</w:t>
      </w:r>
      <w:r w:rsidRPr="00EA6921">
        <w:rPr>
          <w:sz w:val="20"/>
          <w:szCs w:val="20"/>
          <w:lang w:val="fr-FR"/>
        </w:rPr>
        <w:t xml:space="preserve"> l’examen de l’élément dont il a proposé l’inscription (</w:t>
      </w:r>
      <w:r w:rsidR="00535832">
        <w:rPr>
          <w:sz w:val="20"/>
          <w:szCs w:val="20"/>
          <w:lang w:val="fr-FR"/>
        </w:rPr>
        <w:t>en vertu de</w:t>
      </w:r>
      <w:r w:rsidRPr="00EA6921">
        <w:rPr>
          <w:sz w:val="20"/>
          <w:szCs w:val="20"/>
          <w:lang w:val="fr-FR"/>
        </w:rPr>
        <w:t xml:space="preserve"> l’article 22.4 du Règlement intérieur du Comité : voir </w:t>
      </w:r>
      <w:r w:rsidR="00535832">
        <w:rPr>
          <w:sz w:val="20"/>
          <w:szCs w:val="20"/>
          <w:lang w:val="fr-FR"/>
        </w:rPr>
        <w:t xml:space="preserve">les </w:t>
      </w:r>
      <w:r w:rsidRPr="00EA6921">
        <w:rPr>
          <w:i/>
          <w:sz w:val="20"/>
          <w:szCs w:val="20"/>
          <w:lang w:val="fr-FR"/>
        </w:rPr>
        <w:t>Textes fondamentaux</w:t>
      </w:r>
      <w:r w:rsidRPr="00EA6921">
        <w:rPr>
          <w:sz w:val="20"/>
          <w:szCs w:val="20"/>
          <w:lang w:val="fr-FR"/>
        </w:rPr>
        <w:t xml:space="preserve"> et le site Web du PCI).</w:t>
      </w:r>
    </w:p>
    <w:p w:rsidR="007E627F" w:rsidRPr="00583EF3" w:rsidRDefault="00A17216" w:rsidP="007E627F">
      <w:pPr>
        <w:spacing w:before="0" w:after="60" w:line="280" w:lineRule="exact"/>
        <w:ind w:left="851"/>
        <w:rPr>
          <w:sz w:val="20"/>
          <w:szCs w:val="20"/>
          <w:lang w:val="fr-FR"/>
        </w:rPr>
      </w:pPr>
      <w:r w:rsidRPr="00EA6921">
        <w:rPr>
          <w:sz w:val="20"/>
          <w:szCs w:val="20"/>
          <w:lang w:val="fr-FR"/>
        </w:rPr>
        <w:t xml:space="preserve">L’inscription d’éléments proposés </w:t>
      </w:r>
      <w:r w:rsidR="00535832">
        <w:rPr>
          <w:sz w:val="20"/>
          <w:szCs w:val="20"/>
          <w:lang w:val="fr-FR"/>
        </w:rPr>
        <w:t>a un caractère</w:t>
      </w:r>
      <w:r w:rsidRPr="00EA6921">
        <w:rPr>
          <w:sz w:val="20"/>
          <w:szCs w:val="20"/>
          <w:lang w:val="fr-FR"/>
        </w:rPr>
        <w:t xml:space="preserve"> protocolaire : la plupart des éléments proposés sont inscrits et les dossiers </w:t>
      </w:r>
      <w:r w:rsidR="00535832">
        <w:rPr>
          <w:sz w:val="20"/>
          <w:szCs w:val="20"/>
          <w:lang w:val="fr-FR"/>
        </w:rPr>
        <w:t>in</w:t>
      </w:r>
      <w:r w:rsidRPr="00EA6921">
        <w:rPr>
          <w:sz w:val="20"/>
          <w:szCs w:val="20"/>
          <w:lang w:val="fr-FR"/>
        </w:rPr>
        <w:t>satisfa</w:t>
      </w:r>
      <w:r w:rsidR="00535832">
        <w:rPr>
          <w:sz w:val="20"/>
          <w:szCs w:val="20"/>
          <w:lang w:val="fr-FR"/>
        </w:rPr>
        <w:t>isants</w:t>
      </w:r>
      <w:r w:rsidRPr="00EA6921">
        <w:rPr>
          <w:sz w:val="20"/>
          <w:szCs w:val="20"/>
          <w:lang w:val="fr-FR"/>
        </w:rPr>
        <w:t xml:space="preserve"> sont généralement retirés avant la réunion du Comité.</w:t>
      </w:r>
    </w:p>
    <w:p w:rsidR="00AA491D" w:rsidRPr="001B222B" w:rsidRDefault="00A17216" w:rsidP="001B222B">
      <w:pPr>
        <w:spacing w:before="0" w:after="60" w:line="280" w:lineRule="exact"/>
        <w:ind w:left="851"/>
        <w:rPr>
          <w:sz w:val="20"/>
          <w:szCs w:val="20"/>
          <w:lang w:val="fr-FR"/>
        </w:rPr>
      </w:pPr>
      <w:r w:rsidRPr="00EA6921">
        <w:rPr>
          <w:sz w:val="20"/>
          <w:szCs w:val="20"/>
          <w:lang w:val="fr-FR"/>
        </w:rPr>
        <w:t xml:space="preserve">Il arrive parfois que des membres de la société civile écrivent des lettres faisant objection à l’inscription d’éléments présentés devant le Comité. La correspondance à propos des </w:t>
      </w:r>
      <w:r w:rsidRPr="00EA6921">
        <w:rPr>
          <w:sz w:val="20"/>
          <w:szCs w:val="20"/>
          <w:lang w:val="fr-FR"/>
        </w:rPr>
        <w:lastRenderedPageBreak/>
        <w:t xml:space="preserve">dossiers et les réponses des États soumissionnaires sont </w:t>
      </w:r>
      <w:r w:rsidR="00777303">
        <w:rPr>
          <w:sz w:val="20"/>
          <w:szCs w:val="20"/>
          <w:lang w:val="fr-FR"/>
        </w:rPr>
        <w:t>disponi</w:t>
      </w:r>
      <w:r w:rsidRPr="00EA6921">
        <w:rPr>
          <w:sz w:val="20"/>
          <w:szCs w:val="20"/>
          <w:lang w:val="fr-FR"/>
        </w:rPr>
        <w:t xml:space="preserve">bles sur le site Web du PCI pendant la période d’examen, mais sont ensuite retirées après l’inscription. </w:t>
      </w:r>
      <w:r w:rsidR="008D3AAC">
        <w:rPr>
          <w:sz w:val="20"/>
          <w:szCs w:val="20"/>
          <w:lang w:val="fr-FR"/>
        </w:rPr>
        <w:t>La disponibilité de ces informations</w:t>
      </w:r>
      <w:r w:rsidR="008D3AAC" w:rsidRPr="00EA6921">
        <w:rPr>
          <w:sz w:val="20"/>
          <w:szCs w:val="20"/>
          <w:lang w:val="fr-FR"/>
        </w:rPr>
        <w:t xml:space="preserve"> </w:t>
      </w:r>
      <w:r w:rsidRPr="00EA6921">
        <w:rPr>
          <w:sz w:val="20"/>
          <w:szCs w:val="20"/>
          <w:lang w:val="fr-FR"/>
        </w:rPr>
        <w:t xml:space="preserve">peut contribuer à enrichir le dialogue au sujet des </w:t>
      </w:r>
      <w:r w:rsidR="00777303">
        <w:rPr>
          <w:sz w:val="20"/>
          <w:szCs w:val="20"/>
          <w:lang w:val="fr-FR"/>
        </w:rPr>
        <w:t xml:space="preserve">dossiers de </w:t>
      </w:r>
      <w:r w:rsidRPr="00EA6921">
        <w:rPr>
          <w:sz w:val="20"/>
          <w:szCs w:val="20"/>
          <w:lang w:val="fr-FR"/>
        </w:rPr>
        <w:t xml:space="preserve">candidature. </w:t>
      </w:r>
      <w:r w:rsidR="00777303">
        <w:rPr>
          <w:sz w:val="20"/>
          <w:szCs w:val="20"/>
          <w:lang w:val="fr-FR"/>
        </w:rPr>
        <w:t>Voy</w:t>
      </w:r>
      <w:r w:rsidRPr="00EA6921">
        <w:rPr>
          <w:sz w:val="20"/>
          <w:szCs w:val="20"/>
          <w:lang w:val="fr-FR"/>
        </w:rPr>
        <w:t xml:space="preserve">ez </w:t>
      </w:r>
      <w:r w:rsidR="00777303">
        <w:rPr>
          <w:sz w:val="20"/>
          <w:szCs w:val="20"/>
          <w:lang w:val="fr-FR"/>
        </w:rPr>
        <w:t>l’</w:t>
      </w:r>
      <w:r w:rsidRPr="00EA6921">
        <w:rPr>
          <w:sz w:val="20"/>
          <w:szCs w:val="20"/>
          <w:lang w:val="fr-FR"/>
        </w:rPr>
        <w:t>exemple de décision</w:t>
      </w:r>
      <w:r w:rsidR="00777303">
        <w:rPr>
          <w:sz w:val="20"/>
          <w:szCs w:val="20"/>
          <w:lang w:val="fr-FR"/>
        </w:rPr>
        <w:t xml:space="preserve"> d’inscription</w:t>
      </w:r>
      <w:r w:rsidRPr="00EA6921">
        <w:rPr>
          <w:sz w:val="20"/>
          <w:szCs w:val="20"/>
          <w:lang w:val="fr-FR"/>
        </w:rPr>
        <w:t xml:space="preserve"> </w:t>
      </w:r>
      <w:r w:rsidR="00777303">
        <w:rPr>
          <w:sz w:val="20"/>
          <w:szCs w:val="20"/>
          <w:lang w:val="fr-FR"/>
        </w:rPr>
        <w:t>que fournit</w:t>
      </w:r>
      <w:r w:rsidRPr="00EA6921">
        <w:rPr>
          <w:sz w:val="20"/>
          <w:szCs w:val="20"/>
          <w:lang w:val="fr-FR"/>
        </w:rPr>
        <w:t xml:space="preserve"> l’Imprimé 7 de la présente unité et </w:t>
      </w:r>
      <w:r w:rsidR="00777303">
        <w:rPr>
          <w:sz w:val="20"/>
          <w:szCs w:val="20"/>
          <w:lang w:val="fr-FR"/>
        </w:rPr>
        <w:t>all</w:t>
      </w:r>
      <w:r w:rsidRPr="00EA6921">
        <w:rPr>
          <w:sz w:val="20"/>
          <w:szCs w:val="20"/>
          <w:lang w:val="fr-FR"/>
        </w:rPr>
        <w:t xml:space="preserve">ez sur la page Web du Comité intergouvernemental pour </w:t>
      </w:r>
      <w:r w:rsidR="00777303">
        <w:rPr>
          <w:sz w:val="20"/>
          <w:szCs w:val="20"/>
          <w:lang w:val="fr-FR"/>
        </w:rPr>
        <w:t>trouver</w:t>
      </w:r>
      <w:r w:rsidRPr="00EA6921">
        <w:rPr>
          <w:sz w:val="20"/>
          <w:szCs w:val="20"/>
          <w:lang w:val="fr-FR"/>
        </w:rPr>
        <w:t xml:space="preserve"> d’autres exemples.</w:t>
      </w:r>
    </w:p>
    <w:p w:rsidR="00AA491D" w:rsidRPr="00583EF3" w:rsidRDefault="00945CDB" w:rsidP="001B222B">
      <w:pPr>
        <w:pStyle w:val="Informations0"/>
      </w:pPr>
      <w:r w:rsidRPr="00EA6921">
        <w:rPr>
          <w:noProof/>
          <w:lang w:eastAsia="ja-JP"/>
        </w:rPr>
        <w:drawing>
          <wp:anchor distT="0" distB="0" distL="114300" distR="114300" simplePos="0" relativeHeight="251659264" behindDoc="0" locked="1" layoutInCell="1" allowOverlap="0" wp14:anchorId="679368B2" wp14:editId="1D246A01">
            <wp:simplePos x="0" y="0"/>
            <wp:positionH relativeFrom="margin">
              <wp:align>left</wp:align>
            </wp:positionH>
            <wp:positionV relativeFrom="paragraph">
              <wp:posOffset>-80010</wp:posOffset>
            </wp:positionV>
            <wp:extent cx="271780" cy="3473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00A17216" w:rsidRPr="00EA6921">
        <w:t>Voir : http://www.unesco.org/culture/ich/index.php?lg=fr&amp;pg=00009</w:t>
      </w:r>
    </w:p>
    <w:sectPr w:rsidR="00AA491D" w:rsidRPr="00583EF3" w:rsidSect="006C43B0">
      <w:headerReference w:type="even" r:id="rId22"/>
      <w:footerReference w:type="even" r:id="rId23"/>
      <w:footerReference w:type="default" r:id="rId24"/>
      <w:headerReference w:type="first" r:id="rId25"/>
      <w:footerReference w:type="first" r:id="rId26"/>
      <w:footnotePr>
        <w:numRestart w:val="eachSect"/>
      </w:footnotePr>
      <w:type w:val="oddPage"/>
      <w:pgSz w:w="11900" w:h="16820" w:code="9"/>
      <w:pgMar w:top="1701" w:right="1531" w:bottom="1701" w:left="1531" w:header="720" w:footer="720"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A" w:rsidRDefault="00344A7A" w:rsidP="000A699C">
      <w:pPr>
        <w:spacing w:before="0" w:after="0"/>
      </w:pPr>
      <w:r>
        <w:separator/>
      </w:r>
    </w:p>
  </w:endnote>
  <w:endnote w:type="continuationSeparator" w:id="0">
    <w:p w:rsidR="00344A7A" w:rsidRDefault="00344A7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Default="008B05CE" w:rsidP="00244986">
    <w:pPr>
      <w:pStyle w:val="Footer"/>
      <w:ind w:right="360" w:firstLine="360"/>
    </w:pPr>
    <w:r w:rsidRPr="006021AD">
      <w:rPr>
        <w:rFonts w:cs="Arial"/>
        <w:noProof/>
        <w:sz w:val="22"/>
        <w:lang w:val="fr-FR" w:eastAsia="ja-JP"/>
      </w:rPr>
      <w:drawing>
        <wp:anchor distT="0" distB="0" distL="114300" distR="114300" simplePos="0" relativeHeight="251813888" behindDoc="0" locked="0" layoutInCell="1" allowOverlap="1" wp14:anchorId="77B19C53" wp14:editId="73C71A54">
          <wp:simplePos x="0" y="0"/>
          <wp:positionH relativeFrom="column">
            <wp:posOffset>2485390</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4986">
      <w:rPr>
        <w:noProof/>
        <w:lang w:val="fr-FR" w:eastAsia="ja-JP"/>
      </w:rPr>
      <w:drawing>
        <wp:anchor distT="0" distB="0" distL="114300" distR="114300" simplePos="0" relativeHeight="251798528" behindDoc="1" locked="1" layoutInCell="1" allowOverlap="0" wp14:anchorId="66917990" wp14:editId="75F1791A">
          <wp:simplePos x="0" y="0"/>
          <wp:positionH relativeFrom="margin">
            <wp:align>left</wp:align>
          </wp:positionH>
          <wp:positionV relativeFrom="margin">
            <wp:posOffset>8707755</wp:posOffset>
          </wp:positionV>
          <wp:extent cx="763270" cy="533400"/>
          <wp:effectExtent l="0" t="0" r="0" b="0"/>
          <wp:wrapThrough wrapText="bothSides">
            <wp:wrapPolygon edited="0">
              <wp:start x="0" y="0"/>
              <wp:lineTo x="0" y="20829"/>
              <wp:lineTo x="21025" y="20829"/>
              <wp:lineTo x="210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986" w:rsidRPr="00D53593">
      <w:tab/>
    </w:r>
    <w:r w:rsidR="00244986">
      <w:tab/>
      <w:t>U042-v</w:t>
    </w:r>
    <w:r w:rsidR="00D8472E">
      <w:t>2.0</w:t>
    </w:r>
    <w:r w:rsidR="00244986" w:rsidRPr="00D53593">
      <w:t>-</w:t>
    </w:r>
    <w:r w:rsidR="00244986">
      <w:t>FN</w:t>
    </w:r>
    <w:r w:rsidR="00244986"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Default="008B05CE" w:rsidP="00B74292">
    <w:pPr>
      <w:pStyle w:val="Footer"/>
      <w:ind w:right="360"/>
    </w:pPr>
    <w:r w:rsidRPr="006021AD">
      <w:rPr>
        <w:rFonts w:cs="Arial"/>
        <w:noProof/>
        <w:sz w:val="22"/>
        <w:lang w:val="fr-FR" w:eastAsia="ja-JP"/>
      </w:rPr>
      <w:drawing>
        <wp:anchor distT="0" distB="0" distL="114300" distR="114300" simplePos="0" relativeHeight="251815936" behindDoc="0" locked="0" layoutInCell="1" allowOverlap="1" wp14:anchorId="492649C8" wp14:editId="5CE95EB0">
          <wp:simplePos x="0" y="0"/>
          <wp:positionH relativeFrom="column">
            <wp:posOffset>2609215</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44A7A">
      <w:t>U001-v1.0-FN-EN</w:t>
    </w:r>
    <w:r w:rsidR="00344A7A" w:rsidDel="00F22FFD">
      <w:rPr>
        <w:rStyle w:val="PageNumber"/>
      </w:rPr>
      <w:t xml:space="preserve"> </w:t>
    </w:r>
    <w:r w:rsidR="00344A7A">
      <w:rPr>
        <w:rStyle w:val="PageNumber"/>
      </w:rPr>
      <w:tab/>
    </w:r>
    <w:r w:rsidR="00344A7A" w:rsidRPr="005B7AFC">
      <w:rPr>
        <w:noProof/>
        <w:lang w:val="fr-FR" w:eastAsia="ja-JP"/>
      </w:rPr>
      <w:drawing>
        <wp:anchor distT="0" distB="0" distL="114300" distR="114300" simplePos="0" relativeHeight="251794432" behindDoc="0" locked="1" layoutInCell="1" allowOverlap="0" wp14:anchorId="1C2CC1A9" wp14:editId="7C0E3C25">
          <wp:simplePos x="0" y="0"/>
          <wp:positionH relativeFrom="margin">
            <wp:posOffset>4679315</wp:posOffset>
          </wp:positionH>
          <wp:positionV relativeFrom="margin">
            <wp:posOffset>8660765</wp:posOffset>
          </wp:positionV>
          <wp:extent cx="942975" cy="538480"/>
          <wp:effectExtent l="0" t="0" r="9525" b="0"/>
          <wp:wrapSquare wrapText="bothSides"/>
          <wp:docPr id="453"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244986" w:rsidRDefault="008B05CE" w:rsidP="00244986">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811840" behindDoc="0" locked="0" layoutInCell="1" allowOverlap="1" wp14:anchorId="77B19C53" wp14:editId="73C71A54">
          <wp:simplePos x="0" y="0"/>
          <wp:positionH relativeFrom="column">
            <wp:posOffset>2656840</wp:posOffset>
          </wp:positionH>
          <wp:positionV relativeFrom="paragraph">
            <wp:posOffset>29845</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4986" w:rsidRPr="00EE7846">
      <w:rPr>
        <w:sz w:val="16"/>
        <w:szCs w:val="18"/>
        <w:lang w:val="fr-FR"/>
      </w:rPr>
      <w:t>U</w:t>
    </w:r>
    <w:r w:rsidR="00244986">
      <w:rPr>
        <w:sz w:val="16"/>
        <w:szCs w:val="18"/>
        <w:lang w:val="fr-FR"/>
      </w:rPr>
      <w:t>042-v</w:t>
    </w:r>
    <w:r w:rsidR="00D8472E">
      <w:rPr>
        <w:sz w:val="16"/>
        <w:szCs w:val="18"/>
        <w:lang w:val="fr-FR"/>
      </w:rPr>
      <w:t>2.0</w:t>
    </w:r>
    <w:r w:rsidR="00244986" w:rsidRPr="00EE7846">
      <w:rPr>
        <w:sz w:val="16"/>
        <w:szCs w:val="18"/>
        <w:lang w:val="fr-FR"/>
      </w:rPr>
      <w:t xml:space="preserve">-FN-FR </w:t>
    </w:r>
    <w:r w:rsidR="00244986" w:rsidRPr="00EE7846">
      <w:rPr>
        <w:sz w:val="16"/>
        <w:szCs w:val="18"/>
        <w:lang w:val="fr-FR"/>
      </w:rPr>
      <w:tab/>
    </w:r>
    <w:r w:rsidR="00244986">
      <w:rPr>
        <w:noProof/>
        <w:snapToGrid/>
        <w:lang w:val="fr-FR" w:eastAsia="ja-JP"/>
      </w:rPr>
      <w:drawing>
        <wp:anchor distT="0" distB="0" distL="114300" distR="114300" simplePos="0" relativeHeight="251796480" behindDoc="1" locked="1" layoutInCell="1" allowOverlap="0" wp14:anchorId="0E8D34EA" wp14:editId="5A33BF7C">
          <wp:simplePos x="0" y="0"/>
          <wp:positionH relativeFrom="margin">
            <wp:posOffset>4835525</wp:posOffset>
          </wp:positionH>
          <wp:positionV relativeFrom="margin">
            <wp:posOffset>8727440</wp:posOffset>
          </wp:positionV>
          <wp:extent cx="714375" cy="535940"/>
          <wp:effectExtent l="0" t="0" r="9525" b="0"/>
          <wp:wrapThrough wrapText="bothSides">
            <wp:wrapPolygon edited="0">
              <wp:start x="0" y="0"/>
              <wp:lineTo x="0" y="20730"/>
              <wp:lineTo x="21312" y="20730"/>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244986" w:rsidRDefault="008B05CE" w:rsidP="00244986">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sidRPr="006021AD">
      <w:rPr>
        <w:noProof/>
        <w:lang w:val="fr-FR" w:eastAsia="ja-JP"/>
      </w:rPr>
      <w:drawing>
        <wp:anchor distT="0" distB="0" distL="114300" distR="114300" simplePos="0" relativeHeight="251820032" behindDoc="0" locked="0" layoutInCell="1" allowOverlap="1" wp14:anchorId="2D568C43" wp14:editId="6C4FA2CE">
          <wp:simplePos x="0" y="0"/>
          <wp:positionH relativeFrom="column">
            <wp:posOffset>2428240</wp:posOffset>
          </wp:positionH>
          <wp:positionV relativeFrom="paragraph">
            <wp:posOffset>-5080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4986" w:rsidRPr="00244986">
      <w:rPr>
        <w:rFonts w:eastAsia="Calibri" w:cs="Times New Roman"/>
        <w:noProof/>
        <w:snapToGrid/>
        <w:sz w:val="16"/>
        <w:szCs w:val="22"/>
        <w:lang w:val="fr-FR" w:eastAsia="ja-JP"/>
      </w:rPr>
      <w:drawing>
        <wp:anchor distT="0" distB="0" distL="114300" distR="114300" simplePos="0" relativeHeight="251802624" behindDoc="1" locked="1" layoutInCell="1" allowOverlap="0" wp14:anchorId="25505019" wp14:editId="151DA52E">
          <wp:simplePos x="0" y="0"/>
          <wp:positionH relativeFrom="margin">
            <wp:align>left</wp:align>
          </wp:positionH>
          <wp:positionV relativeFrom="margin">
            <wp:posOffset>8717280</wp:posOffset>
          </wp:positionV>
          <wp:extent cx="763270" cy="533400"/>
          <wp:effectExtent l="0" t="0" r="0" b="0"/>
          <wp:wrapThrough wrapText="bothSides">
            <wp:wrapPolygon edited="0">
              <wp:start x="0" y="0"/>
              <wp:lineTo x="0" y="20829"/>
              <wp:lineTo x="21025" y="20829"/>
              <wp:lineTo x="210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986" w:rsidRPr="00244986">
      <w:rPr>
        <w:rFonts w:eastAsia="Calibri" w:cs="Times New Roman"/>
        <w:snapToGrid/>
        <w:sz w:val="16"/>
        <w:szCs w:val="22"/>
        <w:lang w:val="it-IT" w:eastAsia="en-US"/>
      </w:rPr>
      <w:tab/>
    </w:r>
    <w:r w:rsidR="00244986">
      <w:rPr>
        <w:rFonts w:eastAsia="Calibri" w:cs="Times New Roman"/>
        <w:snapToGrid/>
        <w:sz w:val="16"/>
        <w:szCs w:val="22"/>
        <w:lang w:val="it-IT" w:eastAsia="en-US"/>
      </w:rPr>
      <w:tab/>
      <w:t>U042</w:t>
    </w:r>
    <w:r w:rsidR="00244986" w:rsidRPr="00244986">
      <w:rPr>
        <w:rFonts w:eastAsia="Calibri" w:cs="Times New Roman"/>
        <w:snapToGrid/>
        <w:sz w:val="16"/>
        <w:szCs w:val="22"/>
        <w:lang w:val="it-IT" w:eastAsia="en-US"/>
      </w:rPr>
      <w:t>-v</w:t>
    </w:r>
    <w:r w:rsidR="00D8472E">
      <w:rPr>
        <w:rFonts w:eastAsia="Calibri" w:cs="Times New Roman"/>
        <w:snapToGrid/>
        <w:sz w:val="16"/>
        <w:szCs w:val="22"/>
        <w:lang w:val="it-IT" w:eastAsia="en-US"/>
      </w:rPr>
      <w:t>2.0</w:t>
    </w:r>
    <w:r w:rsidR="00244986" w:rsidRPr="00244986">
      <w:rPr>
        <w:rFonts w:eastAsia="Calibri" w:cs="Times New Roman"/>
        <w:snapToGrid/>
        <w:sz w:val="16"/>
        <w:szCs w:val="22"/>
        <w:lang w:val="it-IT" w:eastAsia="en-US"/>
      </w:rPr>
      <w:t>-FN-FR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080677" w:rsidRDefault="008B05CE" w:rsidP="00080677">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817984" behindDoc="0" locked="0" layoutInCell="1" allowOverlap="1" wp14:anchorId="77B19C53" wp14:editId="73C71A54">
          <wp:simplePos x="0" y="0"/>
          <wp:positionH relativeFrom="column">
            <wp:posOffset>2733040</wp:posOffset>
          </wp:positionH>
          <wp:positionV relativeFrom="paragraph">
            <wp:posOffset>-46355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4986" w:rsidRPr="00244986">
      <w:rPr>
        <w:sz w:val="16"/>
        <w:szCs w:val="18"/>
        <w:lang w:val="fr-FR"/>
      </w:rPr>
      <w:t>U</w:t>
    </w:r>
    <w:r w:rsidR="00244986">
      <w:rPr>
        <w:sz w:val="16"/>
        <w:szCs w:val="18"/>
        <w:lang w:val="fr-FR"/>
      </w:rPr>
      <w:t>042</w:t>
    </w:r>
    <w:r w:rsidR="00244986" w:rsidRPr="00244986">
      <w:rPr>
        <w:sz w:val="16"/>
        <w:szCs w:val="18"/>
        <w:lang w:val="fr-FR"/>
      </w:rPr>
      <w:t>-v</w:t>
    </w:r>
    <w:r w:rsidR="00D8472E">
      <w:rPr>
        <w:sz w:val="16"/>
        <w:szCs w:val="18"/>
        <w:lang w:val="fr-FR"/>
      </w:rPr>
      <w:t>2.0</w:t>
    </w:r>
    <w:r w:rsidR="00244986" w:rsidRPr="00244986">
      <w:rPr>
        <w:sz w:val="16"/>
        <w:szCs w:val="18"/>
        <w:lang w:val="fr-FR"/>
      </w:rPr>
      <w:t xml:space="preserve">-FN-FR </w:t>
    </w:r>
    <w:r w:rsidR="00244986" w:rsidRPr="00244986">
      <w:rPr>
        <w:sz w:val="16"/>
        <w:szCs w:val="18"/>
        <w:lang w:val="fr-FR"/>
      </w:rPr>
      <w:tab/>
    </w:r>
    <w:r w:rsidR="00244986" w:rsidRPr="00244986">
      <w:rPr>
        <w:sz w:val="16"/>
        <w:szCs w:val="18"/>
        <w:lang w:val="fr-FR"/>
      </w:rPr>
      <w:tab/>
    </w:r>
    <w:r w:rsidR="00244986" w:rsidRPr="00244986">
      <w:rPr>
        <w:noProof/>
        <w:snapToGrid/>
        <w:lang w:val="fr-FR" w:eastAsia="ja-JP"/>
      </w:rPr>
      <w:drawing>
        <wp:anchor distT="0" distB="0" distL="114300" distR="114300" simplePos="0" relativeHeight="251800576" behindDoc="1" locked="1" layoutInCell="1" allowOverlap="0" wp14:anchorId="561BA1CE" wp14:editId="7D1B3BD1">
          <wp:simplePos x="0" y="0"/>
          <wp:positionH relativeFrom="margin">
            <wp:align>right</wp:align>
          </wp:positionH>
          <wp:positionV relativeFrom="margin">
            <wp:posOffset>8670290</wp:posOffset>
          </wp:positionV>
          <wp:extent cx="714375" cy="535940"/>
          <wp:effectExtent l="0" t="0" r="9525" b="0"/>
          <wp:wrapThrough wrapText="bothSides">
            <wp:wrapPolygon edited="0">
              <wp:start x="0" y="0"/>
              <wp:lineTo x="0" y="20730"/>
              <wp:lineTo x="21312" y="20730"/>
              <wp:lineTo x="213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Default="00344A7A">
    <w:pPr>
      <w:pStyle w:val="Footer"/>
    </w:pPr>
    <w:r>
      <w:rPr>
        <w:lang w:val="en-GB"/>
      </w:rPr>
      <w:t>U40</w:t>
    </w:r>
    <w:r w:rsidRPr="003D7C9F">
      <w:rPr>
        <w:lang w:val="en-GB"/>
      </w:rPr>
      <w:t>-v1.0-FN-EN</w:t>
    </w:r>
    <w:r>
      <w:tab/>
      <w:t>© UNESCO • Not to be reproduced without permission</w:t>
    </w:r>
    <w:r>
      <w:tab/>
    </w:r>
    <w:r w:rsidRPr="00473E47">
      <w:rPr>
        <w:noProof/>
        <w:szCs w:val="20"/>
        <w:lang w:val="fr-FR" w:eastAsia="ja-JP"/>
      </w:rPr>
      <w:drawing>
        <wp:anchor distT="0" distB="0" distL="114300" distR="114300" simplePos="0" relativeHeight="251788288" behindDoc="0" locked="1" layoutInCell="1" allowOverlap="0" wp14:anchorId="628AC43F" wp14:editId="00979DD3">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A" w:rsidRDefault="00344A7A" w:rsidP="000A699C">
      <w:pPr>
        <w:spacing w:before="0" w:after="0"/>
      </w:pPr>
      <w:r>
        <w:separator/>
      </w:r>
    </w:p>
  </w:footnote>
  <w:footnote w:type="continuationSeparator" w:id="0">
    <w:p w:rsidR="00344A7A" w:rsidRDefault="00344A7A"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8E1D32" w:rsidRDefault="00344A7A" w:rsidP="004936EF">
    <w:pPr>
      <w:pStyle w:val="Header"/>
      <w:ind w:right="360"/>
      <w:rPr>
        <w:lang w:val="fr-FR"/>
      </w:rPr>
    </w:pPr>
    <w:r w:rsidRPr="008E1D32">
      <w:rPr>
        <w:rStyle w:val="PageNumber"/>
        <w:lang w:val="fr-FR"/>
      </w:rPr>
      <w:fldChar w:fldCharType="begin"/>
    </w:r>
    <w:r w:rsidRPr="008E1D32">
      <w:rPr>
        <w:rStyle w:val="PageNumber"/>
        <w:lang w:val="fr-FR"/>
      </w:rPr>
      <w:instrText xml:space="preserve"> PAGE </w:instrText>
    </w:r>
    <w:r w:rsidRPr="008E1D32">
      <w:rPr>
        <w:rStyle w:val="PageNumber"/>
        <w:lang w:val="fr-FR"/>
      </w:rPr>
      <w:fldChar w:fldCharType="separate"/>
    </w:r>
    <w:r w:rsidR="000339C1">
      <w:rPr>
        <w:rStyle w:val="PageNumber"/>
        <w:noProof/>
        <w:lang w:val="fr-FR"/>
      </w:rPr>
      <w:t>2</w:t>
    </w:r>
    <w:r w:rsidRPr="008E1D32">
      <w:rPr>
        <w:rStyle w:val="PageNumber"/>
        <w:lang w:val="fr-FR"/>
      </w:rPr>
      <w:fldChar w:fldCharType="end"/>
    </w:r>
    <w:r w:rsidRPr="008E1D32">
      <w:rPr>
        <w:lang w:val="fr-FR"/>
      </w:rPr>
      <w:tab/>
      <w:t xml:space="preserve">Unité 42 : </w:t>
    </w:r>
    <w:r>
      <w:rPr>
        <w:lang w:val="fr-FR"/>
      </w:rPr>
      <w:t>É</w:t>
    </w:r>
    <w:r w:rsidRPr="008E1D32">
      <w:rPr>
        <w:lang w:val="fr-FR"/>
      </w:rPr>
      <w:t>valuation des exemples de candidature finale</w:t>
    </w:r>
    <w:r>
      <w:rPr>
        <w:lang w:val="fr-FR"/>
      </w:rPr>
      <w:tab/>
      <w:t xml:space="preserve">Notes du </w:t>
    </w:r>
    <w:r w:rsidRPr="008E1D32">
      <w:rPr>
        <w:lang w:val="fr-FR"/>
      </w:rPr>
      <w:t>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DA5C65" w:rsidRDefault="00344A7A" w:rsidP="00FE4339">
    <w:pPr>
      <w:pStyle w:val="Header"/>
      <w:framePr w:wrap="around" w:vAnchor="text" w:hAnchor="margin" w:xAlign="right" w:y="1"/>
      <w:rPr>
        <w:rStyle w:val="PageNumber"/>
        <w:rFonts w:eastAsia="SimSun" w:cs="Arial"/>
        <w:snapToGrid w:val="0"/>
        <w:sz w:val="22"/>
        <w:szCs w:val="24"/>
        <w:lang w:val="fr-FR" w:eastAsia="zh-CN"/>
      </w:rPr>
    </w:pPr>
    <w:r>
      <w:rPr>
        <w:rStyle w:val="PageNumber"/>
      </w:rPr>
      <w:fldChar w:fldCharType="begin"/>
    </w:r>
    <w:r>
      <w:rPr>
        <w:rStyle w:val="PageNumber"/>
      </w:rPr>
      <w:instrText xml:space="preserve">PAGE  </w:instrText>
    </w:r>
    <w:r>
      <w:rPr>
        <w:rStyle w:val="PageNumber"/>
      </w:rPr>
      <w:fldChar w:fldCharType="separate"/>
    </w:r>
    <w:r w:rsidR="000339C1">
      <w:rPr>
        <w:rStyle w:val="PageNumber"/>
        <w:noProof/>
      </w:rPr>
      <w:t>3</w:t>
    </w:r>
    <w:r>
      <w:rPr>
        <w:rStyle w:val="PageNumber"/>
      </w:rPr>
      <w:fldChar w:fldCharType="end"/>
    </w:r>
  </w:p>
  <w:p w:rsidR="00344A7A" w:rsidRPr="008E1D32" w:rsidRDefault="00344A7A" w:rsidP="004936EF">
    <w:pPr>
      <w:pStyle w:val="Header"/>
      <w:ind w:right="360"/>
      <w:rPr>
        <w:lang w:val="fr-FR"/>
      </w:rPr>
    </w:pPr>
    <w:r w:rsidRPr="008E1D32">
      <w:rPr>
        <w:lang w:val="fr-FR"/>
      </w:rPr>
      <w:t xml:space="preserve">Notes du facilitateur </w:t>
    </w:r>
    <w:r w:rsidRPr="008E1D32">
      <w:rPr>
        <w:lang w:val="fr-FR"/>
      </w:rPr>
      <w:tab/>
      <w:t>Unit</w:t>
    </w:r>
    <w:r>
      <w:rPr>
        <w:lang w:val="fr-FR"/>
      </w:rPr>
      <w:t>é</w:t>
    </w:r>
    <w:r w:rsidRPr="008E1D32">
      <w:rPr>
        <w:lang w:val="fr-FR"/>
      </w:rPr>
      <w:t xml:space="preserve"> 42: Évaluation</w:t>
    </w:r>
    <w:r>
      <w:rPr>
        <w:lang w:val="fr-FR"/>
      </w:rPr>
      <w:t xml:space="preserve"> d’exemples de </w:t>
    </w:r>
    <w:r w:rsidRPr="008E1D32">
      <w:rPr>
        <w:lang w:val="fr-FR"/>
      </w:rPr>
      <w:t>candidature</w:t>
    </w:r>
    <w:r>
      <w:rPr>
        <w:lang w:val="fr-FR"/>
      </w:rPr>
      <w:t xml:space="preserve"> finale</w:t>
    </w:r>
    <w:r w:rsidRPr="008E1D32">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8E1D32" w:rsidRDefault="00344A7A" w:rsidP="00E8096F">
    <w:pPr>
      <w:pStyle w:val="Header"/>
      <w:jc w:val="center"/>
      <w:rPr>
        <w:lang w:val="fr-FR"/>
      </w:rPr>
    </w:pPr>
    <w:r w:rsidRPr="008E1D32">
      <w:rPr>
        <w:lang w:val="fr-FR"/>
      </w:rPr>
      <w:t>Notes du facilitateur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8E1D32" w:rsidRDefault="00344A7A">
    <w:pPr>
      <w:pStyle w:val="Header"/>
      <w:rPr>
        <w:lang w:val="fr-FR"/>
      </w:rPr>
    </w:pPr>
    <w:r w:rsidRPr="008E1D32">
      <w:rPr>
        <w:rStyle w:val="PageNumber"/>
        <w:lang w:val="fr-FR"/>
      </w:rPr>
      <w:fldChar w:fldCharType="begin"/>
    </w:r>
    <w:r w:rsidRPr="008E1D32">
      <w:rPr>
        <w:rStyle w:val="PageNumber"/>
        <w:lang w:val="fr-FR"/>
      </w:rPr>
      <w:instrText xml:space="preserve"> PAGE </w:instrText>
    </w:r>
    <w:r w:rsidRPr="008E1D32">
      <w:rPr>
        <w:rStyle w:val="PageNumber"/>
        <w:lang w:val="fr-FR"/>
      </w:rPr>
      <w:fldChar w:fldCharType="separate"/>
    </w:r>
    <w:r w:rsidR="000339C1">
      <w:rPr>
        <w:rStyle w:val="PageNumber"/>
        <w:noProof/>
        <w:lang w:val="fr-FR"/>
      </w:rPr>
      <w:t>4</w:t>
    </w:r>
    <w:r w:rsidRPr="008E1D32">
      <w:rPr>
        <w:rStyle w:val="PageNumber"/>
        <w:lang w:val="fr-FR"/>
      </w:rPr>
      <w:fldChar w:fldCharType="end"/>
    </w:r>
    <w:r w:rsidRPr="008E1D32">
      <w:rPr>
        <w:rStyle w:val="PageNumber"/>
        <w:lang w:val="fr-FR"/>
      </w:rPr>
      <w:tab/>
    </w:r>
    <w:r w:rsidRPr="008E1D32">
      <w:rPr>
        <w:lang w:val="fr-FR"/>
      </w:rPr>
      <w:t xml:space="preserve">Unité 42 : </w:t>
    </w:r>
    <w:r>
      <w:rPr>
        <w:lang w:val="fr-FR"/>
      </w:rPr>
      <w:t>É</w:t>
    </w:r>
    <w:r w:rsidRPr="008E1D32">
      <w:rPr>
        <w:lang w:val="fr-FR"/>
      </w:rPr>
      <w:t>valuation des exemples de candidature finale</w:t>
    </w:r>
    <w:r w:rsidRPr="008E1D32">
      <w:rPr>
        <w:lang w:val="fr-FR"/>
      </w:rPr>
      <w:tab/>
      <w:t>Notes du facilitateur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7A" w:rsidRPr="00CF425C" w:rsidRDefault="00344A7A" w:rsidP="00E8096F">
    <w:pPr>
      <w:pStyle w:val="Header"/>
      <w:jc w:val="center"/>
    </w:pPr>
    <w: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5D5F01"/>
    <w:multiLevelType w:val="hybridMultilevel"/>
    <w:tmpl w:val="E8D60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E856E92"/>
    <w:multiLevelType w:val="hybridMultilevel"/>
    <w:tmpl w:val="2E88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1"/>
  </w:num>
  <w:num w:numId="5">
    <w:abstractNumId w:val="6"/>
  </w:num>
  <w:num w:numId="6">
    <w:abstractNumId w:val="7"/>
  </w:num>
  <w:num w:numId="7">
    <w:abstractNumId w:val="13"/>
  </w:num>
  <w:num w:numId="8">
    <w:abstractNumId w:val="8"/>
  </w:num>
  <w:num w:numId="9">
    <w:abstractNumId w:val="14"/>
  </w:num>
  <w:num w:numId="10">
    <w:abstractNumId w:val="12"/>
  </w:num>
  <w:num w:numId="11">
    <w:abstractNumId w:val="4"/>
  </w:num>
  <w:num w:numId="12">
    <w:abstractNumId w:val="2"/>
  </w:num>
  <w:num w:numId="13">
    <w:abstractNumId w:val="0"/>
  </w:num>
  <w:num w:numId="14">
    <w:abstractNumId w:val="10"/>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598"/>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66"/>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2EBE"/>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9C1"/>
    <w:rsid w:val="00033A48"/>
    <w:rsid w:val="00033B94"/>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677"/>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634"/>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BF2"/>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76C"/>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1B0"/>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133"/>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B7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060"/>
    <w:rsid w:val="00161726"/>
    <w:rsid w:val="00161876"/>
    <w:rsid w:val="00161C90"/>
    <w:rsid w:val="00161E8B"/>
    <w:rsid w:val="0016208F"/>
    <w:rsid w:val="001621CB"/>
    <w:rsid w:val="00162205"/>
    <w:rsid w:val="0016251C"/>
    <w:rsid w:val="00162958"/>
    <w:rsid w:val="00162B5E"/>
    <w:rsid w:val="0016324D"/>
    <w:rsid w:val="001635E7"/>
    <w:rsid w:val="001638F0"/>
    <w:rsid w:val="001639B4"/>
    <w:rsid w:val="00164461"/>
    <w:rsid w:val="001645DF"/>
    <w:rsid w:val="001650D7"/>
    <w:rsid w:val="0016527A"/>
    <w:rsid w:val="001652A8"/>
    <w:rsid w:val="001652F0"/>
    <w:rsid w:val="00165CF1"/>
    <w:rsid w:val="00165E67"/>
    <w:rsid w:val="0016672F"/>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2B"/>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648"/>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5E26"/>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22"/>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8F4"/>
    <w:rsid w:val="001F4A2A"/>
    <w:rsid w:val="001F5070"/>
    <w:rsid w:val="001F507F"/>
    <w:rsid w:val="001F508F"/>
    <w:rsid w:val="001F5319"/>
    <w:rsid w:val="001F5952"/>
    <w:rsid w:val="001F5A56"/>
    <w:rsid w:val="001F5D2B"/>
    <w:rsid w:val="001F61EA"/>
    <w:rsid w:val="001F637E"/>
    <w:rsid w:val="001F6493"/>
    <w:rsid w:val="001F6584"/>
    <w:rsid w:val="001F66B9"/>
    <w:rsid w:val="001F6B41"/>
    <w:rsid w:val="001F6D5D"/>
    <w:rsid w:val="001F7405"/>
    <w:rsid w:val="001F7DE3"/>
    <w:rsid w:val="001F7F9C"/>
    <w:rsid w:val="00200262"/>
    <w:rsid w:val="002003E0"/>
    <w:rsid w:val="002009E3"/>
    <w:rsid w:val="00200E0E"/>
    <w:rsid w:val="002011A1"/>
    <w:rsid w:val="00201329"/>
    <w:rsid w:val="0020169D"/>
    <w:rsid w:val="002017D4"/>
    <w:rsid w:val="00201E08"/>
    <w:rsid w:val="002020A4"/>
    <w:rsid w:val="002021FE"/>
    <w:rsid w:val="00202316"/>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FBC"/>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4986"/>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B1F"/>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B5E"/>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7CB"/>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17"/>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0F21"/>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2F4"/>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A7A"/>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31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56AC"/>
    <w:rsid w:val="003B5BD8"/>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38"/>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EA6"/>
    <w:rsid w:val="003D6290"/>
    <w:rsid w:val="003D63B4"/>
    <w:rsid w:val="003D685B"/>
    <w:rsid w:val="003D6C75"/>
    <w:rsid w:val="003D6C8C"/>
    <w:rsid w:val="003D6D83"/>
    <w:rsid w:val="003D709A"/>
    <w:rsid w:val="003D714E"/>
    <w:rsid w:val="003D77F3"/>
    <w:rsid w:val="003D7C59"/>
    <w:rsid w:val="003D7C9F"/>
    <w:rsid w:val="003E05C9"/>
    <w:rsid w:val="003E0C22"/>
    <w:rsid w:val="003E0E23"/>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3FEB"/>
    <w:rsid w:val="004144D7"/>
    <w:rsid w:val="00414502"/>
    <w:rsid w:val="004146B2"/>
    <w:rsid w:val="00414799"/>
    <w:rsid w:val="0041488C"/>
    <w:rsid w:val="00414D4C"/>
    <w:rsid w:val="0041568B"/>
    <w:rsid w:val="00415B91"/>
    <w:rsid w:val="00415EC7"/>
    <w:rsid w:val="00415FF9"/>
    <w:rsid w:val="004167E6"/>
    <w:rsid w:val="0041705B"/>
    <w:rsid w:val="00417074"/>
    <w:rsid w:val="0041726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839"/>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5B8"/>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287"/>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215"/>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708"/>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0"/>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832"/>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EF3"/>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0AE"/>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C72"/>
    <w:rsid w:val="00621EED"/>
    <w:rsid w:val="00622544"/>
    <w:rsid w:val="00622DC5"/>
    <w:rsid w:val="00622FDF"/>
    <w:rsid w:val="006231B6"/>
    <w:rsid w:val="00623202"/>
    <w:rsid w:val="00623790"/>
    <w:rsid w:val="00623804"/>
    <w:rsid w:val="0062393F"/>
    <w:rsid w:val="00623B09"/>
    <w:rsid w:val="00624627"/>
    <w:rsid w:val="00624A22"/>
    <w:rsid w:val="006250A0"/>
    <w:rsid w:val="0062568B"/>
    <w:rsid w:val="0062571E"/>
    <w:rsid w:val="006257BF"/>
    <w:rsid w:val="00625BC1"/>
    <w:rsid w:val="00625BD5"/>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4C1"/>
    <w:rsid w:val="006336FE"/>
    <w:rsid w:val="0063384F"/>
    <w:rsid w:val="0063414B"/>
    <w:rsid w:val="00635003"/>
    <w:rsid w:val="00635542"/>
    <w:rsid w:val="00635A31"/>
    <w:rsid w:val="0063619C"/>
    <w:rsid w:val="0063628C"/>
    <w:rsid w:val="0063677A"/>
    <w:rsid w:val="006368B7"/>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1D8"/>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554A"/>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690B"/>
    <w:rsid w:val="006B760A"/>
    <w:rsid w:val="006B7CD2"/>
    <w:rsid w:val="006B7F4F"/>
    <w:rsid w:val="006C0051"/>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43B0"/>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338"/>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5EA"/>
    <w:rsid w:val="007317C6"/>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A9"/>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596"/>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3DAA"/>
    <w:rsid w:val="00774150"/>
    <w:rsid w:val="007741C5"/>
    <w:rsid w:val="00774BA7"/>
    <w:rsid w:val="00775522"/>
    <w:rsid w:val="00775B0D"/>
    <w:rsid w:val="00775E5E"/>
    <w:rsid w:val="007765F6"/>
    <w:rsid w:val="007768C7"/>
    <w:rsid w:val="00776972"/>
    <w:rsid w:val="00776FAF"/>
    <w:rsid w:val="00777249"/>
    <w:rsid w:val="00777303"/>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0F44"/>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D09"/>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38E"/>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27F"/>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B6A"/>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0B9C"/>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1CFF"/>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767"/>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C99"/>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5CE"/>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AAC"/>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1D32"/>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4A3"/>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67"/>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1D75"/>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5C9B"/>
    <w:rsid w:val="00945CDB"/>
    <w:rsid w:val="00946401"/>
    <w:rsid w:val="009465CD"/>
    <w:rsid w:val="00946994"/>
    <w:rsid w:val="009469E7"/>
    <w:rsid w:val="00947197"/>
    <w:rsid w:val="009473D5"/>
    <w:rsid w:val="0094756B"/>
    <w:rsid w:val="00947AE0"/>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F76"/>
    <w:rsid w:val="00964F85"/>
    <w:rsid w:val="00965143"/>
    <w:rsid w:val="009651F3"/>
    <w:rsid w:val="00965A00"/>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3DD9"/>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A36"/>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1D"/>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216"/>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4AC"/>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491D"/>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BCE"/>
    <w:rsid w:val="00AC3CDE"/>
    <w:rsid w:val="00AC3FCB"/>
    <w:rsid w:val="00AC41A3"/>
    <w:rsid w:val="00AC4340"/>
    <w:rsid w:val="00AC4A6D"/>
    <w:rsid w:val="00AC4B3D"/>
    <w:rsid w:val="00AC4F3B"/>
    <w:rsid w:val="00AC507B"/>
    <w:rsid w:val="00AC5104"/>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7D8"/>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E7DDF"/>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0A2"/>
    <w:rsid w:val="00AF7431"/>
    <w:rsid w:val="00B0035B"/>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5C8"/>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4E6"/>
    <w:rsid w:val="00B31E17"/>
    <w:rsid w:val="00B31EDA"/>
    <w:rsid w:val="00B31FEF"/>
    <w:rsid w:val="00B32AD6"/>
    <w:rsid w:val="00B33559"/>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B84"/>
    <w:rsid w:val="00B57E88"/>
    <w:rsid w:val="00B60FBA"/>
    <w:rsid w:val="00B610B9"/>
    <w:rsid w:val="00B61126"/>
    <w:rsid w:val="00B61434"/>
    <w:rsid w:val="00B62249"/>
    <w:rsid w:val="00B62975"/>
    <w:rsid w:val="00B62B74"/>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2B38"/>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99D"/>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2"/>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1B7"/>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73A"/>
    <w:rsid w:val="00BC1790"/>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519"/>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B2A"/>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584"/>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296"/>
    <w:rsid w:val="00CF2311"/>
    <w:rsid w:val="00CF251C"/>
    <w:rsid w:val="00CF29B4"/>
    <w:rsid w:val="00CF30E9"/>
    <w:rsid w:val="00CF348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3A"/>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31E"/>
    <w:rsid w:val="00D30716"/>
    <w:rsid w:val="00D307B6"/>
    <w:rsid w:val="00D30AF2"/>
    <w:rsid w:val="00D31284"/>
    <w:rsid w:val="00D31864"/>
    <w:rsid w:val="00D31C8A"/>
    <w:rsid w:val="00D32195"/>
    <w:rsid w:val="00D32425"/>
    <w:rsid w:val="00D32532"/>
    <w:rsid w:val="00D32B3B"/>
    <w:rsid w:val="00D32E5C"/>
    <w:rsid w:val="00D32F18"/>
    <w:rsid w:val="00D3317B"/>
    <w:rsid w:val="00D33FAA"/>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49F"/>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68"/>
    <w:rsid w:val="00D507E5"/>
    <w:rsid w:val="00D50AD0"/>
    <w:rsid w:val="00D50C39"/>
    <w:rsid w:val="00D5126C"/>
    <w:rsid w:val="00D51367"/>
    <w:rsid w:val="00D51637"/>
    <w:rsid w:val="00D517CF"/>
    <w:rsid w:val="00D5189D"/>
    <w:rsid w:val="00D51C43"/>
    <w:rsid w:val="00D51CFD"/>
    <w:rsid w:val="00D526D8"/>
    <w:rsid w:val="00D52FA3"/>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ADA"/>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472E"/>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65"/>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9D9"/>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3E5"/>
    <w:rsid w:val="00DD25D7"/>
    <w:rsid w:val="00DD2B17"/>
    <w:rsid w:val="00DD2B4D"/>
    <w:rsid w:val="00DD2B62"/>
    <w:rsid w:val="00DD38F4"/>
    <w:rsid w:val="00DD39A2"/>
    <w:rsid w:val="00DD3D6E"/>
    <w:rsid w:val="00DD3D8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426"/>
    <w:rsid w:val="00E35629"/>
    <w:rsid w:val="00E35705"/>
    <w:rsid w:val="00E357D8"/>
    <w:rsid w:val="00E35BC6"/>
    <w:rsid w:val="00E35CA7"/>
    <w:rsid w:val="00E36086"/>
    <w:rsid w:val="00E36127"/>
    <w:rsid w:val="00E370CF"/>
    <w:rsid w:val="00E37107"/>
    <w:rsid w:val="00E37265"/>
    <w:rsid w:val="00E37885"/>
    <w:rsid w:val="00E37886"/>
    <w:rsid w:val="00E37E17"/>
    <w:rsid w:val="00E37E33"/>
    <w:rsid w:val="00E40118"/>
    <w:rsid w:val="00E402A8"/>
    <w:rsid w:val="00E40BD9"/>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28"/>
    <w:rsid w:val="00E66BDB"/>
    <w:rsid w:val="00E66C75"/>
    <w:rsid w:val="00E66E95"/>
    <w:rsid w:val="00E6731E"/>
    <w:rsid w:val="00E675AA"/>
    <w:rsid w:val="00E6793B"/>
    <w:rsid w:val="00E67B88"/>
    <w:rsid w:val="00E67CC2"/>
    <w:rsid w:val="00E7094F"/>
    <w:rsid w:val="00E70D02"/>
    <w:rsid w:val="00E70F91"/>
    <w:rsid w:val="00E715C8"/>
    <w:rsid w:val="00E71782"/>
    <w:rsid w:val="00E71B54"/>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040"/>
    <w:rsid w:val="00E76246"/>
    <w:rsid w:val="00E765E1"/>
    <w:rsid w:val="00E766F8"/>
    <w:rsid w:val="00E76A43"/>
    <w:rsid w:val="00E76AB0"/>
    <w:rsid w:val="00E76E90"/>
    <w:rsid w:val="00E77382"/>
    <w:rsid w:val="00E776C9"/>
    <w:rsid w:val="00E7794B"/>
    <w:rsid w:val="00E77F4F"/>
    <w:rsid w:val="00E8036D"/>
    <w:rsid w:val="00E8096F"/>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5D8"/>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2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BA7"/>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643"/>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2903"/>
    <w:rsid w:val="00FE346A"/>
    <w:rsid w:val="00FE3ADB"/>
    <w:rsid w:val="00FE4234"/>
    <w:rsid w:val="00FE4339"/>
    <w:rsid w:val="00FE462B"/>
    <w:rsid w:val="00FE4938"/>
    <w:rsid w:val="00FE4989"/>
    <w:rsid w:val="00FE4E52"/>
    <w:rsid w:val="00FE542A"/>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3F6F"/>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4088AF6-8604-4A49-A93F-3261C93F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AC3BCE"/>
    <w:pPr>
      <w:ind w:left="1134" w:right="284"/>
    </w:pPr>
    <w:rPr>
      <w:sz w:val="18"/>
    </w:rPr>
  </w:style>
  <w:style w:type="character" w:customStyle="1" w:styleId="citationCar">
    <w:name w:val="citation Car"/>
    <w:basedOn w:val="Texte1Car"/>
    <w:link w:val="citation"/>
    <w:rsid w:val="00AC3BCE"/>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www.unesco.org/open-access/terms-use-ccbysa-fr"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fr&amp;pg=00503"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662B-8756-4DF7-A6F8-4869BF2705F8}">
  <ds:schemaRefs>
    <ds:schemaRef ds:uri="http://schemas.openxmlformats.org/officeDocument/2006/bibliography"/>
  </ds:schemaRefs>
</ds:datastoreItem>
</file>

<file path=customXml/itemProps2.xml><?xml version="1.0" encoding="utf-8"?>
<ds:datastoreItem xmlns:ds="http://schemas.openxmlformats.org/officeDocument/2006/customXml" ds:itemID="{EE8B5F83-19D0-4A9D-94BF-3FEC8824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1343</Words>
  <Characters>7390</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8716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Kim, Dain</cp:lastModifiedBy>
  <cp:revision>24</cp:revision>
  <cp:lastPrinted>2014-07-07T17:05:00Z</cp:lastPrinted>
  <dcterms:created xsi:type="dcterms:W3CDTF">2015-09-29T08:52:00Z</dcterms:created>
  <dcterms:modified xsi:type="dcterms:W3CDTF">2018-04-23T09:58:00Z</dcterms:modified>
</cp:coreProperties>
</file>