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38D02" w14:textId="6807D3FA" w:rsidR="009F28BC" w:rsidRPr="004936EF" w:rsidRDefault="009F28BC" w:rsidP="009F28BC">
      <w:pPr>
        <w:pStyle w:val="Chapitre"/>
        <w:rPr>
          <w:lang w:val="en-US"/>
        </w:rPr>
      </w:pPr>
      <w:bookmarkStart w:id="0" w:name="_Toc241229778"/>
      <w:bookmarkStart w:id="1" w:name="_Toc241229982"/>
      <w:bookmarkStart w:id="2" w:name="_Toc242165676"/>
      <w:bookmarkStart w:id="3" w:name="_GoBack"/>
      <w:bookmarkEnd w:id="3"/>
      <w:r w:rsidRPr="002662A9">
        <w:rPr>
          <w:lang w:val="en-US"/>
        </w:rPr>
        <w:t>Unit</w:t>
      </w:r>
      <w:r w:rsidR="00BB2569">
        <w:rPr>
          <w:lang w:val="en-US"/>
        </w:rPr>
        <w:t>é</w:t>
      </w:r>
      <w:r w:rsidRPr="002662A9">
        <w:rPr>
          <w:lang w:val="en-US"/>
        </w:rPr>
        <w:t xml:space="preserve"> </w:t>
      </w:r>
      <w:r w:rsidR="0067056F">
        <w:rPr>
          <w:lang w:val="en-US"/>
        </w:rPr>
        <w:t>49</w:t>
      </w:r>
    </w:p>
    <w:p w14:paraId="46C994E5" w14:textId="1A32112B" w:rsidR="006C700E" w:rsidRPr="00BB2569" w:rsidRDefault="00BB2569" w:rsidP="006C700E">
      <w:pPr>
        <w:pStyle w:val="HO1"/>
        <w:rPr>
          <w:noProof w:val="0"/>
          <w:lang w:val="fr-FR"/>
        </w:rPr>
      </w:pPr>
      <w:r w:rsidRPr="00BB2569">
        <w:rPr>
          <w:noProof w:val="0"/>
          <w:lang w:val="fr-FR"/>
        </w:rPr>
        <w:t>Imprimé 6 :</w:t>
      </w:r>
    </w:p>
    <w:bookmarkEnd w:id="0"/>
    <w:bookmarkEnd w:id="1"/>
    <w:bookmarkEnd w:id="2"/>
    <w:p w14:paraId="0A32421E" w14:textId="78A48A77" w:rsidR="0031587B" w:rsidRPr="00BB2569" w:rsidRDefault="00BB2569" w:rsidP="00C73E9C">
      <w:pPr>
        <w:pStyle w:val="HO2"/>
        <w:rPr>
          <w:noProof w:val="0"/>
          <w:lang w:val="fr-FR"/>
        </w:rPr>
      </w:pPr>
      <w:r w:rsidRPr="00BB2569">
        <w:rPr>
          <w:noProof w:val="0"/>
          <w:lang w:val="fr-FR"/>
        </w:rPr>
        <w:t>préparation</w:t>
      </w:r>
      <w:r>
        <w:rPr>
          <w:noProof w:val="0"/>
          <w:lang w:val="fr-FR"/>
        </w:rPr>
        <w:t xml:space="preserve"> des dossiers de candidature à la Liste représentative </w:t>
      </w:r>
      <w:r w:rsidR="0067056F" w:rsidRPr="00BB2569">
        <w:rPr>
          <w:noProof w:val="0"/>
          <w:lang w:val="fr-FR"/>
        </w:rPr>
        <w:t>(2)</w:t>
      </w:r>
    </w:p>
    <w:p w14:paraId="3C8017D4" w14:textId="08C6B314" w:rsidR="00BB2569" w:rsidRPr="00BB2569" w:rsidRDefault="00BB2569" w:rsidP="00F13E08">
      <w:pPr>
        <w:pStyle w:val="Texte1"/>
        <w:spacing w:line="276" w:lineRule="auto"/>
      </w:pPr>
      <w:r>
        <w:t>Ces trois textes sont tous consacrés à des formes de tradition culinaire et sont, en grande partie, extraits de la Section 1 (identification de l’élément).</w:t>
      </w:r>
    </w:p>
    <w:p w14:paraId="6D818FA7" w14:textId="216527A1" w:rsidR="0067056F" w:rsidRPr="00BB2569" w:rsidRDefault="0067056F" w:rsidP="00F13E08">
      <w:pPr>
        <w:pStyle w:val="Texte1"/>
        <w:spacing w:before="240" w:line="276" w:lineRule="auto"/>
        <w:rPr>
          <w:b/>
          <w:bCs/>
        </w:rPr>
      </w:pPr>
      <w:r w:rsidRPr="00BB2569">
        <w:rPr>
          <w:b/>
          <w:bCs/>
        </w:rPr>
        <w:t xml:space="preserve">(a) </w:t>
      </w:r>
      <w:r w:rsidR="00E91F5C">
        <w:rPr>
          <w:b/>
          <w:bCs/>
          <w:i/>
          <w:iCs/>
        </w:rPr>
        <w:t>La cuisine traditionnelle mexicaine</w:t>
      </w:r>
    </w:p>
    <w:p w14:paraId="3B90944B" w14:textId="7ACE4340" w:rsidR="00E91F5C" w:rsidRPr="00BB2569" w:rsidRDefault="00E91F5C" w:rsidP="00F13E08">
      <w:pPr>
        <w:widowControl w:val="0"/>
        <w:tabs>
          <w:tab w:val="clear" w:pos="567"/>
        </w:tabs>
        <w:autoSpaceDE w:val="0"/>
        <w:autoSpaceDN w:val="0"/>
        <w:adjustRightInd w:val="0"/>
        <w:snapToGrid/>
        <w:spacing w:before="0" w:after="0" w:line="276" w:lineRule="auto"/>
        <w:ind w:left="851"/>
        <w:rPr>
          <w:rFonts w:eastAsia="Calibri"/>
          <w:snapToGrid/>
          <w:sz w:val="20"/>
          <w:szCs w:val="20"/>
          <w:lang w:val="fr-FR" w:eastAsia="fr-FR"/>
        </w:rPr>
      </w:pPr>
      <w:r>
        <w:rPr>
          <w:rFonts w:eastAsia="Calibri"/>
          <w:snapToGrid/>
          <w:sz w:val="20"/>
          <w:szCs w:val="20"/>
          <w:lang w:val="fr-FR" w:eastAsia="fr-FR"/>
        </w:rPr>
        <w:t>« </w:t>
      </w:r>
      <w:r w:rsidR="00BB2569" w:rsidRPr="00BB2569">
        <w:rPr>
          <w:rFonts w:eastAsia="Calibri"/>
          <w:snapToGrid/>
          <w:sz w:val="20"/>
          <w:szCs w:val="20"/>
          <w:lang w:val="fr-FR" w:eastAsia="fr-FR"/>
        </w:rPr>
        <w:t>La cuisine traditionnelle mexicaine est un modèle culturel complet qui rassemble des pratiques agricoles, rituelles, des talents de longue date, des techniques culinaires et des coutumes et manières communautaires ancestrales, dont les racines profondément ancrées continuent d’être vitales au XXIe siècle. Le système met la nourriture sur la table mexicaine depuis des milliers d’années et continue de garder son authenticité – un désir de ne pas falsifier les origines –, ce qui veut dire que les communautés préparent encore les aliments selon des méthodes éprouvées au fil du temps. Cela est rendu possible grâce à la participation collective – illustrée ici par les cuisinières dans le projet de Michoacán – dans la chaîne alimentaire traditionnelle tout entière : de la plantation et la récolte à la cuisson et à la dégustation</w:t>
      </w:r>
      <w:r w:rsidR="00BB2569">
        <w:rPr>
          <w:rFonts w:eastAsia="Calibri"/>
          <w:snapToGrid/>
          <w:sz w:val="20"/>
          <w:szCs w:val="20"/>
          <w:lang w:val="fr-FR" w:eastAsia="fr-FR"/>
        </w:rPr>
        <w:t>… »</w:t>
      </w:r>
    </w:p>
    <w:p w14:paraId="30EB9993" w14:textId="134A4341" w:rsidR="0067056F" w:rsidRPr="00BB2569" w:rsidRDefault="00F13E08" w:rsidP="00F13E08">
      <w:pPr>
        <w:pStyle w:val="Texte1"/>
        <w:spacing w:line="276" w:lineRule="auto"/>
      </w:pPr>
      <w:r>
        <w:t>Et à la Section 4 sur le c</w:t>
      </w:r>
      <w:r w:rsidR="00E91F5C">
        <w:t xml:space="preserve">onsentement libre, préalable et éclairé à la </w:t>
      </w:r>
      <w:r>
        <w:t>candidature</w:t>
      </w:r>
      <w:r w:rsidR="00E91F5C">
        <w:t>, le dossier précise :</w:t>
      </w:r>
    </w:p>
    <w:p w14:paraId="24431842" w14:textId="6719AFF5" w:rsidR="0067056F" w:rsidRPr="00E91F5C" w:rsidRDefault="00E91F5C" w:rsidP="00F13E08">
      <w:pPr>
        <w:widowControl w:val="0"/>
        <w:tabs>
          <w:tab w:val="clear" w:pos="567"/>
        </w:tabs>
        <w:autoSpaceDE w:val="0"/>
        <w:autoSpaceDN w:val="0"/>
        <w:adjustRightInd w:val="0"/>
        <w:snapToGrid/>
        <w:spacing w:before="0" w:after="0" w:line="276" w:lineRule="auto"/>
        <w:ind w:left="851"/>
        <w:rPr>
          <w:rFonts w:eastAsia="Calibri"/>
          <w:snapToGrid/>
          <w:sz w:val="20"/>
          <w:szCs w:val="20"/>
          <w:lang w:val="fr-FR" w:eastAsia="fr-FR"/>
        </w:rPr>
      </w:pPr>
      <w:r>
        <w:rPr>
          <w:sz w:val="20"/>
          <w:szCs w:val="20"/>
          <w:lang w:val="fr-FR"/>
        </w:rPr>
        <w:t>« </w:t>
      </w:r>
      <w:r w:rsidRPr="00E91F5C">
        <w:rPr>
          <w:sz w:val="20"/>
          <w:szCs w:val="20"/>
          <w:lang w:val="fr-FR"/>
        </w:rPr>
        <w:t>…</w:t>
      </w:r>
      <w:r>
        <w:rPr>
          <w:sz w:val="20"/>
          <w:szCs w:val="20"/>
          <w:lang w:val="fr-FR"/>
        </w:rPr>
        <w:t xml:space="preserve"> </w:t>
      </w:r>
      <w:r w:rsidRPr="00E91F5C">
        <w:rPr>
          <w:rFonts w:eastAsia="Calibri"/>
          <w:snapToGrid/>
          <w:sz w:val="20"/>
          <w:szCs w:val="20"/>
          <w:lang w:val="fr-FR" w:eastAsia="fr-FR"/>
        </w:rPr>
        <w:t xml:space="preserve">Cette préservation manifestement effective du patrimoine culinaire et ce développement durable de la communauté ont été réalisés par une coalition de forces, </w:t>
      </w:r>
      <w:r w:rsidRPr="00E91F5C">
        <w:rPr>
          <w:rFonts w:eastAsia="Calibri"/>
          <w:i/>
          <w:snapToGrid/>
          <w:sz w:val="20"/>
          <w:szCs w:val="20"/>
          <w:lang w:val="fr-FR" w:eastAsia="fr-FR"/>
        </w:rPr>
        <w:t>incluant au tout premier plan les femmes des communautés</w:t>
      </w:r>
      <w:r w:rsidRPr="00E91F5C">
        <w:rPr>
          <w:rFonts w:eastAsia="Calibri"/>
          <w:snapToGrid/>
          <w:sz w:val="20"/>
          <w:szCs w:val="20"/>
          <w:lang w:val="fr-FR" w:eastAsia="fr-FR"/>
        </w:rPr>
        <w:t>, les agences gouvernementales de l’État et les experts et spécialistes en matière d’alimentation et de gastronomie.</w:t>
      </w:r>
      <w:r>
        <w:rPr>
          <w:sz w:val="20"/>
          <w:szCs w:val="20"/>
          <w:lang w:val="fr-FR"/>
        </w:rPr>
        <w:t xml:space="preserve"> » </w:t>
      </w:r>
      <w:r w:rsidRPr="00E91F5C">
        <w:rPr>
          <w:sz w:val="20"/>
          <w:szCs w:val="20"/>
          <w:lang w:val="fr-FR"/>
        </w:rPr>
        <w:t>[</w:t>
      </w:r>
      <w:r>
        <w:rPr>
          <w:sz w:val="20"/>
          <w:szCs w:val="20"/>
          <w:lang w:val="fr-FR"/>
        </w:rPr>
        <w:t xml:space="preserve">sans </w:t>
      </w:r>
      <w:r w:rsidRPr="00F13E08">
        <w:rPr>
          <w:i/>
          <w:sz w:val="20"/>
          <w:szCs w:val="20"/>
          <w:lang w:val="fr-FR"/>
        </w:rPr>
        <w:t>italique</w:t>
      </w:r>
      <w:r>
        <w:rPr>
          <w:sz w:val="20"/>
          <w:szCs w:val="20"/>
          <w:lang w:val="fr-FR"/>
        </w:rPr>
        <w:t xml:space="preserve"> dans le document original</w:t>
      </w:r>
      <w:r w:rsidRPr="00E91F5C">
        <w:rPr>
          <w:sz w:val="20"/>
          <w:szCs w:val="20"/>
          <w:lang w:val="fr-FR"/>
        </w:rPr>
        <w:t>]</w:t>
      </w:r>
    </w:p>
    <w:p w14:paraId="3D065DEA" w14:textId="1F88A7FB" w:rsidR="0067056F" w:rsidRPr="00E91F5C" w:rsidRDefault="0067056F" w:rsidP="00F13E08">
      <w:pPr>
        <w:pStyle w:val="Texte1"/>
        <w:spacing w:before="240" w:line="276" w:lineRule="auto"/>
        <w:rPr>
          <w:b/>
          <w:bCs/>
          <w:szCs w:val="20"/>
        </w:rPr>
      </w:pPr>
      <w:r w:rsidRPr="00E91F5C">
        <w:rPr>
          <w:b/>
          <w:bCs/>
          <w:szCs w:val="20"/>
        </w:rPr>
        <w:t xml:space="preserve">(b) </w:t>
      </w:r>
      <w:r w:rsidR="00E91F5C">
        <w:rPr>
          <w:b/>
          <w:bCs/>
          <w:i/>
          <w:iCs/>
          <w:szCs w:val="20"/>
        </w:rPr>
        <w:t>Le repas gastronomique des Français</w:t>
      </w:r>
    </w:p>
    <w:p w14:paraId="171367DA" w14:textId="5A0379B7" w:rsidR="0067056F" w:rsidRPr="00E91F5C" w:rsidRDefault="00E91F5C" w:rsidP="00F13E08">
      <w:pPr>
        <w:widowControl w:val="0"/>
        <w:tabs>
          <w:tab w:val="clear" w:pos="567"/>
        </w:tabs>
        <w:autoSpaceDE w:val="0"/>
        <w:autoSpaceDN w:val="0"/>
        <w:adjustRightInd w:val="0"/>
        <w:snapToGrid/>
        <w:spacing w:before="0" w:after="0" w:line="276" w:lineRule="auto"/>
        <w:ind w:left="851"/>
        <w:rPr>
          <w:rFonts w:eastAsia="Calibri"/>
          <w:snapToGrid/>
          <w:sz w:val="20"/>
          <w:szCs w:val="20"/>
          <w:lang w:val="fr-FR" w:eastAsia="fr-FR"/>
        </w:rPr>
      </w:pPr>
      <w:r w:rsidRPr="00E91F5C">
        <w:rPr>
          <w:sz w:val="20"/>
          <w:szCs w:val="20"/>
        </w:rPr>
        <w:t>« </w:t>
      </w:r>
      <w:r w:rsidRPr="00E91F5C">
        <w:rPr>
          <w:rFonts w:eastAsia="Calibri"/>
          <w:snapToGrid/>
          <w:sz w:val="20"/>
          <w:szCs w:val="20"/>
          <w:lang w:val="fr-FR" w:eastAsia="fr-FR"/>
        </w:rPr>
        <w:t>Le repas gastronomique est une pratique sociale coutumière à laquelle les Français sont très attachés. Ils le reconnaissent comme faisant partie de leur patrimoine. L’édition 2009 de l’enquête annuelle sur « l’Alimentation des Français » établit qu’il est pour 95,2% des Français un élément de leur patrimoine culturel et de leur identité, et que 98,7% d’entre eux souhaitent le sauvegarder et le transmettre aux générations futures […] C’est un repas festif qui réunit, pour un moment de plaisir partagé, un groupe de convives (familial, amical, associatif, voire villages entiers). Il se déroule à la maison, parfois dans un lieu</w:t>
      </w:r>
      <w:r>
        <w:rPr>
          <w:rFonts w:eastAsia="Calibri"/>
          <w:snapToGrid/>
          <w:sz w:val="20"/>
          <w:szCs w:val="20"/>
          <w:lang w:val="fr-FR" w:eastAsia="fr-FR"/>
        </w:rPr>
        <w:t xml:space="preserve"> </w:t>
      </w:r>
      <w:r w:rsidRPr="00E91F5C">
        <w:rPr>
          <w:rFonts w:eastAsia="Calibri"/>
          <w:snapToGrid/>
          <w:sz w:val="20"/>
          <w:szCs w:val="20"/>
          <w:lang w:val="fr-FR" w:eastAsia="fr-FR"/>
        </w:rPr>
        <w:t>public (salle des fêtes ou restaurant) […] Le repas gastronomique est une pratique sociale homogène dans toute la communauté</w:t>
      </w:r>
      <w:r>
        <w:rPr>
          <w:rFonts w:eastAsia="Calibri"/>
          <w:snapToGrid/>
          <w:sz w:val="20"/>
          <w:szCs w:val="20"/>
          <w:lang w:val="fr-FR" w:eastAsia="fr-FR"/>
        </w:rPr>
        <w:t>…</w:t>
      </w:r>
      <w:r w:rsidR="00780F8E">
        <w:rPr>
          <w:rFonts w:eastAsia="Calibri"/>
          <w:snapToGrid/>
          <w:sz w:val="20"/>
          <w:szCs w:val="20"/>
          <w:lang w:val="fr-FR" w:eastAsia="fr-FR"/>
        </w:rPr>
        <w:t> »</w:t>
      </w:r>
    </w:p>
    <w:p w14:paraId="5E83E000" w14:textId="1A37062C" w:rsidR="0067056F" w:rsidRPr="00BB2569" w:rsidRDefault="0067056F" w:rsidP="00F13E08">
      <w:pPr>
        <w:pStyle w:val="Texte1"/>
        <w:spacing w:before="240" w:line="276" w:lineRule="auto"/>
        <w:rPr>
          <w:b/>
          <w:bCs/>
        </w:rPr>
      </w:pPr>
      <w:r w:rsidRPr="00BB2569">
        <w:rPr>
          <w:b/>
          <w:bCs/>
        </w:rPr>
        <w:t xml:space="preserve">(c) </w:t>
      </w:r>
      <w:r w:rsidR="00780F8E">
        <w:rPr>
          <w:b/>
          <w:bCs/>
          <w:i/>
          <w:iCs/>
        </w:rPr>
        <w:t xml:space="preserve">La Diète Méditerranéenne </w:t>
      </w:r>
    </w:p>
    <w:p w14:paraId="4EEB1FA6" w14:textId="77777777" w:rsidR="00780F8E" w:rsidRPr="00780F8E" w:rsidRDefault="00780F8E" w:rsidP="00F13E08">
      <w:pPr>
        <w:pStyle w:val="formtext"/>
        <w:spacing w:before="0" w:after="120" w:line="276" w:lineRule="auto"/>
        <w:ind w:left="851" w:right="135"/>
        <w:jc w:val="both"/>
        <w:rPr>
          <w:rFonts w:cs="Arial"/>
          <w:sz w:val="20"/>
          <w:szCs w:val="20"/>
          <w:lang w:val="fr-FR"/>
        </w:rPr>
      </w:pPr>
      <w:r w:rsidRPr="00780F8E">
        <w:rPr>
          <w:rFonts w:cs="Arial"/>
          <w:sz w:val="20"/>
          <w:szCs w:val="20"/>
          <w:lang w:val="fr-FR"/>
        </w:rPr>
        <w:lastRenderedPageBreak/>
        <w:t>Dans nos communautés, la richesse des expressions culturelles de la Diète Méditerranéenne, aujourd’hui toujours vivantes et dynamiques, provient de la puissance de ses vecteurs humains. Femmes et hommes, de tout âge et condition, en tant que vrais détenteurs et praticiens de l’élément, on les retrouve au sein de la famille, la confrérie, l’association, la corporation, de sa population toute entière. Les institutions locales, dans la proximité, jouent un rôle essentiel dans la création de cadres favorables à la protection de l’élément et dans l’appui des initiatives communautaires.</w:t>
      </w:r>
    </w:p>
    <w:p w14:paraId="0EEFDD5F" w14:textId="23A9BE9D" w:rsidR="000C100A" w:rsidRPr="00BE682B" w:rsidRDefault="00780F8E" w:rsidP="00BE682B">
      <w:pPr>
        <w:pStyle w:val="formtext"/>
        <w:tabs>
          <w:tab w:val="left" w:pos="3969"/>
        </w:tabs>
        <w:spacing w:before="120" w:after="120" w:line="276" w:lineRule="auto"/>
        <w:ind w:left="851" w:right="135"/>
        <w:jc w:val="both"/>
        <w:rPr>
          <w:rFonts w:cs="Arial"/>
          <w:sz w:val="20"/>
          <w:szCs w:val="20"/>
          <w:lang w:val="fr-FR"/>
        </w:rPr>
      </w:pPr>
      <w:r w:rsidRPr="00F13E08">
        <w:rPr>
          <w:rFonts w:cs="Arial"/>
          <w:i/>
          <w:sz w:val="20"/>
          <w:szCs w:val="20"/>
          <w:lang w:val="fr-FR"/>
        </w:rPr>
        <w:t>Un groupe mérite d’être mis en valeur</w:t>
      </w:r>
      <w:r w:rsidR="00F13E08">
        <w:rPr>
          <w:rFonts w:cs="Arial"/>
          <w:i/>
          <w:sz w:val="20"/>
          <w:szCs w:val="20"/>
          <w:lang w:val="fr-FR"/>
        </w:rPr>
        <w:t xml:space="preserve"> </w:t>
      </w:r>
      <w:r w:rsidRPr="00F13E08">
        <w:rPr>
          <w:rFonts w:cs="Arial"/>
          <w:i/>
          <w:sz w:val="20"/>
          <w:szCs w:val="20"/>
          <w:lang w:val="fr-FR"/>
        </w:rPr>
        <w:t>: celui des femmes qui, elles, jouent un rôle toujours très important</w:t>
      </w:r>
      <w:r w:rsidRPr="00F13E08">
        <w:rPr>
          <w:rFonts w:cs="Arial"/>
          <w:sz w:val="20"/>
          <w:szCs w:val="20"/>
          <w:lang w:val="fr-FR"/>
        </w:rPr>
        <w:t xml:space="preserve">, dans la transmission des savoir-faire et des connaissances, dans la recréation des rituels, des gestes traditionnels et des célébrations, dans la sauvegarde des techniques, dans le respect des rythmes saisonniers et les ponctuations festives du calendrier, et dans l’inclusion de toutes les valeurs culturelles, sociales et environnementales de l’élément, dans l’éducation des nouvelles générations… » [sans </w:t>
      </w:r>
      <w:r w:rsidRPr="00F13E08">
        <w:rPr>
          <w:rFonts w:cs="Arial"/>
          <w:i/>
          <w:sz w:val="20"/>
          <w:szCs w:val="20"/>
          <w:lang w:val="fr-FR"/>
        </w:rPr>
        <w:t>italique</w:t>
      </w:r>
      <w:r w:rsidRPr="00F13E08">
        <w:rPr>
          <w:rFonts w:cs="Arial"/>
          <w:sz w:val="20"/>
          <w:szCs w:val="20"/>
          <w:lang w:val="fr-FR"/>
        </w:rPr>
        <w:t xml:space="preserve"> dans le document original]</w:t>
      </w:r>
    </w:p>
    <w:sectPr w:rsidR="000C100A" w:rsidRPr="00BE682B" w:rsidSect="009B3A94">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A0B7" w14:textId="77777777" w:rsidR="00780F8E" w:rsidRDefault="00780F8E" w:rsidP="000A699C">
      <w:pPr>
        <w:spacing w:before="0" w:after="0"/>
      </w:pPr>
      <w:r>
        <w:separator/>
      </w:r>
    </w:p>
  </w:endnote>
  <w:endnote w:type="continuationSeparator" w:id="0">
    <w:p w14:paraId="6B6A2CAD" w14:textId="77777777" w:rsidR="00780F8E" w:rsidRDefault="00780F8E"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55D74" w14:textId="6499490E" w:rsidR="00780F8E" w:rsidRPr="005A5B3B" w:rsidRDefault="00655234" w:rsidP="005A5B3B">
    <w:pPr>
      <w:pStyle w:val="Footer"/>
      <w:rPr>
        <w:lang w:val="fr-FR"/>
      </w:rPr>
    </w:pPr>
    <w:r>
      <w:rPr>
        <w:noProof/>
        <w:lang w:eastAsia="fr-FR"/>
      </w:rPr>
      <w:drawing>
        <wp:anchor distT="0" distB="0" distL="114300" distR="114300" simplePos="0" relativeHeight="251785216" behindDoc="0" locked="0" layoutInCell="1" allowOverlap="1" wp14:anchorId="679482A3" wp14:editId="25BC883A">
          <wp:simplePos x="0" y="0"/>
          <wp:positionH relativeFrom="column">
            <wp:posOffset>2326640</wp:posOffset>
          </wp:positionH>
          <wp:positionV relativeFrom="paragraph">
            <wp:posOffset>35560</wp:posOffset>
          </wp:positionV>
          <wp:extent cx="542925" cy="190500"/>
          <wp:effectExtent l="0" t="0" r="952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A5B3B">
      <w:rPr>
        <w:noProof/>
        <w:lang w:val="fr-FR" w:eastAsia="fr-FR"/>
      </w:rPr>
      <w:drawing>
        <wp:anchor distT="0" distB="0" distL="114300" distR="114300" simplePos="0" relativeHeight="251777024" behindDoc="0" locked="0" layoutInCell="1" allowOverlap="1" wp14:anchorId="15D67695" wp14:editId="510915E1">
          <wp:simplePos x="0" y="0"/>
          <wp:positionH relativeFrom="column">
            <wp:posOffset>-349752</wp:posOffset>
          </wp:positionH>
          <wp:positionV relativeFrom="paragraph">
            <wp:posOffset>-303757</wp:posOffset>
          </wp:positionV>
          <wp:extent cx="874395" cy="65595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74395" cy="655955"/>
                  </a:xfrm>
                  <a:prstGeom prst="rect">
                    <a:avLst/>
                  </a:prstGeom>
                </pic:spPr>
              </pic:pic>
            </a:graphicData>
          </a:graphic>
          <wp14:sizeRelH relativeFrom="page">
            <wp14:pctWidth>0</wp14:pctWidth>
          </wp14:sizeRelH>
          <wp14:sizeRelV relativeFrom="page">
            <wp14:pctHeight>0</wp14:pctHeight>
          </wp14:sizeRelV>
        </wp:anchor>
      </w:drawing>
    </w:r>
    <w:r w:rsidR="00780F8E" w:rsidRPr="00BB2569">
      <w:rPr>
        <w:lang w:val="fr-FR"/>
      </w:rPr>
      <w:tab/>
    </w:r>
    <w:r w:rsidR="00780F8E" w:rsidRPr="00BB2569">
      <w:rPr>
        <w:lang w:val="fr-FR"/>
      </w:rPr>
      <w:tab/>
      <w:t>U049-v1.0-HO6-FR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6C5B" w14:textId="1F22F225" w:rsidR="00780F8E" w:rsidRPr="007D60D5" w:rsidRDefault="00780F8E">
    <w:pPr>
      <w:pStyle w:val="Footer"/>
    </w:pPr>
    <w:r>
      <w:t>U006-v1.</w:t>
    </w:r>
    <w:proofErr w:type="gramStart"/>
    <w:r>
      <w:t>0-HO-EN</w:t>
    </w:r>
    <w:proofErr w:type="gramEnd"/>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r>
    <w:r w:rsidRPr="005B7AFC">
      <w:rPr>
        <w:noProof/>
        <w:lang w:val="fr-FR" w:eastAsia="fr-FR"/>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1E157" w14:textId="7B38BA26" w:rsidR="00780F8E" w:rsidRPr="00BB2569" w:rsidRDefault="00655234" w:rsidP="005A5B3B">
    <w:pPr>
      <w:pStyle w:val="Footer"/>
      <w:rPr>
        <w:lang w:val="fr-FR"/>
      </w:rPr>
    </w:pPr>
    <w:r>
      <w:rPr>
        <w:noProof/>
        <w:lang w:eastAsia="fr-FR"/>
      </w:rPr>
      <w:drawing>
        <wp:anchor distT="0" distB="0" distL="114300" distR="114300" simplePos="0" relativeHeight="251783168" behindDoc="0" locked="0" layoutInCell="1" allowOverlap="1" wp14:anchorId="4A4A45BB" wp14:editId="1CD02816">
          <wp:simplePos x="0" y="0"/>
          <wp:positionH relativeFrom="column">
            <wp:posOffset>2679065</wp:posOffset>
          </wp:positionH>
          <wp:positionV relativeFrom="paragraph">
            <wp:posOffset>16510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A5B3B">
      <w:rPr>
        <w:noProof/>
        <w:lang w:val="fr-FR" w:eastAsia="fr-FR"/>
      </w:rPr>
      <w:drawing>
        <wp:anchor distT="0" distB="0" distL="114300" distR="114300" simplePos="0" relativeHeight="251774976" behindDoc="0" locked="0" layoutInCell="1" allowOverlap="1" wp14:anchorId="6125A75B" wp14:editId="2292F7CA">
          <wp:simplePos x="0" y="0"/>
          <wp:positionH relativeFrom="column">
            <wp:posOffset>4741545</wp:posOffset>
          </wp:positionH>
          <wp:positionV relativeFrom="paragraph">
            <wp:posOffset>-360841</wp:posOffset>
          </wp:positionV>
          <wp:extent cx="874395" cy="65595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74395" cy="655955"/>
                  </a:xfrm>
                  <a:prstGeom prst="rect">
                    <a:avLst/>
                  </a:prstGeom>
                </pic:spPr>
              </pic:pic>
            </a:graphicData>
          </a:graphic>
          <wp14:sizeRelH relativeFrom="page">
            <wp14:pctWidth>0</wp14:pctWidth>
          </wp14:sizeRelH>
          <wp14:sizeRelV relativeFrom="page">
            <wp14:pctHeight>0</wp14:pctHeight>
          </wp14:sizeRelV>
        </wp:anchor>
      </w:drawing>
    </w:r>
    <w:r w:rsidR="00780F8E" w:rsidRPr="00BB2569">
      <w:rPr>
        <w:lang w:val="fr-FR"/>
      </w:rPr>
      <w:t>U049-v1.0-HO6-FR</w:t>
    </w:r>
    <w:r w:rsidR="00780F8E" w:rsidRPr="00BB2569">
      <w:rPr>
        <w:lang w:val="fr-FR"/>
      </w:rPr>
      <w:tab/>
    </w:r>
    <w:r w:rsidR="00780F8E" w:rsidRPr="00BB2569">
      <w:rPr>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B522" w14:textId="77777777" w:rsidR="00780F8E" w:rsidRDefault="00780F8E" w:rsidP="000A699C">
      <w:pPr>
        <w:spacing w:before="0" w:after="0"/>
      </w:pPr>
      <w:r>
        <w:separator/>
      </w:r>
    </w:p>
  </w:footnote>
  <w:footnote w:type="continuationSeparator" w:id="0">
    <w:p w14:paraId="47B8F248" w14:textId="77777777" w:rsidR="00780F8E" w:rsidRDefault="00780F8E" w:rsidP="000A69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04D8" w14:textId="111091D8" w:rsidR="00780F8E" w:rsidRPr="00BB2569" w:rsidRDefault="00780F8E">
    <w:pPr>
      <w:pStyle w:val="Header"/>
      <w:rPr>
        <w:lang w:val="fr-FR"/>
      </w:rPr>
    </w:pPr>
    <w:r w:rsidRPr="00BB2569">
      <w:rPr>
        <w:rStyle w:val="PageNumber"/>
        <w:lang w:val="fr-FR"/>
      </w:rPr>
      <w:fldChar w:fldCharType="begin"/>
    </w:r>
    <w:r w:rsidRPr="00BB2569">
      <w:rPr>
        <w:rStyle w:val="PageNumber"/>
        <w:lang w:val="fr-FR"/>
      </w:rPr>
      <w:instrText xml:space="preserve"> PAGE </w:instrText>
    </w:r>
    <w:r w:rsidRPr="00BB2569">
      <w:rPr>
        <w:rStyle w:val="PageNumber"/>
        <w:lang w:val="fr-FR"/>
      </w:rPr>
      <w:fldChar w:fldCharType="separate"/>
    </w:r>
    <w:r w:rsidR="00655234">
      <w:rPr>
        <w:rStyle w:val="PageNumber"/>
        <w:noProof/>
        <w:lang w:val="fr-FR"/>
      </w:rPr>
      <w:t>2</w:t>
    </w:r>
    <w:r w:rsidRPr="00BB2569">
      <w:rPr>
        <w:rStyle w:val="PageNumber"/>
        <w:lang w:val="fr-FR"/>
      </w:rPr>
      <w:fldChar w:fldCharType="end"/>
    </w:r>
    <w:r w:rsidRPr="00BB2569">
      <w:rPr>
        <w:rStyle w:val="PageNumber"/>
        <w:lang w:val="fr-FR"/>
      </w:rPr>
      <w:tab/>
    </w:r>
    <w:r>
      <w:rPr>
        <w:rStyle w:val="PageNumber"/>
        <w:lang w:val="fr-FR"/>
      </w:rPr>
      <w:t>Unité 49 : Une approche sensible</w:t>
    </w:r>
    <w:r w:rsidRPr="00BB2569">
      <w:rPr>
        <w:rStyle w:val="PageNumber"/>
        <w:lang w:val="fr-FR"/>
      </w:rPr>
      <w:t xml:space="preserve"> au genre pour la sauvegarde du PCI</w:t>
    </w:r>
    <w:r w:rsidRPr="00BB2569">
      <w:rPr>
        <w:lang w:val="fr-FR"/>
      </w:rPr>
      <w:tab/>
      <w:t>Imprimé 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7F3F" w14:textId="65F6AB01" w:rsidR="00780F8E" w:rsidRPr="004A4AD6" w:rsidRDefault="00780F8E" w:rsidP="00D25BBB">
    <w:pPr>
      <w:pStyle w:val="Header"/>
    </w:pPr>
    <w:proofErr w:type="spellStart"/>
    <w:r>
      <w:t>Hand</w:t>
    </w:r>
    <w:proofErr w:type="spellEnd"/>
    <w:r>
      <w:t>-out</w:t>
    </w:r>
    <w:r>
      <w:tab/>
    </w:r>
    <w:r>
      <w:rPr>
        <w:rStyle w:val="PageNumber"/>
      </w:rPr>
      <w:t xml:space="preserve">Unit 6: </w:t>
    </w:r>
    <w:proofErr w:type="spellStart"/>
    <w:r>
      <w:rPr>
        <w:rStyle w:val="PageNumber"/>
      </w:rPr>
      <w:t>Identification</w:t>
    </w:r>
    <w:proofErr w:type="spellEnd"/>
    <w:r>
      <w:rPr>
        <w:rStyle w:val="PageNumber"/>
      </w:rPr>
      <w:t xml:space="preserve"> and </w:t>
    </w:r>
    <w:proofErr w:type="spellStart"/>
    <w:r>
      <w:rPr>
        <w:rStyle w:val="PageNumber"/>
      </w:rPr>
      <w:t>inventorying</w:t>
    </w:r>
    <w:proofErr w:type="spellEnd"/>
    <w:r w:rsidDel="006831F2">
      <w:rPr>
        <w:rStyle w:val="PageNumbe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2B47" w14:textId="4D4AFE7A" w:rsidR="00780F8E" w:rsidRPr="002305AA" w:rsidRDefault="00780F8E">
    <w:pPr>
      <w:pStyle w:val="Header"/>
    </w:pPr>
    <w:r>
      <w:tab/>
      <w:t>Imprimé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8">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1">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2">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1">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2">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3">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5">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6">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8">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2">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2">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3">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5">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7">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1">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7"/>
  </w:num>
  <w:num w:numId="3">
    <w:abstractNumId w:val="22"/>
  </w:num>
  <w:num w:numId="4">
    <w:abstractNumId w:val="80"/>
  </w:num>
  <w:num w:numId="5">
    <w:abstractNumId w:val="11"/>
  </w:num>
  <w:num w:numId="6">
    <w:abstractNumId w:val="58"/>
  </w:num>
  <w:num w:numId="7">
    <w:abstractNumId w:val="57"/>
  </w:num>
  <w:num w:numId="8">
    <w:abstractNumId w:val="9"/>
  </w:num>
  <w:num w:numId="9">
    <w:abstractNumId w:val="28"/>
  </w:num>
  <w:num w:numId="10">
    <w:abstractNumId w:val="8"/>
  </w:num>
  <w:num w:numId="11">
    <w:abstractNumId w:val="13"/>
  </w:num>
  <w:num w:numId="12">
    <w:abstractNumId w:val="67"/>
  </w:num>
  <w:num w:numId="13">
    <w:abstractNumId w:val="77"/>
  </w:num>
  <w:num w:numId="14">
    <w:abstractNumId w:val="30"/>
  </w:num>
  <w:num w:numId="15">
    <w:abstractNumId w:val="70"/>
  </w:num>
  <w:num w:numId="16">
    <w:abstractNumId w:val="17"/>
  </w:num>
  <w:num w:numId="17">
    <w:abstractNumId w:val="44"/>
  </w:num>
  <w:num w:numId="18">
    <w:abstractNumId w:val="39"/>
  </w:num>
  <w:num w:numId="19">
    <w:abstractNumId w:val="68"/>
  </w:num>
  <w:num w:numId="20">
    <w:abstractNumId w:val="50"/>
  </w:num>
  <w:num w:numId="21">
    <w:abstractNumId w:val="10"/>
  </w:num>
  <w:num w:numId="22">
    <w:abstractNumId w:val="5"/>
  </w:num>
  <w:num w:numId="23">
    <w:abstractNumId w:val="62"/>
  </w:num>
  <w:num w:numId="24">
    <w:abstractNumId w:val="41"/>
  </w:num>
  <w:num w:numId="25">
    <w:abstractNumId w:val="48"/>
  </w:num>
  <w:num w:numId="26">
    <w:abstractNumId w:val="21"/>
  </w:num>
  <w:num w:numId="27">
    <w:abstractNumId w:val="24"/>
  </w:num>
  <w:num w:numId="28">
    <w:abstractNumId w:val="40"/>
  </w:num>
  <w:num w:numId="29">
    <w:abstractNumId w:val="42"/>
  </w:num>
  <w:num w:numId="30">
    <w:abstractNumId w:val="54"/>
  </w:num>
  <w:num w:numId="31">
    <w:abstractNumId w:val="69"/>
  </w:num>
  <w:num w:numId="32">
    <w:abstractNumId w:val="72"/>
  </w:num>
  <w:num w:numId="33">
    <w:abstractNumId w:val="19"/>
  </w:num>
  <w:num w:numId="34">
    <w:abstractNumId w:val="0"/>
  </w:num>
  <w:num w:numId="35">
    <w:abstractNumId w:val="76"/>
  </w:num>
  <w:num w:numId="36">
    <w:abstractNumId w:val="27"/>
  </w:num>
  <w:num w:numId="37">
    <w:abstractNumId w:val="65"/>
  </w:num>
  <w:num w:numId="38">
    <w:abstractNumId w:val="76"/>
  </w:num>
  <w:num w:numId="39">
    <w:abstractNumId w:val="2"/>
  </w:num>
  <w:num w:numId="40">
    <w:abstractNumId w:val="60"/>
  </w:num>
  <w:num w:numId="41">
    <w:abstractNumId w:val="27"/>
    <w:lvlOverride w:ilvl="0">
      <w:startOverride w:val="1"/>
    </w:lvlOverride>
  </w:num>
  <w:num w:numId="42">
    <w:abstractNumId w:val="14"/>
  </w:num>
  <w:num w:numId="43">
    <w:abstractNumId w:val="43"/>
  </w:num>
  <w:num w:numId="44">
    <w:abstractNumId w:val="75"/>
  </w:num>
  <w:num w:numId="45">
    <w:abstractNumId w:val="31"/>
  </w:num>
  <w:num w:numId="46">
    <w:abstractNumId w:val="64"/>
  </w:num>
  <w:num w:numId="47">
    <w:abstractNumId w:val="31"/>
    <w:lvlOverride w:ilvl="0">
      <w:startOverride w:val="1"/>
    </w:lvlOverride>
  </w:num>
  <w:num w:numId="48">
    <w:abstractNumId w:val="42"/>
  </w:num>
  <w:num w:numId="49">
    <w:abstractNumId w:val="73"/>
  </w:num>
  <w:num w:numId="50">
    <w:abstractNumId w:val="31"/>
    <w:lvlOverride w:ilvl="0">
      <w:startOverride w:val="1"/>
    </w:lvlOverride>
  </w:num>
  <w:num w:numId="51">
    <w:abstractNumId w:val="25"/>
  </w:num>
  <w:num w:numId="52">
    <w:abstractNumId w:val="31"/>
    <w:lvlOverride w:ilvl="0">
      <w:startOverride w:val="1"/>
    </w:lvlOverride>
  </w:num>
  <w:num w:numId="53">
    <w:abstractNumId w:val="76"/>
  </w:num>
  <w:num w:numId="54">
    <w:abstractNumId w:val="76"/>
  </w:num>
  <w:num w:numId="55">
    <w:abstractNumId w:val="76"/>
  </w:num>
  <w:num w:numId="56">
    <w:abstractNumId w:val="76"/>
  </w:num>
  <w:num w:numId="57">
    <w:abstractNumId w:val="76"/>
  </w:num>
  <w:num w:numId="58">
    <w:abstractNumId w:val="81"/>
  </w:num>
  <w:num w:numId="59">
    <w:abstractNumId w:val="45"/>
  </w:num>
  <w:num w:numId="60">
    <w:abstractNumId w:val="4"/>
  </w:num>
  <w:num w:numId="61">
    <w:abstractNumId w:val="45"/>
    <w:lvlOverride w:ilvl="0">
      <w:startOverride w:val="1"/>
    </w:lvlOverride>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6"/>
  </w:num>
  <w:num w:numId="69">
    <w:abstractNumId w:val="45"/>
    <w:lvlOverride w:ilvl="0">
      <w:startOverride w:val="1"/>
    </w:lvlOverride>
  </w:num>
  <w:num w:numId="70">
    <w:abstractNumId w:val="45"/>
  </w:num>
  <w:num w:numId="71">
    <w:abstractNumId w:val="45"/>
  </w:num>
  <w:num w:numId="72">
    <w:abstractNumId w:val="45"/>
  </w:num>
  <w:num w:numId="73">
    <w:abstractNumId w:val="45"/>
  </w:num>
  <w:num w:numId="74">
    <w:abstractNumId w:val="45"/>
  </w:num>
  <w:num w:numId="75">
    <w:abstractNumId w:val="45"/>
  </w:num>
  <w:num w:numId="76">
    <w:abstractNumId w:val="45"/>
  </w:num>
  <w:num w:numId="77">
    <w:abstractNumId w:val="45"/>
  </w:num>
  <w:num w:numId="78">
    <w:abstractNumId w:val="29"/>
  </w:num>
  <w:num w:numId="79">
    <w:abstractNumId w:val="18"/>
  </w:num>
  <w:num w:numId="80">
    <w:abstractNumId w:val="45"/>
    <w:lvlOverride w:ilvl="0">
      <w:startOverride w:val="1"/>
    </w:lvlOverride>
  </w:num>
  <w:num w:numId="81">
    <w:abstractNumId w:val="59"/>
  </w:num>
  <w:num w:numId="82">
    <w:abstractNumId w:val="33"/>
  </w:num>
  <w:num w:numId="83">
    <w:abstractNumId w:val="38"/>
  </w:num>
  <w:num w:numId="84">
    <w:abstractNumId w:val="16"/>
  </w:num>
  <w:num w:numId="85">
    <w:abstractNumId w:val="45"/>
    <w:lvlOverride w:ilvl="0">
      <w:startOverride w:val="1"/>
    </w:lvlOverride>
  </w:num>
  <w:num w:numId="86">
    <w:abstractNumId w:val="3"/>
  </w:num>
  <w:num w:numId="87">
    <w:abstractNumId w:val="12"/>
  </w:num>
  <w:num w:numId="88">
    <w:abstractNumId w:val="45"/>
    <w:lvlOverride w:ilvl="0">
      <w:startOverride w:val="1"/>
    </w:lvlOverride>
  </w:num>
  <w:num w:numId="89">
    <w:abstractNumId w:val="32"/>
  </w:num>
  <w:num w:numId="90">
    <w:abstractNumId w:val="45"/>
    <w:lvlOverride w:ilvl="0">
      <w:startOverride w:val="1"/>
    </w:lvlOverride>
  </w:num>
  <w:num w:numId="91">
    <w:abstractNumId w:val="6"/>
  </w:num>
  <w:num w:numId="92">
    <w:abstractNumId w:val="49"/>
  </w:num>
  <w:num w:numId="93">
    <w:abstractNumId w:val="56"/>
  </w:num>
  <w:num w:numId="94">
    <w:abstractNumId w:val="53"/>
  </w:num>
  <w:num w:numId="95">
    <w:abstractNumId w:val="45"/>
    <w:lvlOverride w:ilvl="0">
      <w:startOverride w:val="2"/>
    </w:lvlOverride>
  </w:num>
  <w:num w:numId="96">
    <w:abstractNumId w:val="51"/>
  </w:num>
  <w:num w:numId="97">
    <w:abstractNumId w:val="66"/>
  </w:num>
  <w:num w:numId="98">
    <w:abstractNumId w:val="63"/>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4"/>
  </w:num>
  <w:num w:numId="113">
    <w:abstractNumId w:val="79"/>
  </w:num>
  <w:num w:numId="114">
    <w:abstractNumId w:val="71"/>
  </w:num>
  <w:num w:numId="115">
    <w:abstractNumId w:val="34"/>
    <w:lvlOverride w:ilvl="0">
      <w:startOverride w:val="1"/>
    </w:lvlOverride>
  </w:num>
  <w:num w:numId="116">
    <w:abstractNumId w:val="52"/>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8"/>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1"/>
  </w:num>
  <w:num w:numId="141">
    <w:abstractNumId w:val="34"/>
    <w:lvlOverride w:ilvl="0">
      <w:startOverride w:val="1"/>
    </w:lvlOverride>
  </w:num>
  <w:num w:numId="142">
    <w:abstractNumId w:val="63"/>
  </w:num>
  <w:num w:numId="143">
    <w:abstractNumId w:val="40"/>
  </w:num>
  <w:num w:numId="144">
    <w:abstractNumId w:val="23"/>
  </w:num>
  <w:num w:numId="145">
    <w:abstractNumId w:val="15"/>
  </w:num>
  <w:num w:numId="146">
    <w:abstractNumId w:val="34"/>
  </w:num>
  <w:num w:numId="147">
    <w:abstractNumId w:val="55"/>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37"/>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00A"/>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9E1"/>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95"/>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B43"/>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2F8F"/>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5AA"/>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5C"/>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445"/>
    <w:rsid w:val="002C4A1A"/>
    <w:rsid w:val="002C4C57"/>
    <w:rsid w:val="002C4D33"/>
    <w:rsid w:val="002C4FA5"/>
    <w:rsid w:val="002C5082"/>
    <w:rsid w:val="002C519A"/>
    <w:rsid w:val="002C5358"/>
    <w:rsid w:val="002C5365"/>
    <w:rsid w:val="002C5768"/>
    <w:rsid w:val="002C59D2"/>
    <w:rsid w:val="002C5AB9"/>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27E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465"/>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5B3B"/>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32B"/>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234"/>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59E"/>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56F"/>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0F8E"/>
    <w:rsid w:val="00781A8B"/>
    <w:rsid w:val="00781D5E"/>
    <w:rsid w:val="007820D6"/>
    <w:rsid w:val="00782460"/>
    <w:rsid w:val="007827B3"/>
    <w:rsid w:val="00782B50"/>
    <w:rsid w:val="00782E3B"/>
    <w:rsid w:val="0078473A"/>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6EE1"/>
    <w:rsid w:val="007D71E9"/>
    <w:rsid w:val="007D7566"/>
    <w:rsid w:val="007D7A40"/>
    <w:rsid w:val="007D7A77"/>
    <w:rsid w:val="007D7F0C"/>
    <w:rsid w:val="007E00AA"/>
    <w:rsid w:val="007E0BBE"/>
    <w:rsid w:val="007E0C78"/>
    <w:rsid w:val="007E11AF"/>
    <w:rsid w:val="007E12F6"/>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8AD"/>
    <w:rsid w:val="008C4BC4"/>
    <w:rsid w:val="008C4DF2"/>
    <w:rsid w:val="008C4F88"/>
    <w:rsid w:val="008C5235"/>
    <w:rsid w:val="008C5865"/>
    <w:rsid w:val="008C595C"/>
    <w:rsid w:val="008C5BAD"/>
    <w:rsid w:val="008C63CD"/>
    <w:rsid w:val="008C65A8"/>
    <w:rsid w:val="008C6CFE"/>
    <w:rsid w:val="008C6F60"/>
    <w:rsid w:val="008C724A"/>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6F9"/>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41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325"/>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6FD2"/>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569"/>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82B"/>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3E9C"/>
    <w:rsid w:val="00C7413B"/>
    <w:rsid w:val="00C7421C"/>
    <w:rsid w:val="00C74278"/>
    <w:rsid w:val="00C742EB"/>
    <w:rsid w:val="00C74679"/>
    <w:rsid w:val="00C74EBD"/>
    <w:rsid w:val="00C75194"/>
    <w:rsid w:val="00C756DD"/>
    <w:rsid w:val="00C75A6D"/>
    <w:rsid w:val="00C75AE2"/>
    <w:rsid w:val="00C760AB"/>
    <w:rsid w:val="00C76159"/>
    <w:rsid w:val="00C769F6"/>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5E92"/>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B36"/>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74A"/>
    <w:rsid w:val="00E61DD0"/>
    <w:rsid w:val="00E61E89"/>
    <w:rsid w:val="00E621CE"/>
    <w:rsid w:val="00E62275"/>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1F5C"/>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2FEC"/>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3E08"/>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6BA8"/>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4204"/>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ar Char Char,fn,footnote text,5_G"/>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aliases w:val="Footnote Text Char Char Char Char Char Char,Footnote Text Char Char Char Char Char1, Char Char, Char Char Char Char Char,fn Char,footnote text Char,5_G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character" w:customStyle="1" w:styleId="shortdesc1">
    <w:name w:val="short_desc1"/>
    <w:basedOn w:val="DefaultParagraphFont"/>
    <w:rsid w:val="000C100A"/>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0C100A"/>
    <w:rPr>
      <w:rFonts w:ascii="Verdana" w:hAnsi="Verdana" w:hint="default"/>
      <w:strike w:val="0"/>
      <w:dstrike w:val="0"/>
      <w:color w:val="000000"/>
      <w:sz w:val="15"/>
      <w:szCs w:val="15"/>
      <w:u w:val="none"/>
      <w:effect w:val="none"/>
    </w:rPr>
  </w:style>
  <w:style w:type="paragraph" w:customStyle="1" w:styleId="formtext">
    <w:name w:val="formtext"/>
    <w:basedOn w:val="Normal"/>
    <w:rsid w:val="0067056F"/>
    <w:pPr>
      <w:tabs>
        <w:tab w:val="clear" w:pos="567"/>
      </w:tabs>
      <w:snapToGrid/>
      <w:spacing w:before="80" w:after="80" w:line="240" w:lineRule="exact"/>
      <w:jc w:val="left"/>
    </w:pPr>
    <w:rPr>
      <w:rFonts w:cs="Times New Roman"/>
      <w:snapToGrid/>
      <w:szCs w:val="22"/>
      <w:lang w:eastAsia="fr-FR"/>
    </w:rPr>
  </w:style>
  <w:style w:type="paragraph" w:customStyle="1" w:styleId="num02">
    <w:name w:val="Énum02"/>
    <w:basedOn w:val="Normal"/>
    <w:rsid w:val="00780F8E"/>
    <w:pPr>
      <w:numPr>
        <w:ilvl w:val="1"/>
        <w:numId w:val="159"/>
      </w:numPr>
      <w:tabs>
        <w:tab w:val="clear" w:pos="567"/>
      </w:tabs>
      <w:snapToGrid/>
      <w:spacing w:before="0" w:line="260" w:lineRule="exact"/>
    </w:pPr>
    <w:rPr>
      <w:rFonts w:eastAsia="Times New Roman" w:cs="Times New Roman"/>
      <w:snapToGrid/>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ar Char Char,fn,footnote text,5_G"/>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aliases w:val="Footnote Text Char Char Char Char Char Char,Footnote Text Char Char Char Char Char1, Char Char, Char Char Char Char Char,fn Char,footnote text Char,5_G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character" w:customStyle="1" w:styleId="shortdesc1">
    <w:name w:val="short_desc1"/>
    <w:basedOn w:val="DefaultParagraphFont"/>
    <w:rsid w:val="000C100A"/>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0C100A"/>
    <w:rPr>
      <w:rFonts w:ascii="Verdana" w:hAnsi="Verdana" w:hint="default"/>
      <w:strike w:val="0"/>
      <w:dstrike w:val="0"/>
      <w:color w:val="000000"/>
      <w:sz w:val="15"/>
      <w:szCs w:val="15"/>
      <w:u w:val="none"/>
      <w:effect w:val="none"/>
    </w:rPr>
  </w:style>
  <w:style w:type="paragraph" w:customStyle="1" w:styleId="formtext">
    <w:name w:val="formtext"/>
    <w:basedOn w:val="Normal"/>
    <w:rsid w:val="0067056F"/>
    <w:pPr>
      <w:tabs>
        <w:tab w:val="clear" w:pos="567"/>
      </w:tabs>
      <w:snapToGrid/>
      <w:spacing w:before="80" w:after="80" w:line="240" w:lineRule="exact"/>
      <w:jc w:val="left"/>
    </w:pPr>
    <w:rPr>
      <w:rFonts w:cs="Times New Roman"/>
      <w:snapToGrid/>
      <w:szCs w:val="22"/>
      <w:lang w:eastAsia="fr-FR"/>
    </w:rPr>
  </w:style>
  <w:style w:type="paragraph" w:customStyle="1" w:styleId="num02">
    <w:name w:val="Énum02"/>
    <w:basedOn w:val="Normal"/>
    <w:rsid w:val="00780F8E"/>
    <w:pPr>
      <w:numPr>
        <w:ilvl w:val="1"/>
        <w:numId w:val="159"/>
      </w:numPr>
      <w:tabs>
        <w:tab w:val="clear" w:pos="567"/>
      </w:tabs>
      <w:snapToGrid/>
      <w:spacing w:before="0" w:line="260" w:lineRule="exact"/>
    </w:pPr>
    <w:rPr>
      <w:rFonts w:eastAsia="Times New Roman" w:cs="Times New Roman"/>
      <w:snapToGrid/>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06"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F8A88-D505-46D4-A8B5-E39CF2B91A8F}">
  <ds:schemaRefs>
    <ds:schemaRef ds:uri="http://schemas.openxmlformats.org/officeDocument/2006/bibliography"/>
  </ds:schemaRefs>
</ds:datastoreItem>
</file>

<file path=customXml/itemProps2.xml><?xml version="1.0" encoding="utf-8"?>
<ds:datastoreItem xmlns:ds="http://schemas.openxmlformats.org/officeDocument/2006/customXml" ds:itemID="{68C96B92-11CC-4B0D-9F01-EFA975A1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3576</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2014-07-23T14:14:00Z</dcterms:created>
  <dcterms:modified xsi:type="dcterms:W3CDTF">2018-02-22T13:01:00Z</dcterms:modified>
</cp:coreProperties>
</file>