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6D3C" w14:textId="56C717ED" w:rsidR="00655736" w:rsidRPr="00E71E7D" w:rsidRDefault="00655736" w:rsidP="00655736">
      <w:pPr>
        <w:spacing w:before="1440"/>
        <w:jc w:val="center"/>
        <w:rPr>
          <w:rFonts w:ascii="Arial" w:hAnsi="Arial" w:cs="Arial"/>
          <w:b/>
          <w:sz w:val="22"/>
          <w:szCs w:val="22"/>
          <w:lang w:val="en-GB"/>
        </w:rPr>
      </w:pPr>
      <w:r w:rsidRPr="00E71E7D">
        <w:rPr>
          <w:rFonts w:ascii="Arial" w:hAnsi="Arial" w:cs="Arial"/>
          <w:b/>
          <w:sz w:val="22"/>
          <w:szCs w:val="22"/>
          <w:lang w:val="en-GB"/>
        </w:rPr>
        <w:t>CONVENTION FOR THE SAFEGUARDING OF THE</w:t>
      </w:r>
      <w:r w:rsidRPr="00E71E7D">
        <w:rPr>
          <w:rFonts w:ascii="Arial" w:hAnsi="Arial" w:cs="Arial"/>
          <w:b/>
          <w:sz w:val="22"/>
          <w:szCs w:val="22"/>
          <w:lang w:val="en-GB"/>
        </w:rPr>
        <w:br/>
        <w:t>INTANGIBLE CULTURAL HERITAGE</w:t>
      </w:r>
    </w:p>
    <w:p w14:paraId="2CDB5643" w14:textId="77777777" w:rsidR="00655736" w:rsidRPr="00E71E7D" w:rsidRDefault="00D95C4C" w:rsidP="00655736">
      <w:pPr>
        <w:spacing w:before="1200"/>
        <w:jc w:val="center"/>
        <w:rPr>
          <w:rFonts w:ascii="Arial" w:hAnsi="Arial" w:cs="Arial"/>
          <w:b/>
          <w:sz w:val="22"/>
          <w:szCs w:val="22"/>
          <w:lang w:val="en-GB"/>
        </w:rPr>
      </w:pPr>
      <w:r w:rsidRPr="00E71E7D">
        <w:rPr>
          <w:rFonts w:ascii="Arial" w:hAnsi="Arial" w:cs="Arial"/>
          <w:b/>
          <w:sz w:val="22"/>
          <w:szCs w:val="22"/>
          <w:lang w:val="en-GB"/>
        </w:rPr>
        <w:t>GENERAL ASSEMBLY OF THE S</w:t>
      </w:r>
      <w:r w:rsidR="00C23A97" w:rsidRPr="00E71E7D">
        <w:rPr>
          <w:rFonts w:ascii="Arial" w:hAnsi="Arial" w:cs="Arial"/>
          <w:b/>
          <w:sz w:val="22"/>
          <w:szCs w:val="22"/>
          <w:lang w:val="en-GB"/>
        </w:rPr>
        <w:t>TATES PARTIES TO THE CONVENTION</w:t>
      </w:r>
    </w:p>
    <w:p w14:paraId="75891C68" w14:textId="17A6551A" w:rsidR="00D95C4C" w:rsidRPr="00E71E7D" w:rsidRDefault="003265D0" w:rsidP="00D95C4C">
      <w:pPr>
        <w:spacing w:before="840"/>
        <w:jc w:val="center"/>
        <w:rPr>
          <w:rFonts w:ascii="Arial" w:hAnsi="Arial" w:cs="Arial"/>
          <w:b/>
          <w:sz w:val="22"/>
          <w:szCs w:val="22"/>
          <w:lang w:val="en-GB"/>
        </w:rPr>
      </w:pPr>
      <w:r w:rsidRPr="00E71E7D">
        <w:rPr>
          <w:rFonts w:ascii="Arial" w:hAnsi="Arial" w:cs="Arial"/>
          <w:b/>
          <w:sz w:val="22"/>
          <w:szCs w:val="22"/>
          <w:lang w:val="en-GB"/>
        </w:rPr>
        <w:t>Ninth</w:t>
      </w:r>
      <w:r w:rsidR="00D95C4C" w:rsidRPr="00E71E7D">
        <w:rPr>
          <w:rFonts w:ascii="Arial" w:hAnsi="Arial" w:cs="Arial"/>
          <w:b/>
          <w:sz w:val="22"/>
          <w:szCs w:val="22"/>
          <w:lang w:val="en-GB"/>
        </w:rPr>
        <w:t xml:space="preserve"> session</w:t>
      </w:r>
    </w:p>
    <w:p w14:paraId="2813BA58" w14:textId="77777777" w:rsidR="00D95C4C" w:rsidRPr="00E71E7D" w:rsidRDefault="00D95C4C" w:rsidP="00D95C4C">
      <w:pPr>
        <w:jc w:val="center"/>
        <w:rPr>
          <w:rFonts w:ascii="Arial" w:hAnsi="Arial" w:cs="Arial"/>
          <w:b/>
          <w:sz w:val="22"/>
          <w:szCs w:val="22"/>
          <w:lang w:val="en-GB"/>
        </w:rPr>
      </w:pPr>
      <w:r w:rsidRPr="00E71E7D">
        <w:rPr>
          <w:rFonts w:ascii="Arial" w:hAnsi="Arial" w:cs="Arial"/>
          <w:b/>
          <w:sz w:val="22"/>
          <w:szCs w:val="22"/>
          <w:lang w:val="en-GB"/>
        </w:rPr>
        <w:t xml:space="preserve">UNESCO Headquarters, Room </w:t>
      </w:r>
      <w:r w:rsidR="006F41B4" w:rsidRPr="00E71E7D">
        <w:rPr>
          <w:rFonts w:ascii="Arial" w:hAnsi="Arial" w:cs="Arial"/>
          <w:b/>
          <w:sz w:val="22"/>
          <w:szCs w:val="22"/>
          <w:lang w:val="en-GB"/>
        </w:rPr>
        <w:t>I</w:t>
      </w:r>
    </w:p>
    <w:p w14:paraId="17E07F7D" w14:textId="5799B785" w:rsidR="00655736" w:rsidRPr="00E71E7D" w:rsidRDefault="003265D0" w:rsidP="00D95C4C">
      <w:pPr>
        <w:jc w:val="center"/>
        <w:rPr>
          <w:rFonts w:ascii="Arial" w:hAnsi="Arial" w:cs="Arial"/>
          <w:b/>
          <w:sz w:val="22"/>
          <w:szCs w:val="22"/>
          <w:lang w:val="en-GB"/>
        </w:rPr>
      </w:pPr>
      <w:r w:rsidRPr="00E71E7D">
        <w:rPr>
          <w:rFonts w:ascii="Arial" w:hAnsi="Arial" w:cs="Arial"/>
          <w:b/>
          <w:sz w:val="22"/>
          <w:szCs w:val="22"/>
          <w:lang w:val="en-GB"/>
        </w:rPr>
        <w:t>5</w:t>
      </w:r>
      <w:r w:rsidR="00763A0D" w:rsidRPr="00E71E7D">
        <w:rPr>
          <w:rFonts w:ascii="Arial" w:hAnsi="Arial" w:cs="Arial"/>
          <w:b/>
          <w:sz w:val="22"/>
          <w:szCs w:val="22"/>
          <w:lang w:val="en-GB"/>
        </w:rPr>
        <w:t xml:space="preserve"> to </w:t>
      </w:r>
      <w:r w:rsidRPr="00E71E7D">
        <w:rPr>
          <w:rFonts w:ascii="Arial" w:hAnsi="Arial" w:cs="Arial"/>
          <w:b/>
          <w:sz w:val="22"/>
          <w:szCs w:val="22"/>
          <w:lang w:val="en-GB"/>
        </w:rPr>
        <w:t>7</w:t>
      </w:r>
      <w:r w:rsidR="00D95C4C" w:rsidRPr="00E71E7D">
        <w:rPr>
          <w:rFonts w:ascii="Arial" w:hAnsi="Arial" w:cs="Arial"/>
          <w:b/>
          <w:sz w:val="22"/>
          <w:szCs w:val="22"/>
          <w:lang w:val="en-GB"/>
        </w:rPr>
        <w:t xml:space="preserve"> </w:t>
      </w:r>
      <w:r w:rsidRPr="00E71E7D">
        <w:rPr>
          <w:rFonts w:ascii="Arial" w:hAnsi="Arial" w:cs="Arial"/>
          <w:b/>
          <w:sz w:val="22"/>
          <w:szCs w:val="22"/>
          <w:lang w:val="en-GB"/>
        </w:rPr>
        <w:t>July</w:t>
      </w:r>
      <w:r w:rsidR="006F41B4" w:rsidRPr="00E71E7D">
        <w:rPr>
          <w:rFonts w:ascii="Arial" w:hAnsi="Arial" w:cs="Arial"/>
          <w:b/>
          <w:sz w:val="22"/>
          <w:szCs w:val="22"/>
          <w:lang w:val="en-GB"/>
        </w:rPr>
        <w:t xml:space="preserve"> 202</w:t>
      </w:r>
      <w:r w:rsidRPr="00E71E7D">
        <w:rPr>
          <w:rFonts w:ascii="Arial" w:hAnsi="Arial" w:cs="Arial"/>
          <w:b/>
          <w:sz w:val="22"/>
          <w:szCs w:val="22"/>
          <w:lang w:val="en-GB"/>
        </w:rPr>
        <w:t>2</w:t>
      </w:r>
    </w:p>
    <w:p w14:paraId="1A8796C2" w14:textId="673CE8A6" w:rsidR="00655736" w:rsidRPr="00E71E7D" w:rsidRDefault="00655736" w:rsidP="00655736">
      <w:pPr>
        <w:pStyle w:val="Sansinterligne2"/>
        <w:spacing w:before="1200"/>
        <w:jc w:val="center"/>
        <w:rPr>
          <w:rFonts w:ascii="Arial" w:hAnsi="Arial" w:cs="Arial"/>
          <w:b/>
          <w:sz w:val="22"/>
          <w:szCs w:val="22"/>
          <w:lang w:val="en-GB"/>
        </w:rPr>
      </w:pPr>
      <w:r w:rsidRPr="00E71E7D">
        <w:rPr>
          <w:rFonts w:ascii="Arial" w:hAnsi="Arial" w:cs="Arial"/>
          <w:b/>
          <w:sz w:val="22"/>
          <w:szCs w:val="22"/>
          <w:u w:val="single"/>
          <w:lang w:val="en-GB"/>
        </w:rPr>
        <w:t xml:space="preserve">Item </w:t>
      </w:r>
      <w:r w:rsidR="00E37E12" w:rsidRPr="00E71E7D">
        <w:rPr>
          <w:rFonts w:ascii="Arial" w:hAnsi="Arial" w:cs="Arial"/>
          <w:b/>
          <w:sz w:val="22"/>
          <w:szCs w:val="22"/>
          <w:u w:val="single"/>
          <w:lang w:val="en-GB"/>
        </w:rPr>
        <w:t>13</w:t>
      </w:r>
      <w:r w:rsidRPr="00E71E7D">
        <w:rPr>
          <w:rFonts w:ascii="Arial" w:hAnsi="Arial" w:cs="Arial"/>
          <w:b/>
          <w:sz w:val="22"/>
          <w:szCs w:val="22"/>
          <w:u w:val="single"/>
          <w:lang w:val="en-GB"/>
        </w:rPr>
        <w:t xml:space="preserve"> of the </w:t>
      </w:r>
      <w:r w:rsidR="009F3D88">
        <w:rPr>
          <w:rFonts w:ascii="Arial" w:hAnsi="Arial" w:cs="Arial"/>
          <w:b/>
          <w:sz w:val="22"/>
          <w:szCs w:val="22"/>
          <w:u w:val="single"/>
          <w:lang w:val="en-GB"/>
        </w:rPr>
        <w:t>p</w:t>
      </w:r>
      <w:r w:rsidRPr="00E71E7D">
        <w:rPr>
          <w:rFonts w:ascii="Arial" w:hAnsi="Arial" w:cs="Arial"/>
          <w:b/>
          <w:sz w:val="22"/>
          <w:szCs w:val="22"/>
          <w:u w:val="single"/>
          <w:lang w:val="en-GB"/>
        </w:rPr>
        <w:t xml:space="preserve">rovisional </w:t>
      </w:r>
      <w:r w:rsidR="009F3D88">
        <w:rPr>
          <w:rFonts w:ascii="Arial" w:hAnsi="Arial" w:cs="Arial"/>
          <w:b/>
          <w:sz w:val="22"/>
          <w:szCs w:val="22"/>
          <w:u w:val="single"/>
          <w:lang w:val="en-GB"/>
        </w:rPr>
        <w:t>a</w:t>
      </w:r>
      <w:r w:rsidRPr="00E71E7D">
        <w:rPr>
          <w:rFonts w:ascii="Arial" w:hAnsi="Arial" w:cs="Arial"/>
          <w:b/>
          <w:sz w:val="22"/>
          <w:szCs w:val="22"/>
          <w:u w:val="single"/>
          <w:lang w:val="en-GB"/>
        </w:rPr>
        <w:t>genda</w:t>
      </w:r>
      <w:r w:rsidRPr="00E71E7D">
        <w:rPr>
          <w:rFonts w:ascii="Arial" w:hAnsi="Arial" w:cs="Arial"/>
          <w:b/>
          <w:sz w:val="22"/>
          <w:szCs w:val="22"/>
          <w:lang w:val="en-GB"/>
        </w:rPr>
        <w:t>:</w:t>
      </w:r>
    </w:p>
    <w:p w14:paraId="4B69A73D" w14:textId="7B95DA04" w:rsidR="00C2513C" w:rsidRPr="00E71E7D" w:rsidRDefault="00C2513C" w:rsidP="00C2513C">
      <w:pPr>
        <w:pStyle w:val="Sansinterligne2"/>
        <w:jc w:val="center"/>
        <w:rPr>
          <w:rFonts w:ascii="Arial" w:hAnsi="Arial" w:cs="Arial"/>
          <w:b/>
          <w:sz w:val="22"/>
          <w:szCs w:val="22"/>
          <w:lang w:val="en-GB"/>
        </w:rPr>
      </w:pPr>
      <w:r w:rsidRPr="00E71E7D">
        <w:rPr>
          <w:rFonts w:ascii="Arial" w:hAnsi="Arial" w:cs="Arial"/>
          <w:b/>
          <w:sz w:val="22"/>
          <w:szCs w:val="22"/>
          <w:lang w:val="en-GB"/>
        </w:rPr>
        <w:t>Proposal for the celebration of</w:t>
      </w:r>
    </w:p>
    <w:p w14:paraId="5EAF5ABB" w14:textId="341CAEC6" w:rsidR="002F312A" w:rsidRPr="00E71E7D" w:rsidRDefault="00C2513C" w:rsidP="002F312A">
      <w:pPr>
        <w:pStyle w:val="Sansinterligne2"/>
        <w:spacing w:after="1200"/>
        <w:jc w:val="center"/>
        <w:rPr>
          <w:rFonts w:ascii="Arial" w:hAnsi="Arial" w:cs="Arial"/>
          <w:b/>
          <w:sz w:val="22"/>
          <w:szCs w:val="22"/>
          <w:lang w:val="en-GB"/>
        </w:rPr>
      </w:pPr>
      <w:r w:rsidRPr="00E71E7D">
        <w:rPr>
          <w:rFonts w:ascii="Arial" w:hAnsi="Arial" w:cs="Arial"/>
          <w:b/>
          <w:sz w:val="22"/>
          <w:szCs w:val="22"/>
          <w:lang w:val="en-GB"/>
        </w:rPr>
        <w:t>the twentieth anniversary of the Convention in 2023</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E71E7D" w14:paraId="796B6D01" w14:textId="77777777" w:rsidTr="002F312A">
        <w:trPr>
          <w:jc w:val="center"/>
        </w:trPr>
        <w:tc>
          <w:tcPr>
            <w:tcW w:w="5670" w:type="dxa"/>
            <w:vAlign w:val="center"/>
          </w:tcPr>
          <w:p w14:paraId="08389200" w14:textId="77777777" w:rsidR="0057439C" w:rsidRPr="00E71E7D" w:rsidRDefault="0057439C" w:rsidP="005B7A35">
            <w:pPr>
              <w:pStyle w:val="Sansinterligne1"/>
              <w:spacing w:before="200" w:after="200"/>
              <w:jc w:val="center"/>
              <w:rPr>
                <w:rFonts w:ascii="Arial" w:hAnsi="Arial" w:cs="Arial"/>
                <w:b/>
                <w:sz w:val="22"/>
                <w:szCs w:val="22"/>
                <w:lang w:val="en-GB"/>
              </w:rPr>
            </w:pPr>
            <w:r w:rsidRPr="00E71E7D">
              <w:rPr>
                <w:rFonts w:ascii="Arial" w:hAnsi="Arial" w:cs="Arial"/>
                <w:b/>
                <w:sz w:val="22"/>
                <w:szCs w:val="22"/>
                <w:lang w:val="en-GB"/>
              </w:rPr>
              <w:t>Summary</w:t>
            </w:r>
          </w:p>
          <w:p w14:paraId="3D12F632" w14:textId="09C1E023" w:rsidR="0079127D" w:rsidRPr="00E71E7D" w:rsidRDefault="00830204" w:rsidP="0079127D">
            <w:pPr>
              <w:pStyle w:val="GAPara"/>
              <w:numPr>
                <w:ilvl w:val="0"/>
                <w:numId w:val="0"/>
              </w:numPr>
              <w:ind w:left="27"/>
              <w:jc w:val="both"/>
            </w:pPr>
            <w:r w:rsidRPr="00E71E7D">
              <w:t>T</w:t>
            </w:r>
            <w:r w:rsidRPr="00E71E7D">
              <w:rPr>
                <w:snapToGrid/>
              </w:rPr>
              <w:t>he year 2023 will mark the twentieth anniversary of the</w:t>
            </w:r>
            <w:r w:rsidR="005E1CD0" w:rsidRPr="00E71E7D">
              <w:rPr>
                <w:snapToGrid/>
              </w:rPr>
              <w:t xml:space="preserve"> adoption of the</w:t>
            </w:r>
            <w:r w:rsidRPr="00E71E7D">
              <w:rPr>
                <w:snapToGrid/>
              </w:rPr>
              <w:t xml:space="preserve"> 2003 Convention</w:t>
            </w:r>
            <w:r w:rsidRPr="00E71E7D">
              <w:t>.</w:t>
            </w:r>
            <w:r w:rsidR="00A018E9" w:rsidRPr="00E71E7D">
              <w:t xml:space="preserve"> </w:t>
            </w:r>
            <w:r w:rsidR="0079127D" w:rsidRPr="00E71E7D">
              <w:t xml:space="preserve">The present document aims to provide elements </w:t>
            </w:r>
            <w:r w:rsidR="005E1CD0" w:rsidRPr="00E71E7D">
              <w:t xml:space="preserve">that may be useful </w:t>
            </w:r>
            <w:r w:rsidR="0079127D" w:rsidRPr="00E71E7D">
              <w:t xml:space="preserve">for the Assembly to initiate the preparation </w:t>
            </w:r>
            <w:r w:rsidR="005E1CD0" w:rsidRPr="00E71E7D">
              <w:t>of</w:t>
            </w:r>
            <w:r w:rsidR="0079127D" w:rsidRPr="00E71E7D">
              <w:t xml:space="preserve"> the anniversary year and to propose a framework in which the celebration may take place.</w:t>
            </w:r>
          </w:p>
          <w:p w14:paraId="7D45CA36" w14:textId="1DDF8EAA" w:rsidR="00655736" w:rsidRPr="00E71E7D" w:rsidRDefault="00FB6630" w:rsidP="005B7A35">
            <w:pPr>
              <w:pStyle w:val="Sansinterligne2"/>
              <w:spacing w:after="120"/>
              <w:jc w:val="both"/>
              <w:rPr>
                <w:rFonts w:ascii="Arial" w:hAnsi="Arial" w:cs="Arial"/>
                <w:b/>
                <w:sz w:val="22"/>
                <w:szCs w:val="22"/>
                <w:lang w:val="en-GB"/>
              </w:rPr>
            </w:pPr>
            <w:r w:rsidRPr="00E71E7D">
              <w:rPr>
                <w:rFonts w:ascii="Arial" w:hAnsi="Arial" w:cs="Arial"/>
                <w:b/>
                <w:sz w:val="22"/>
                <w:szCs w:val="22"/>
                <w:lang w:val="en-GB"/>
              </w:rPr>
              <w:t>Decision</w:t>
            </w:r>
            <w:r w:rsidR="0057439C" w:rsidRPr="00E71E7D">
              <w:rPr>
                <w:rFonts w:ascii="Arial" w:hAnsi="Arial" w:cs="Arial"/>
                <w:b/>
                <w:sz w:val="22"/>
                <w:szCs w:val="22"/>
                <w:lang w:val="en-GB"/>
              </w:rPr>
              <w:t xml:space="preserve"> required: </w:t>
            </w:r>
            <w:r w:rsidR="0057439C" w:rsidRPr="00E71E7D">
              <w:rPr>
                <w:rFonts w:ascii="Arial" w:hAnsi="Arial" w:cs="Arial"/>
                <w:bCs/>
                <w:sz w:val="22"/>
                <w:szCs w:val="22"/>
                <w:lang w:val="en-GB"/>
              </w:rPr>
              <w:t xml:space="preserve">paragraph </w:t>
            </w:r>
            <w:r w:rsidR="00334D54" w:rsidRPr="00EA761A">
              <w:rPr>
                <w:rFonts w:ascii="Arial" w:hAnsi="Arial" w:cs="Arial"/>
                <w:bCs/>
                <w:sz w:val="22"/>
                <w:szCs w:val="22"/>
                <w:lang w:val="en-GB"/>
              </w:rPr>
              <w:t>9</w:t>
            </w:r>
          </w:p>
        </w:tc>
      </w:tr>
    </w:tbl>
    <w:p w14:paraId="2941B514" w14:textId="77777777" w:rsidR="00176720" w:rsidRPr="00E71E7D" w:rsidRDefault="00655736" w:rsidP="00176720">
      <w:pPr>
        <w:pStyle w:val="GAPara"/>
        <w:numPr>
          <w:ilvl w:val="0"/>
          <w:numId w:val="0"/>
        </w:numPr>
        <w:jc w:val="both"/>
      </w:pPr>
      <w:r w:rsidRPr="00E71E7D">
        <w:br w:type="page"/>
      </w:r>
    </w:p>
    <w:p w14:paraId="1D5B154A" w14:textId="215D1FE4" w:rsidR="00BA17EF" w:rsidRPr="00E71E7D" w:rsidRDefault="00BA17EF" w:rsidP="00BA17EF">
      <w:pPr>
        <w:pStyle w:val="GAPara"/>
        <w:numPr>
          <w:ilvl w:val="0"/>
          <w:numId w:val="0"/>
        </w:numPr>
        <w:ind w:left="567" w:hanging="567"/>
        <w:jc w:val="both"/>
        <w:rPr>
          <w:b/>
          <w:bCs/>
        </w:rPr>
      </w:pPr>
      <w:r w:rsidRPr="00E71E7D">
        <w:rPr>
          <w:b/>
          <w:bCs/>
        </w:rPr>
        <w:lastRenderedPageBreak/>
        <w:t>Introduction</w:t>
      </w:r>
    </w:p>
    <w:p w14:paraId="7282BD35" w14:textId="3A19B73C" w:rsidR="00FC5562" w:rsidRPr="00E71E7D" w:rsidRDefault="00E71E7D" w:rsidP="00FC5562">
      <w:pPr>
        <w:pStyle w:val="GAPara"/>
        <w:numPr>
          <w:ilvl w:val="0"/>
          <w:numId w:val="19"/>
        </w:numPr>
        <w:ind w:left="567" w:hanging="567"/>
        <w:jc w:val="both"/>
      </w:pPr>
      <w:r>
        <w:t>T</w:t>
      </w:r>
      <w:r w:rsidR="00BA17EF" w:rsidRPr="00E71E7D">
        <w:t>he year 2023 will mark the twentieth anniversary of</w:t>
      </w:r>
      <w:r w:rsidR="00BB74C8" w:rsidRPr="00E71E7D">
        <w:t xml:space="preserve"> th</w:t>
      </w:r>
      <w:r>
        <w:t>e</w:t>
      </w:r>
      <w:r w:rsidR="00BB74C8" w:rsidRPr="00E71E7D">
        <w:t xml:space="preserve"> Convention</w:t>
      </w:r>
      <w:r w:rsidRPr="00E71E7D">
        <w:t xml:space="preserve"> for the </w:t>
      </w:r>
      <w:r w:rsidR="00244D59">
        <w:t>S</w:t>
      </w:r>
      <w:r w:rsidRPr="00E71E7D">
        <w:t xml:space="preserve">afeguarding of the </w:t>
      </w:r>
      <w:r w:rsidR="00244D59">
        <w:t>I</w:t>
      </w:r>
      <w:r w:rsidRPr="00E71E7D">
        <w:t xml:space="preserve">ntangible </w:t>
      </w:r>
      <w:r w:rsidR="00244D59">
        <w:t>C</w:t>
      </w:r>
      <w:r w:rsidRPr="00E71E7D">
        <w:t xml:space="preserve">ultural </w:t>
      </w:r>
      <w:r w:rsidR="00244D59">
        <w:t>H</w:t>
      </w:r>
      <w:r w:rsidRPr="00E71E7D">
        <w:t>eritage</w:t>
      </w:r>
      <w:r>
        <w:t>, adopted by the thirty-second session of the General Conference of UNESCO on 17 October 2003</w:t>
      </w:r>
      <w:r w:rsidR="00BA17EF" w:rsidRPr="00E71E7D">
        <w:t>.</w:t>
      </w:r>
    </w:p>
    <w:p w14:paraId="15BD13E2" w14:textId="541F030B" w:rsidR="00FC5562" w:rsidRPr="00E71E7D" w:rsidRDefault="00FC5562" w:rsidP="00FC5562">
      <w:pPr>
        <w:pStyle w:val="GAPara"/>
        <w:numPr>
          <w:ilvl w:val="0"/>
          <w:numId w:val="19"/>
        </w:numPr>
        <w:ind w:left="567" w:hanging="567"/>
        <w:jc w:val="both"/>
      </w:pPr>
      <w:r w:rsidRPr="00E71E7D">
        <w:t xml:space="preserve">The main achievements of the Convention </w:t>
      </w:r>
      <w:r w:rsidR="0079127D" w:rsidRPr="00E71E7D">
        <w:t>so far</w:t>
      </w:r>
      <w:r w:rsidR="00C22A26" w:rsidRPr="00E71E7D">
        <w:t xml:space="preserve"> </w:t>
      </w:r>
      <w:r w:rsidRPr="00E71E7D">
        <w:t>may be summarized as follows:</w:t>
      </w:r>
    </w:p>
    <w:p w14:paraId="51B538DD" w14:textId="2F41A4B4" w:rsidR="00FC6573" w:rsidRDefault="00BA17EF" w:rsidP="00FC6573">
      <w:pPr>
        <w:pStyle w:val="GAPara"/>
        <w:numPr>
          <w:ilvl w:val="0"/>
          <w:numId w:val="20"/>
        </w:numPr>
        <w:jc w:val="both"/>
      </w:pPr>
      <w:r w:rsidRPr="00E71E7D">
        <w:t>With 180 States Parties to date, th</w:t>
      </w:r>
      <w:r w:rsidR="0074648D" w:rsidRPr="00E71E7D">
        <w:t>e</w:t>
      </w:r>
      <w:r w:rsidRPr="00E71E7D">
        <w:t xml:space="preserve"> Convention</w:t>
      </w:r>
      <w:r w:rsidR="00051677" w:rsidRPr="00E71E7D">
        <w:t xml:space="preserve"> has firmly established the safeguarding of intangible cultural heritage at the international level and has become a key reference for its States Parties in designing the necessary public policies and laws</w:t>
      </w:r>
      <w:r w:rsidR="00E71E7D">
        <w:t>,</w:t>
      </w:r>
      <w:r w:rsidR="001E400E" w:rsidRPr="00E71E7D">
        <w:t xml:space="preserve"> recogni</w:t>
      </w:r>
      <w:r w:rsidR="00AE49FA">
        <w:t>zing</w:t>
      </w:r>
      <w:r w:rsidR="001E400E" w:rsidRPr="00E71E7D">
        <w:t xml:space="preserve"> the central role of</w:t>
      </w:r>
      <w:r w:rsidR="00E71E7D">
        <w:t xml:space="preserve"> the</w:t>
      </w:r>
      <w:r w:rsidR="001E400E" w:rsidRPr="00E71E7D">
        <w:t xml:space="preserve"> communities, groups and individuals concerned</w:t>
      </w:r>
      <w:r w:rsidR="00051677" w:rsidRPr="00E71E7D">
        <w:t>.</w:t>
      </w:r>
    </w:p>
    <w:p w14:paraId="5CE175C0" w14:textId="34653E99" w:rsidR="00FC6573" w:rsidRDefault="00FC6573" w:rsidP="00FC6573">
      <w:pPr>
        <w:pStyle w:val="GAPara"/>
        <w:numPr>
          <w:ilvl w:val="0"/>
          <w:numId w:val="20"/>
        </w:numPr>
        <w:jc w:val="both"/>
      </w:pPr>
      <w:r>
        <w:t xml:space="preserve">Most significantly, as a direct follow up to the rapid and quasi universal ratification of the 2003 </w:t>
      </w:r>
      <w:r w:rsidR="009F3D88">
        <w:t>C</w:t>
      </w:r>
      <w:r>
        <w:t xml:space="preserve">onvention, </w:t>
      </w:r>
      <w:r w:rsidR="002C4D46">
        <w:t>S</w:t>
      </w:r>
      <w:r>
        <w:t xml:space="preserve">tates </w:t>
      </w:r>
      <w:r w:rsidR="002C4D46">
        <w:t>P</w:t>
      </w:r>
      <w:r>
        <w:t xml:space="preserve">arties in all regions of the world have established and implemented projects, </w:t>
      </w:r>
      <w:proofErr w:type="gramStart"/>
      <w:r>
        <w:t>programmes</w:t>
      </w:r>
      <w:proofErr w:type="gramEnd"/>
      <w:r>
        <w:t xml:space="preserve"> and policies, as well as institutional frameworks to support them, aimed at safeguarding the intangible cultural heritage present in their territories. This is in stark contrast to the situation some twenty years ago when only a handful of </w:t>
      </w:r>
      <w:r w:rsidR="009F3D88">
        <w:t>S</w:t>
      </w:r>
      <w:r>
        <w:t>tates had institutional and policy frameworks specifically aimed at safeguarding living heritage.</w:t>
      </w:r>
    </w:p>
    <w:p w14:paraId="5A8B4262" w14:textId="237EB092" w:rsidR="00BC56E3" w:rsidRPr="00E71E7D" w:rsidRDefault="00BC56E3" w:rsidP="00FC6573">
      <w:pPr>
        <w:pStyle w:val="GAPara"/>
        <w:numPr>
          <w:ilvl w:val="0"/>
          <w:numId w:val="20"/>
        </w:numPr>
        <w:jc w:val="both"/>
      </w:pPr>
      <w:r>
        <w:t xml:space="preserve">At the same time awareness of living heritage at the international level has been significantly raised, in particular through the inscription of elements on the </w:t>
      </w:r>
      <w:r w:rsidR="009A4DA1">
        <w:t>R</w:t>
      </w:r>
      <w:r>
        <w:t xml:space="preserve">epresentative </w:t>
      </w:r>
      <w:r w:rsidR="009A4DA1">
        <w:t>L</w:t>
      </w:r>
      <w:r>
        <w:t xml:space="preserve">ist of the </w:t>
      </w:r>
      <w:r w:rsidR="009A4DA1">
        <w:t>I</w:t>
      </w:r>
      <w:r>
        <w:t xml:space="preserve">ntangible </w:t>
      </w:r>
      <w:r w:rsidR="009A4DA1">
        <w:t>C</w:t>
      </w:r>
      <w:r>
        <w:t xml:space="preserve">ultural </w:t>
      </w:r>
      <w:r w:rsidR="009A4DA1">
        <w:t>H</w:t>
      </w:r>
      <w:r>
        <w:t xml:space="preserve">eritage of </w:t>
      </w:r>
      <w:r w:rsidR="009A4DA1">
        <w:t>H</w:t>
      </w:r>
      <w:r>
        <w:t>umanity. This has laid the ground for a significant expansion of the concept of cultural heritage</w:t>
      </w:r>
      <w:r w:rsidR="00B05FF8">
        <w:t xml:space="preserve"> both in terms of professional practice as well as</w:t>
      </w:r>
      <w:r>
        <w:t xml:space="preserve"> </w:t>
      </w:r>
      <w:r w:rsidR="00B05FF8">
        <w:t>among the public at large</w:t>
      </w:r>
      <w:r w:rsidR="001F41FC">
        <w:t>.</w:t>
      </w:r>
    </w:p>
    <w:p w14:paraId="37B255F6" w14:textId="6211697F" w:rsidR="00FC5562" w:rsidRPr="00E71E7D" w:rsidRDefault="00BB74C8" w:rsidP="001D3D34">
      <w:pPr>
        <w:pStyle w:val="GAPara"/>
        <w:numPr>
          <w:ilvl w:val="0"/>
          <w:numId w:val="20"/>
        </w:numPr>
        <w:jc w:val="both"/>
      </w:pPr>
      <w:r w:rsidRPr="00E71E7D">
        <w:t>The i</w:t>
      </w:r>
      <w:r w:rsidR="00FC5562" w:rsidRPr="00E71E7D">
        <w:t xml:space="preserve">mpact of the Convention is </w:t>
      </w:r>
      <w:r w:rsidR="00FC6573">
        <w:t xml:space="preserve">being </w:t>
      </w:r>
      <w:r w:rsidR="00FC5562" w:rsidRPr="00E71E7D">
        <w:t xml:space="preserve">monitored at various levels through the </w:t>
      </w:r>
      <w:r w:rsidR="00241C18">
        <w:t xml:space="preserve">reformed </w:t>
      </w:r>
      <w:r w:rsidR="00FC5562" w:rsidRPr="00E71E7D">
        <w:t>Periodic Reporting</w:t>
      </w:r>
      <w:r w:rsidR="00224FA5" w:rsidRPr="00E71E7D">
        <w:t xml:space="preserve"> mechanism</w:t>
      </w:r>
      <w:r w:rsidR="00241C18">
        <w:t xml:space="preserve"> which</w:t>
      </w:r>
      <w:r w:rsidR="00224FA5" w:rsidRPr="00E71E7D">
        <w:t xml:space="preserve"> is proving its effectiveness </w:t>
      </w:r>
      <w:r w:rsidR="00E71E7D">
        <w:t>through the broad</w:t>
      </w:r>
      <w:r w:rsidRPr="00E71E7D">
        <w:t xml:space="preserve"> </w:t>
      </w:r>
      <w:r w:rsidR="00AD516E" w:rsidRPr="00E71E7D">
        <w:t>participation of</w:t>
      </w:r>
      <w:r w:rsidR="00224FA5" w:rsidRPr="00E71E7D">
        <w:t xml:space="preserve"> States</w:t>
      </w:r>
      <w:r w:rsidRPr="00E71E7D">
        <w:t xml:space="preserve"> Parties</w:t>
      </w:r>
      <w:r w:rsidR="00241C18">
        <w:t xml:space="preserve"> and its </w:t>
      </w:r>
      <w:r w:rsidR="0018778A">
        <w:t>results-based</w:t>
      </w:r>
      <w:r w:rsidR="00241C18">
        <w:t xml:space="preserve"> focus in alignment with the overall results framework of the 2003 Convention adopted by the</w:t>
      </w:r>
      <w:r w:rsidR="001D3D34">
        <w:t xml:space="preserve"> </w:t>
      </w:r>
      <w:r w:rsidR="00241C18">
        <w:t>G</w:t>
      </w:r>
      <w:r w:rsidR="001D3D34">
        <w:t xml:space="preserve">eneral Assembly at its </w:t>
      </w:r>
      <w:r w:rsidR="002C4D46">
        <w:t>seventh</w:t>
      </w:r>
      <w:r w:rsidR="001D3D34">
        <w:t xml:space="preserve"> session in 2018.</w:t>
      </w:r>
    </w:p>
    <w:p w14:paraId="532CCEEF" w14:textId="720283A8" w:rsidR="00C42C66" w:rsidRPr="00E71E7D" w:rsidRDefault="00D57858" w:rsidP="00D57858">
      <w:pPr>
        <w:pStyle w:val="GAPara"/>
        <w:numPr>
          <w:ilvl w:val="0"/>
          <w:numId w:val="19"/>
        </w:numPr>
        <w:ind w:left="567" w:hanging="567"/>
        <w:jc w:val="both"/>
      </w:pPr>
      <w:r w:rsidRPr="00E71E7D">
        <w:t>C</w:t>
      </w:r>
      <w:r w:rsidR="00235569" w:rsidRPr="00E71E7D">
        <w:t xml:space="preserve">elebrating the twentieth anniversary will provide an important opportunity for the stakeholders of the 2003 Convention to take stock of the achievements </w:t>
      </w:r>
      <w:r w:rsidRPr="00E71E7D">
        <w:t xml:space="preserve">made so far </w:t>
      </w:r>
      <w:r w:rsidR="00235569" w:rsidRPr="00E71E7D">
        <w:t xml:space="preserve">and to </w:t>
      </w:r>
      <w:r w:rsidRPr="00E71E7D">
        <w:t xml:space="preserve">reflect on the directions that the Convention should follow </w:t>
      </w:r>
      <w:r w:rsidR="00235569" w:rsidRPr="00E71E7D">
        <w:t>for the</w:t>
      </w:r>
      <w:r w:rsidR="000F5115">
        <w:t xml:space="preserve"> upcoming</w:t>
      </w:r>
      <w:r w:rsidR="00235569" w:rsidRPr="00E71E7D">
        <w:t xml:space="preserve"> decades.</w:t>
      </w:r>
      <w:r w:rsidR="00B05FF8">
        <w:t xml:space="preserve"> It will also be an opportunity to further raise awareness of the significance of living heritage on a broad scale. </w:t>
      </w:r>
      <w:r w:rsidR="00A32E1D" w:rsidRPr="00E71E7D">
        <w:t xml:space="preserve">The present document aims to </w:t>
      </w:r>
      <w:r w:rsidR="007C2FBC" w:rsidRPr="00E71E7D">
        <w:t xml:space="preserve">provide elements </w:t>
      </w:r>
      <w:r w:rsidR="005A66AD" w:rsidRPr="00E71E7D">
        <w:t xml:space="preserve">that may </w:t>
      </w:r>
      <w:r w:rsidR="000F5115">
        <w:t>help</w:t>
      </w:r>
      <w:r w:rsidR="005A66AD" w:rsidRPr="00E71E7D">
        <w:t xml:space="preserve"> the Assembly initiate the preparation of the anniversary year</w:t>
      </w:r>
      <w:r w:rsidR="00B05FF8">
        <w:t>.</w:t>
      </w:r>
    </w:p>
    <w:p w14:paraId="0D266C2A" w14:textId="355C89B6" w:rsidR="006B2F66" w:rsidRPr="00E71E7D" w:rsidRDefault="001902D3" w:rsidP="003D33E7">
      <w:pPr>
        <w:pStyle w:val="GAPara"/>
        <w:numPr>
          <w:ilvl w:val="0"/>
          <w:numId w:val="0"/>
        </w:numPr>
        <w:spacing w:before="360"/>
        <w:jc w:val="both"/>
        <w:rPr>
          <w:b/>
          <w:bCs/>
        </w:rPr>
      </w:pPr>
      <w:r>
        <w:rPr>
          <w:b/>
          <w:bCs/>
        </w:rPr>
        <w:t>M</w:t>
      </w:r>
      <w:r w:rsidR="00EF7940">
        <w:rPr>
          <w:b/>
          <w:bCs/>
        </w:rPr>
        <w:t>ain activity at the international level</w:t>
      </w:r>
    </w:p>
    <w:p w14:paraId="717419C8" w14:textId="3F2F5983" w:rsidR="00F86AD7" w:rsidRPr="00B2422F" w:rsidRDefault="007215CD" w:rsidP="003927DE">
      <w:pPr>
        <w:pStyle w:val="GAPara"/>
        <w:numPr>
          <w:ilvl w:val="0"/>
          <w:numId w:val="19"/>
        </w:numPr>
        <w:ind w:left="567" w:hanging="567"/>
        <w:jc w:val="both"/>
      </w:pPr>
      <w:r w:rsidRPr="00B2422F">
        <w:t xml:space="preserve">A </w:t>
      </w:r>
      <w:r w:rsidR="00F86AD7" w:rsidRPr="00B2422F">
        <w:t xml:space="preserve">global </w:t>
      </w:r>
      <w:r w:rsidRPr="00B2422F">
        <w:t xml:space="preserve">campaign </w:t>
      </w:r>
      <w:r w:rsidR="00B05FF8" w:rsidRPr="00B2422F">
        <w:t xml:space="preserve">is </w:t>
      </w:r>
      <w:r w:rsidRPr="00B2422F">
        <w:t xml:space="preserve">planned throughout the year 2023 </w:t>
      </w:r>
      <w:r w:rsidR="00B05FF8" w:rsidRPr="00B2422F">
        <w:t xml:space="preserve">to celebrate the anniversary </w:t>
      </w:r>
      <w:r w:rsidRPr="00B2422F">
        <w:t>with a series of activitie</w:t>
      </w:r>
      <w:r w:rsidR="00A22054" w:rsidRPr="00B2422F">
        <w:t xml:space="preserve">s </w:t>
      </w:r>
      <w:r w:rsidRPr="00B2422F">
        <w:t xml:space="preserve">to </w:t>
      </w:r>
      <w:r w:rsidR="00F86AD7" w:rsidRPr="00B2422F">
        <w:t>showcase the diversity and richness of living heritage</w:t>
      </w:r>
      <w:r w:rsidR="00A22054" w:rsidRPr="00B2422F">
        <w:t xml:space="preserve"> </w:t>
      </w:r>
      <w:r w:rsidR="000B6C0E" w:rsidRPr="00B2422F">
        <w:t>and</w:t>
      </w:r>
      <w:r w:rsidR="00F86AD7" w:rsidRPr="00B2422F">
        <w:t xml:space="preserve"> to </w:t>
      </w:r>
      <w:r w:rsidRPr="00B2422F">
        <w:t>raise awareness of the importance of living heritage safeguarding amongst the public</w:t>
      </w:r>
      <w:r w:rsidR="00A22054" w:rsidRPr="00B2422F">
        <w:t xml:space="preserve"> at large</w:t>
      </w:r>
      <w:r w:rsidR="00A5411C" w:rsidRPr="00B2422F">
        <w:t>.</w:t>
      </w:r>
    </w:p>
    <w:p w14:paraId="61F3EDD5" w14:textId="1689C591" w:rsidR="006E159A" w:rsidRPr="00B2422F" w:rsidRDefault="00BE4A58" w:rsidP="003927DE">
      <w:pPr>
        <w:pStyle w:val="GAPara"/>
        <w:numPr>
          <w:ilvl w:val="0"/>
          <w:numId w:val="19"/>
        </w:numPr>
        <w:ind w:left="567" w:hanging="567"/>
        <w:jc w:val="both"/>
      </w:pPr>
      <w:r w:rsidRPr="00B2422F">
        <w:rPr>
          <w:snapToGrid/>
        </w:rPr>
        <w:t>It is</w:t>
      </w:r>
      <w:r w:rsidR="00A22054" w:rsidRPr="00B2422F">
        <w:rPr>
          <w:snapToGrid/>
        </w:rPr>
        <w:t xml:space="preserve"> also</w:t>
      </w:r>
      <w:r w:rsidRPr="00B2422F">
        <w:rPr>
          <w:snapToGrid/>
        </w:rPr>
        <w:t xml:space="preserve"> proposed that </w:t>
      </w:r>
      <w:r w:rsidR="00F366D2" w:rsidRPr="00B2422F">
        <w:rPr>
          <w:snapToGrid/>
        </w:rPr>
        <w:t xml:space="preserve">anniversary celebrations </w:t>
      </w:r>
      <w:r w:rsidR="001902D3" w:rsidRPr="00B2422F">
        <w:rPr>
          <w:snapToGrid/>
        </w:rPr>
        <w:t>concentrate</w:t>
      </w:r>
      <w:r w:rsidR="00A22054" w:rsidRPr="00B2422F">
        <w:rPr>
          <w:snapToGrid/>
        </w:rPr>
        <w:t xml:space="preserve"> </w:t>
      </w:r>
      <w:r w:rsidR="001902D3" w:rsidRPr="00B2422F">
        <w:rPr>
          <w:snapToGrid/>
        </w:rPr>
        <w:t>on</w:t>
      </w:r>
      <w:r w:rsidR="00F86AD7" w:rsidRPr="00B2422F">
        <w:rPr>
          <w:color w:val="212121"/>
          <w:shd w:val="clear" w:color="auto" w:fill="FFFFFF"/>
          <w:lang w:val="en-US"/>
        </w:rPr>
        <w:t xml:space="preserve"> </w:t>
      </w:r>
      <w:r w:rsidR="001902D3" w:rsidRPr="00B2422F">
        <w:rPr>
          <w:snapToGrid/>
        </w:rPr>
        <w:t xml:space="preserve">the changes that the implementation of the 2003 Convention </w:t>
      </w:r>
      <w:r w:rsidR="005B2055" w:rsidRPr="00B2422F">
        <w:rPr>
          <w:snapToGrid/>
        </w:rPr>
        <w:t xml:space="preserve">has </w:t>
      </w:r>
      <w:r w:rsidR="001902D3" w:rsidRPr="00B2422F">
        <w:rPr>
          <w:snapToGrid/>
        </w:rPr>
        <w:t xml:space="preserve">brought about </w:t>
      </w:r>
      <w:r w:rsidR="005B2055" w:rsidRPr="00B2422F">
        <w:rPr>
          <w:snapToGrid/>
        </w:rPr>
        <w:t xml:space="preserve">for the safeguarding of living heritage </w:t>
      </w:r>
      <w:r w:rsidR="001902D3" w:rsidRPr="00B2422F">
        <w:rPr>
          <w:snapToGrid/>
        </w:rPr>
        <w:t xml:space="preserve">at the </w:t>
      </w:r>
      <w:r w:rsidR="005B2055" w:rsidRPr="00B2422F">
        <w:rPr>
          <w:snapToGrid/>
        </w:rPr>
        <w:t>local</w:t>
      </w:r>
      <w:r w:rsidR="00B05FF8" w:rsidRPr="00B2422F">
        <w:rPr>
          <w:snapToGrid/>
        </w:rPr>
        <w:t xml:space="preserve">, </w:t>
      </w:r>
      <w:r w:rsidR="001902D3" w:rsidRPr="00B2422F">
        <w:rPr>
          <w:snapToGrid/>
        </w:rPr>
        <w:t>national</w:t>
      </w:r>
      <w:r w:rsidR="00B05FF8" w:rsidRPr="00B2422F">
        <w:rPr>
          <w:snapToGrid/>
        </w:rPr>
        <w:t xml:space="preserve"> and international </w:t>
      </w:r>
      <w:r w:rsidR="001902D3" w:rsidRPr="00B2422F">
        <w:rPr>
          <w:snapToGrid/>
        </w:rPr>
        <w:t>level</w:t>
      </w:r>
      <w:r w:rsidR="00CD5F71" w:rsidRPr="00B2422F">
        <w:rPr>
          <w:snapToGrid/>
        </w:rPr>
        <w:t>s</w:t>
      </w:r>
      <w:r w:rsidR="001902D3" w:rsidRPr="00B2422F">
        <w:rPr>
          <w:snapToGrid/>
        </w:rPr>
        <w:t>.</w:t>
      </w:r>
      <w:r w:rsidR="00F86AD7" w:rsidRPr="00B2422F">
        <w:rPr>
          <w:snapToGrid/>
        </w:rPr>
        <w:t xml:space="preserve"> </w:t>
      </w:r>
      <w:r w:rsidR="00F63650" w:rsidRPr="00B2422F">
        <w:rPr>
          <w:snapToGrid/>
        </w:rPr>
        <w:t>Celebratory</w:t>
      </w:r>
      <w:r w:rsidR="00F86AD7" w:rsidRPr="00B2422F">
        <w:rPr>
          <w:snapToGrid/>
        </w:rPr>
        <w:t xml:space="preserve"> </w:t>
      </w:r>
      <w:r w:rsidR="00CD5F71" w:rsidRPr="00B2422F">
        <w:rPr>
          <w:snapToGrid/>
        </w:rPr>
        <w:t>events and communication initiatives</w:t>
      </w:r>
      <w:r w:rsidR="00DB3262" w:rsidRPr="00B2422F">
        <w:rPr>
          <w:snapToGrid/>
        </w:rPr>
        <w:t xml:space="preserve"> </w:t>
      </w:r>
      <w:r w:rsidR="00F63650" w:rsidRPr="00B2422F">
        <w:rPr>
          <w:snapToGrid/>
        </w:rPr>
        <w:t>will</w:t>
      </w:r>
      <w:r w:rsidR="00DB3262" w:rsidRPr="00B2422F">
        <w:rPr>
          <w:snapToGrid/>
        </w:rPr>
        <w:t xml:space="preserve"> </w:t>
      </w:r>
      <w:r w:rsidR="00DB3262" w:rsidRPr="00B2422F">
        <w:rPr>
          <w:lang w:val="en-US"/>
        </w:rPr>
        <w:t xml:space="preserve">highlight the human dynamics of our living heritage with the participation of </w:t>
      </w:r>
      <w:r w:rsidR="00A22054" w:rsidRPr="00B2422F">
        <w:rPr>
          <w:lang w:val="en-US"/>
        </w:rPr>
        <w:t xml:space="preserve">a </w:t>
      </w:r>
      <w:r w:rsidR="00DB3262" w:rsidRPr="00B2422F">
        <w:rPr>
          <w:lang w:val="en-US"/>
        </w:rPr>
        <w:t>wide array of actors</w:t>
      </w:r>
      <w:r w:rsidR="00A22054" w:rsidRPr="00B2422F">
        <w:rPr>
          <w:lang w:val="en-US"/>
        </w:rPr>
        <w:t xml:space="preserve">, </w:t>
      </w:r>
      <w:r w:rsidR="00DB3262" w:rsidRPr="00B2422F">
        <w:rPr>
          <w:lang w:val="en-US"/>
        </w:rPr>
        <w:t>namely the living heritage bearers, indigenous communities and youth</w:t>
      </w:r>
      <w:r w:rsidR="00A22054" w:rsidRPr="00B2422F">
        <w:rPr>
          <w:lang w:val="en-US"/>
        </w:rPr>
        <w:t xml:space="preserve">, </w:t>
      </w:r>
      <w:r w:rsidR="006E159A" w:rsidRPr="00B2422F">
        <w:rPr>
          <w:lang w:val="en-US"/>
        </w:rPr>
        <w:t xml:space="preserve">to </w:t>
      </w:r>
      <w:r w:rsidR="008A1573" w:rsidRPr="00B2422F">
        <w:rPr>
          <w:lang w:val="en-US"/>
        </w:rPr>
        <w:t>demonstrat</w:t>
      </w:r>
      <w:r w:rsidR="006E159A" w:rsidRPr="00B2422F">
        <w:rPr>
          <w:lang w:val="en-US"/>
        </w:rPr>
        <w:t xml:space="preserve">e </w:t>
      </w:r>
      <w:r w:rsidR="006E159A" w:rsidRPr="00B2422F">
        <w:t xml:space="preserve">how safeguarding living heritage is relevant </w:t>
      </w:r>
      <w:r w:rsidR="00B0084E" w:rsidRPr="00B2422F">
        <w:t>in present</w:t>
      </w:r>
      <w:r w:rsidR="006E159A" w:rsidRPr="00B2422F">
        <w:t xml:space="preserve"> times and </w:t>
      </w:r>
      <w:r w:rsidR="00A22054" w:rsidRPr="00B2422F">
        <w:t xml:space="preserve">for </w:t>
      </w:r>
      <w:r w:rsidR="006E159A" w:rsidRPr="00B2422F">
        <w:t>the future development of society</w:t>
      </w:r>
      <w:r w:rsidR="00A22054" w:rsidRPr="00B2422F">
        <w:t>. Young</w:t>
      </w:r>
      <w:r w:rsidR="006E159A" w:rsidRPr="00B2422F">
        <w:t xml:space="preserve"> people </w:t>
      </w:r>
      <w:r w:rsidR="00A22054" w:rsidRPr="00B2422F">
        <w:t xml:space="preserve">in particular </w:t>
      </w:r>
      <w:r w:rsidR="006E159A" w:rsidRPr="00B2422F">
        <w:t xml:space="preserve">will be mobilized to </w:t>
      </w:r>
      <w:r w:rsidR="00A22054" w:rsidRPr="00B2422F">
        <w:t xml:space="preserve">raise awareness of </w:t>
      </w:r>
      <w:r w:rsidR="006E159A" w:rsidRPr="00B2422F">
        <w:t>the importance of safeguarding intangible cultural heritage</w:t>
      </w:r>
      <w:r w:rsidR="00F63650" w:rsidRPr="00B2422F">
        <w:t xml:space="preserve"> through social media platforms</w:t>
      </w:r>
      <w:r w:rsidR="006E159A" w:rsidRPr="00B2422F">
        <w:t>.</w:t>
      </w:r>
    </w:p>
    <w:p w14:paraId="06E043C9" w14:textId="57289CAA" w:rsidR="00731C8A" w:rsidRPr="00A5411C" w:rsidRDefault="007215CD" w:rsidP="00D770EC">
      <w:pPr>
        <w:pStyle w:val="GAPara"/>
        <w:numPr>
          <w:ilvl w:val="0"/>
          <w:numId w:val="19"/>
        </w:numPr>
        <w:ind w:left="567" w:hanging="567"/>
        <w:jc w:val="both"/>
      </w:pPr>
      <w:r>
        <w:t>Needless to say,</w:t>
      </w:r>
      <w:r w:rsidR="00731C8A" w:rsidRPr="00C1515B">
        <w:t xml:space="preserve"> </w:t>
      </w:r>
      <w:r w:rsidR="00B05FF8">
        <w:t xml:space="preserve">the </w:t>
      </w:r>
      <w:r w:rsidR="00731C8A" w:rsidRPr="007215CD">
        <w:t xml:space="preserve">plan </w:t>
      </w:r>
      <w:r w:rsidR="00CA7A29" w:rsidRPr="007215CD">
        <w:t>is</w:t>
      </w:r>
      <w:r w:rsidR="00731C8A" w:rsidRPr="007215CD">
        <w:t xml:space="preserve"> dependent on the timely availability of extrabudgetary support to complement resources from the Regular Programme budget</w:t>
      </w:r>
      <w:r w:rsidR="003E7A5F" w:rsidRPr="007215CD">
        <w:t xml:space="preserve"> and Intangible Cultural Heritage Fund (‘other functions’)</w:t>
      </w:r>
      <w:r w:rsidRPr="007215CD">
        <w:t>.</w:t>
      </w:r>
      <w:r>
        <w:t xml:space="preserve"> States Parties as well as other key stakeholders are encouraged to </w:t>
      </w:r>
      <w:r w:rsidR="003B4B00" w:rsidRPr="00E71E7D">
        <w:t>provide financial support for the anniversary celebrations with the modality of their choice</w:t>
      </w:r>
      <w:r w:rsidR="00C1515B">
        <w:t>.</w:t>
      </w:r>
    </w:p>
    <w:p w14:paraId="26B25865" w14:textId="399FD874" w:rsidR="001902D3" w:rsidRPr="00D770EC" w:rsidRDefault="00EF7940" w:rsidP="00D770EC">
      <w:pPr>
        <w:pStyle w:val="GAPara"/>
        <w:numPr>
          <w:ilvl w:val="0"/>
          <w:numId w:val="0"/>
        </w:numPr>
        <w:spacing w:before="360"/>
        <w:jc w:val="both"/>
        <w:rPr>
          <w:b/>
          <w:bCs/>
        </w:rPr>
      </w:pPr>
      <w:r w:rsidRPr="00D770EC">
        <w:rPr>
          <w:b/>
          <w:bCs/>
        </w:rPr>
        <w:lastRenderedPageBreak/>
        <w:t>Framework for anniversary celebrations at the national level</w:t>
      </w:r>
    </w:p>
    <w:p w14:paraId="3DE45728" w14:textId="56E4AD77" w:rsidR="004445CF" w:rsidRDefault="004445CF" w:rsidP="004445CF">
      <w:pPr>
        <w:pStyle w:val="GAPara"/>
        <w:numPr>
          <w:ilvl w:val="0"/>
          <w:numId w:val="19"/>
        </w:numPr>
        <w:ind w:left="567" w:hanging="567"/>
        <w:jc w:val="both"/>
      </w:pPr>
      <w:r w:rsidRPr="00E71E7D">
        <w:t xml:space="preserve">Apart from </w:t>
      </w:r>
      <w:r>
        <w:t xml:space="preserve">the above-mentioned </w:t>
      </w:r>
      <w:r w:rsidR="00FB6464">
        <w:t>campaign</w:t>
      </w:r>
      <w:r w:rsidRPr="00E71E7D">
        <w:t xml:space="preserve"> </w:t>
      </w:r>
      <w:r>
        <w:t xml:space="preserve">that the Secretariat </w:t>
      </w:r>
      <w:r w:rsidR="00FB6464">
        <w:t>will implement</w:t>
      </w:r>
      <w:r w:rsidRPr="00E71E7D">
        <w:t xml:space="preserve">, the General Assembly may wish to encourage States Parties to organize national and community-level events and activities to promote the objectives of the 2003 Convention, taking stock of past achievements and exploring future directions </w:t>
      </w:r>
      <w:r>
        <w:t>for</w:t>
      </w:r>
      <w:r w:rsidRPr="00E71E7D">
        <w:t xml:space="preserve"> the stakeholders of the Convention. The Secretariat proposes to publish a list of such events and activities </w:t>
      </w:r>
      <w:r w:rsidR="00580927">
        <w:t>on the website of</w:t>
      </w:r>
      <w:r w:rsidRPr="00E71E7D">
        <w:t xml:space="preserve"> the </w:t>
      </w:r>
      <w:r w:rsidR="00580927">
        <w:t>Living Heritage Entity</w:t>
      </w:r>
      <w:r w:rsidRPr="00E71E7D">
        <w:t>.</w:t>
      </w:r>
    </w:p>
    <w:p w14:paraId="22C007B4" w14:textId="414BE7DC" w:rsidR="0045181E" w:rsidRPr="00E71E7D" w:rsidRDefault="007C0810" w:rsidP="004445CF">
      <w:pPr>
        <w:pStyle w:val="GAPara"/>
        <w:numPr>
          <w:ilvl w:val="0"/>
          <w:numId w:val="19"/>
        </w:numPr>
        <w:ind w:left="567" w:hanging="567"/>
        <w:jc w:val="both"/>
      </w:pPr>
      <w:r>
        <w:t>The celebrations may be organized with the following objectives as guidelines.</w:t>
      </w:r>
    </w:p>
    <w:p w14:paraId="6F8CDEDC" w14:textId="46FF334F" w:rsidR="00F366D2" w:rsidRPr="00E71E7D" w:rsidRDefault="00F366D2" w:rsidP="00E34738">
      <w:pPr>
        <w:pStyle w:val="GAPara"/>
        <w:widowControl w:val="0"/>
        <w:numPr>
          <w:ilvl w:val="0"/>
          <w:numId w:val="0"/>
        </w:numPr>
        <w:spacing w:before="240"/>
        <w:ind w:left="567"/>
        <w:jc w:val="both"/>
        <w:rPr>
          <w:u w:val="single"/>
        </w:rPr>
      </w:pPr>
      <w:r w:rsidRPr="00E71E7D">
        <w:rPr>
          <w:u w:val="single"/>
        </w:rPr>
        <w:t>Objective 1: Bringing communities’ voices to the forefront</w:t>
      </w:r>
    </w:p>
    <w:p w14:paraId="5AF443A1" w14:textId="180AC455" w:rsidR="002C5BF4" w:rsidRPr="00E71E7D" w:rsidRDefault="00EC56A0" w:rsidP="00EC56A0">
      <w:pPr>
        <w:pStyle w:val="GAPara"/>
        <w:numPr>
          <w:ilvl w:val="0"/>
          <w:numId w:val="0"/>
        </w:numPr>
        <w:ind w:left="567"/>
        <w:jc w:val="both"/>
      </w:pPr>
      <w:r w:rsidRPr="00E71E7D">
        <w:t>Insofar as i</w:t>
      </w:r>
      <w:r w:rsidR="002C5BF4" w:rsidRPr="00E71E7D">
        <w:t>ntangible cultural heritage is created, maintained and transmitted by communities, groups and individuals</w:t>
      </w:r>
      <w:r w:rsidR="00547EFD" w:rsidRPr="00E71E7D">
        <w:t xml:space="preserve"> around the world</w:t>
      </w:r>
      <w:r w:rsidRPr="00E71E7D">
        <w:t>, the Convention</w:t>
      </w:r>
      <w:r w:rsidR="00325648">
        <w:t>’</w:t>
      </w:r>
      <w:r w:rsidRPr="00E71E7D">
        <w:t>s</w:t>
      </w:r>
      <w:r w:rsidR="00325648">
        <w:t xml:space="preserve"> achievements</w:t>
      </w:r>
      <w:r w:rsidRPr="00E71E7D">
        <w:t xml:space="preserve"> are directly related to the safeguarding commitments</w:t>
      </w:r>
      <w:r w:rsidR="00ED26FB" w:rsidRPr="00E71E7D">
        <w:t xml:space="preserve"> and transmission practices</w:t>
      </w:r>
      <w:r w:rsidR="00325648">
        <w:t xml:space="preserve"> of the</w:t>
      </w:r>
      <w:r w:rsidR="00A86047">
        <w:t xml:space="preserve"> custodians, practitioners and bearers</w:t>
      </w:r>
      <w:r w:rsidR="00547EFD" w:rsidRPr="00E71E7D">
        <w:t xml:space="preserve">, </w:t>
      </w:r>
      <w:r w:rsidR="00A86047">
        <w:t>al</w:t>
      </w:r>
      <w:r w:rsidR="00547EFD" w:rsidRPr="00E71E7D">
        <w:t xml:space="preserve">though their stories are not </w:t>
      </w:r>
      <w:r w:rsidR="00580927">
        <w:t>always heard</w:t>
      </w:r>
      <w:r w:rsidRPr="00E71E7D">
        <w:t xml:space="preserve">. </w:t>
      </w:r>
      <w:r w:rsidR="007C0810">
        <w:t xml:space="preserve">Anniversary activities </w:t>
      </w:r>
      <w:r w:rsidR="00A86047">
        <w:t xml:space="preserve">could </w:t>
      </w:r>
      <w:r w:rsidR="007C0810">
        <w:t xml:space="preserve">be planned to highlight </w:t>
      </w:r>
      <w:r w:rsidR="007C0810" w:rsidRPr="00E71E7D">
        <w:t xml:space="preserve">experiences and enhance understanding </w:t>
      </w:r>
      <w:r w:rsidR="007C0810">
        <w:t xml:space="preserve">of the crucial role played by </w:t>
      </w:r>
      <w:r w:rsidR="006B40AD" w:rsidRPr="00E71E7D">
        <w:t>community</w:t>
      </w:r>
      <w:r w:rsidRPr="00E71E7D">
        <w:t xml:space="preserve"> </w:t>
      </w:r>
      <w:r w:rsidR="00ED26FB" w:rsidRPr="00E71E7D">
        <w:t xml:space="preserve">representatives, practitioners and other tradition bearers </w:t>
      </w:r>
      <w:r w:rsidRPr="00E71E7D">
        <w:t>in the implementation of the Convention.</w:t>
      </w:r>
    </w:p>
    <w:p w14:paraId="4C506C7C" w14:textId="21610193" w:rsidR="00F366D2" w:rsidRPr="00E71E7D" w:rsidRDefault="00F366D2" w:rsidP="00E34738">
      <w:pPr>
        <w:pStyle w:val="GAPara"/>
        <w:widowControl w:val="0"/>
        <w:numPr>
          <w:ilvl w:val="0"/>
          <w:numId w:val="0"/>
        </w:numPr>
        <w:spacing w:before="240"/>
        <w:ind w:left="567"/>
        <w:jc w:val="both"/>
        <w:rPr>
          <w:u w:val="single"/>
        </w:rPr>
      </w:pPr>
      <w:r w:rsidRPr="00E71E7D">
        <w:rPr>
          <w:u w:val="single"/>
        </w:rPr>
        <w:t>Objective 2</w:t>
      </w:r>
      <w:r w:rsidR="00F014E7" w:rsidRPr="00E71E7D">
        <w:rPr>
          <w:u w:val="single"/>
        </w:rPr>
        <w:t>:</w:t>
      </w:r>
      <w:r w:rsidRPr="00E71E7D">
        <w:rPr>
          <w:u w:val="single"/>
        </w:rPr>
        <w:t xml:space="preserve"> Consolidat</w:t>
      </w:r>
      <w:r w:rsidR="00AE49FA">
        <w:rPr>
          <w:u w:val="single"/>
        </w:rPr>
        <w:t>ing</w:t>
      </w:r>
      <w:r w:rsidRPr="00E71E7D">
        <w:rPr>
          <w:u w:val="single"/>
        </w:rPr>
        <w:t xml:space="preserve"> </w:t>
      </w:r>
      <w:r w:rsidR="00DE56E9">
        <w:rPr>
          <w:u w:val="single"/>
        </w:rPr>
        <w:t>safeguarding networks and partnerships</w:t>
      </w:r>
    </w:p>
    <w:p w14:paraId="28D4788D" w14:textId="6B2C16EE" w:rsidR="00A24140" w:rsidRPr="00E71E7D" w:rsidRDefault="00325648" w:rsidP="00E34738">
      <w:pPr>
        <w:pStyle w:val="GAPara"/>
        <w:widowControl w:val="0"/>
        <w:numPr>
          <w:ilvl w:val="0"/>
          <w:numId w:val="0"/>
        </w:numPr>
        <w:ind w:left="567"/>
        <w:jc w:val="both"/>
      </w:pPr>
      <w:r>
        <w:t>A</w:t>
      </w:r>
      <w:r w:rsidR="00063D7B" w:rsidRPr="00E71E7D">
        <w:t xml:space="preserve">wareness about </w:t>
      </w:r>
      <w:r w:rsidR="00947CA2">
        <w:t>l</w:t>
      </w:r>
      <w:r w:rsidR="00580927">
        <w:t xml:space="preserve">iving </w:t>
      </w:r>
      <w:r w:rsidR="00947CA2">
        <w:t>h</w:t>
      </w:r>
      <w:r w:rsidR="00580927">
        <w:t>eritage</w:t>
      </w:r>
      <w:r w:rsidR="00EC56A0" w:rsidRPr="00E71E7D">
        <w:t xml:space="preserve"> </w:t>
      </w:r>
      <w:r w:rsidR="00A24140" w:rsidRPr="00E71E7D">
        <w:t xml:space="preserve">could not have been </w:t>
      </w:r>
      <w:r w:rsidR="00063D7B" w:rsidRPr="00E71E7D">
        <w:t>raised</w:t>
      </w:r>
      <w:r w:rsidR="00845045" w:rsidRPr="00E71E7D">
        <w:t xml:space="preserve"> </w:t>
      </w:r>
      <w:r w:rsidR="00EC56A0" w:rsidRPr="00E71E7D">
        <w:t>without the</w:t>
      </w:r>
      <w:r w:rsidR="00063D7B" w:rsidRPr="00E71E7D">
        <w:t xml:space="preserve"> engagement and support o</w:t>
      </w:r>
      <w:r w:rsidR="00A24140" w:rsidRPr="00E71E7D">
        <w:t>f</w:t>
      </w:r>
      <w:r w:rsidR="00EC56A0" w:rsidRPr="00E71E7D">
        <w:t xml:space="preserve"> </w:t>
      </w:r>
      <w:r w:rsidR="00580927">
        <w:t xml:space="preserve">the Convention’s key </w:t>
      </w:r>
      <w:r w:rsidR="00ED26FB" w:rsidRPr="00E71E7D">
        <w:t>stakeholders</w:t>
      </w:r>
      <w:r w:rsidR="00DE56E9">
        <w:t xml:space="preserve"> at the international, </w:t>
      </w:r>
      <w:proofErr w:type="gramStart"/>
      <w:r w:rsidR="00DE56E9">
        <w:t>regional</w:t>
      </w:r>
      <w:proofErr w:type="gramEnd"/>
      <w:r w:rsidR="00DE56E9">
        <w:t xml:space="preserve"> and national levels</w:t>
      </w:r>
      <w:r>
        <w:t>,</w:t>
      </w:r>
      <w:r w:rsidR="006B40AD" w:rsidRPr="00E71E7D">
        <w:t xml:space="preserve"> including </w:t>
      </w:r>
      <w:r w:rsidR="00A86047">
        <w:t xml:space="preserve">States Parties as well as </w:t>
      </w:r>
      <w:r>
        <w:t>c</w:t>
      </w:r>
      <w:r w:rsidR="006B40AD" w:rsidRPr="00E71E7D">
        <w:t>ategory 2 centres and accredited NGOs, heritage professionals, living heritage practitioners and community members</w:t>
      </w:r>
      <w:r w:rsidR="00EC56A0" w:rsidRPr="00E71E7D">
        <w:t>.</w:t>
      </w:r>
      <w:r w:rsidR="00063D7B" w:rsidRPr="00E71E7D">
        <w:t xml:space="preserve"> The anniversary year </w:t>
      </w:r>
      <w:r>
        <w:t>is</w:t>
      </w:r>
      <w:r w:rsidR="00063D7B" w:rsidRPr="00E71E7D">
        <w:t xml:space="preserve"> an occasion to strengthen </w:t>
      </w:r>
      <w:r w:rsidR="00DE56E9">
        <w:t>safeguarding networks and partnerships as well as</w:t>
      </w:r>
      <w:r>
        <w:t xml:space="preserve"> to</w:t>
      </w:r>
      <w:r w:rsidR="00063D7B" w:rsidRPr="00E71E7D">
        <w:t xml:space="preserve"> mobilize resources in cooperation with </w:t>
      </w:r>
      <w:r w:rsidR="006572C5" w:rsidRPr="00E71E7D">
        <w:t>the</w:t>
      </w:r>
      <w:r>
        <w:t>se stakeholders</w:t>
      </w:r>
      <w:r w:rsidR="006572C5" w:rsidRPr="00E71E7D">
        <w:t xml:space="preserve">. </w:t>
      </w:r>
      <w:r w:rsidR="009D0A36">
        <w:t>E</w:t>
      </w:r>
      <w:r w:rsidR="006572C5" w:rsidRPr="00E71E7D">
        <w:t xml:space="preserve">fforts </w:t>
      </w:r>
      <w:r w:rsidR="006B40AD" w:rsidRPr="00E71E7D">
        <w:t>may</w:t>
      </w:r>
      <w:r w:rsidR="009D0A36">
        <w:t xml:space="preserve"> also</w:t>
      </w:r>
      <w:r w:rsidR="006572C5" w:rsidRPr="00E71E7D">
        <w:t xml:space="preserve"> be made to involve stakeholders that are</w:t>
      </w:r>
      <w:r w:rsidR="006B40AD" w:rsidRPr="00E71E7D">
        <w:t xml:space="preserve"> crucial for effective </w:t>
      </w:r>
      <w:r w:rsidRPr="00E71E7D">
        <w:t xml:space="preserve">intangible cultural heritage </w:t>
      </w:r>
      <w:r w:rsidR="006B40AD" w:rsidRPr="00E71E7D">
        <w:t xml:space="preserve">safeguarding and that so far have not been </w:t>
      </w:r>
      <w:r w:rsidR="000712AC">
        <w:t>optimally</w:t>
      </w:r>
      <w:r w:rsidR="006B40AD" w:rsidRPr="00E71E7D">
        <w:t xml:space="preserve"> </w:t>
      </w:r>
      <w:r w:rsidR="000712AC">
        <w:t>engaged</w:t>
      </w:r>
      <w:r w:rsidR="006B40AD" w:rsidRPr="00E71E7D">
        <w:t xml:space="preserve"> under the Convention, such </w:t>
      </w:r>
      <w:r w:rsidR="006572C5" w:rsidRPr="00E71E7D">
        <w:t>as youth, indigenous peoples</w:t>
      </w:r>
      <w:r w:rsidR="006B40AD" w:rsidRPr="00E71E7D">
        <w:t xml:space="preserve">, minorities </w:t>
      </w:r>
      <w:r>
        <w:t>and</w:t>
      </w:r>
      <w:r w:rsidR="006572C5" w:rsidRPr="00E71E7D">
        <w:t xml:space="preserve"> </w:t>
      </w:r>
      <w:r w:rsidR="006B40AD" w:rsidRPr="00E71E7D">
        <w:t>urban communities and groups</w:t>
      </w:r>
      <w:r w:rsidR="0079127D" w:rsidRPr="00E71E7D">
        <w:t>.</w:t>
      </w:r>
    </w:p>
    <w:p w14:paraId="64FB4D69" w14:textId="06251008" w:rsidR="00F014E7" w:rsidRPr="00E71E7D" w:rsidRDefault="00F014E7" w:rsidP="00E34738">
      <w:pPr>
        <w:pStyle w:val="GAPara"/>
        <w:widowControl w:val="0"/>
        <w:numPr>
          <w:ilvl w:val="0"/>
          <w:numId w:val="0"/>
        </w:numPr>
        <w:spacing w:before="240"/>
        <w:ind w:left="567"/>
        <w:jc w:val="both"/>
        <w:rPr>
          <w:u w:val="single"/>
        </w:rPr>
      </w:pPr>
      <w:r w:rsidRPr="00E71E7D">
        <w:rPr>
          <w:u w:val="single"/>
        </w:rPr>
        <w:t>Objective 3: Spark</w:t>
      </w:r>
      <w:r w:rsidR="00AE49FA">
        <w:rPr>
          <w:u w:val="single"/>
        </w:rPr>
        <w:t>ing</w:t>
      </w:r>
      <w:r w:rsidRPr="00E71E7D">
        <w:rPr>
          <w:u w:val="single"/>
        </w:rPr>
        <w:t xml:space="preserve"> creativit</w:t>
      </w:r>
      <w:r w:rsidR="00E70523">
        <w:rPr>
          <w:u w:val="single"/>
        </w:rPr>
        <w:t>y</w:t>
      </w:r>
    </w:p>
    <w:p w14:paraId="0DB702AE" w14:textId="70816344" w:rsidR="006572C5" w:rsidRPr="00E71E7D" w:rsidRDefault="00B1157C" w:rsidP="00E34738">
      <w:pPr>
        <w:pStyle w:val="GAPara"/>
        <w:widowControl w:val="0"/>
        <w:numPr>
          <w:ilvl w:val="0"/>
          <w:numId w:val="0"/>
        </w:numPr>
        <w:ind w:left="567"/>
        <w:jc w:val="both"/>
      </w:pPr>
      <w:r w:rsidRPr="00E71E7D">
        <w:t>If l</w:t>
      </w:r>
      <w:r w:rsidR="00C22CA5" w:rsidRPr="00E71E7D">
        <w:t xml:space="preserve">iving heritage is best safeguarded through </w:t>
      </w:r>
      <w:r w:rsidR="0009186E" w:rsidRPr="00E71E7D">
        <w:t>transmission and</w:t>
      </w:r>
      <w:r w:rsidR="00325648">
        <w:t xml:space="preserve"> the</w:t>
      </w:r>
      <w:r w:rsidR="0009186E" w:rsidRPr="00E71E7D">
        <w:t xml:space="preserve"> </w:t>
      </w:r>
      <w:r w:rsidR="00C22CA5" w:rsidRPr="00E71E7D">
        <w:t>creativity</w:t>
      </w:r>
      <w:r w:rsidR="0009186E" w:rsidRPr="00E71E7D">
        <w:t xml:space="preserve"> of those concerned</w:t>
      </w:r>
      <w:r w:rsidRPr="00E71E7D">
        <w:t>,</w:t>
      </w:r>
      <w:r w:rsidR="0009186E" w:rsidRPr="00E71E7D">
        <w:t xml:space="preserve"> the power of creativity should be emphasized in</w:t>
      </w:r>
      <w:r w:rsidRPr="00E71E7D">
        <w:t xml:space="preserve"> the further development of the Convention</w:t>
      </w:r>
      <w:r w:rsidR="00C22CA5" w:rsidRPr="00E71E7D">
        <w:t>.</w:t>
      </w:r>
      <w:r w:rsidR="0082310E" w:rsidRPr="00E71E7D">
        <w:t xml:space="preserve"> The anniversary year </w:t>
      </w:r>
      <w:r w:rsidR="0009186E" w:rsidRPr="00E71E7D">
        <w:t xml:space="preserve">might provide </w:t>
      </w:r>
      <w:r w:rsidR="0082310E" w:rsidRPr="00E71E7D">
        <w:t>occasion</w:t>
      </w:r>
      <w:r w:rsidR="0009186E" w:rsidRPr="00E71E7D">
        <w:t>s</w:t>
      </w:r>
      <w:r w:rsidR="0082310E" w:rsidRPr="00E71E7D">
        <w:t xml:space="preserve"> to</w:t>
      </w:r>
      <w:r w:rsidR="00C22CA5" w:rsidRPr="00E71E7D">
        <w:t xml:space="preserve"> </w:t>
      </w:r>
      <w:r w:rsidR="0009186E" w:rsidRPr="00E71E7D">
        <w:t xml:space="preserve">start initiatives in that direction, </w:t>
      </w:r>
      <w:r w:rsidR="00325648">
        <w:t>such as</w:t>
      </w:r>
      <w:r w:rsidR="0009186E" w:rsidRPr="00E71E7D">
        <w:t xml:space="preserve"> by </w:t>
      </w:r>
      <w:r w:rsidR="0082310E" w:rsidRPr="00E71E7D">
        <w:t>b</w:t>
      </w:r>
      <w:r w:rsidR="00C22CA5" w:rsidRPr="00E71E7D">
        <w:t>ringing</w:t>
      </w:r>
      <w:r w:rsidR="0009186E" w:rsidRPr="00E71E7D">
        <w:t xml:space="preserve"> together people from different background</w:t>
      </w:r>
      <w:r w:rsidR="00325648">
        <w:t>s</w:t>
      </w:r>
      <w:r w:rsidR="0009186E" w:rsidRPr="00E71E7D">
        <w:t xml:space="preserve"> </w:t>
      </w:r>
      <w:r w:rsidR="004F3299">
        <w:t xml:space="preserve">and </w:t>
      </w:r>
      <w:r w:rsidR="0009186E" w:rsidRPr="00E71E7D">
        <w:t>professional profiles</w:t>
      </w:r>
      <w:r w:rsidR="0082310E" w:rsidRPr="00E71E7D">
        <w:t>. Such encounters</w:t>
      </w:r>
      <w:r w:rsidR="00C22CA5" w:rsidRPr="00E71E7D">
        <w:t xml:space="preserve"> </w:t>
      </w:r>
      <w:r w:rsidR="0009186E" w:rsidRPr="00E71E7D">
        <w:t>might</w:t>
      </w:r>
      <w:r w:rsidR="00C22CA5" w:rsidRPr="00E71E7D">
        <w:t xml:space="preserve"> spark interdisciplinary, </w:t>
      </w:r>
      <w:r w:rsidR="00A86047">
        <w:t>innovative</w:t>
      </w:r>
      <w:r w:rsidR="00C22CA5" w:rsidRPr="00E71E7D">
        <w:t xml:space="preserve"> and creative dialogues </w:t>
      </w:r>
      <w:r w:rsidR="0082310E" w:rsidRPr="00E71E7D">
        <w:t xml:space="preserve">in order </w:t>
      </w:r>
      <w:r w:rsidR="00C22CA5" w:rsidRPr="00E71E7D">
        <w:t>to reflect on</w:t>
      </w:r>
      <w:r w:rsidR="003D4E9D" w:rsidRPr="00E71E7D">
        <w:t xml:space="preserve"> how to</w:t>
      </w:r>
      <w:r w:rsidR="00C22CA5" w:rsidRPr="00E71E7D">
        <w:t xml:space="preserve"> </w:t>
      </w:r>
      <w:r w:rsidR="0009186E" w:rsidRPr="00E71E7D">
        <w:t xml:space="preserve">further </w:t>
      </w:r>
      <w:r w:rsidR="00C22CA5" w:rsidRPr="00E71E7D">
        <w:t xml:space="preserve">unlock the potential of </w:t>
      </w:r>
      <w:r w:rsidR="0009186E" w:rsidRPr="00E71E7D">
        <w:t xml:space="preserve">our intangible cultural heritage </w:t>
      </w:r>
      <w:r w:rsidR="00C22CA5" w:rsidRPr="00E71E7D">
        <w:t>for the future.</w:t>
      </w:r>
    </w:p>
    <w:p w14:paraId="4C2B0AB6" w14:textId="77777777" w:rsidR="008A1ED4" w:rsidRPr="00E71E7D" w:rsidRDefault="008A1ED4" w:rsidP="008A1ED4">
      <w:pPr>
        <w:keepNext/>
        <w:numPr>
          <w:ilvl w:val="0"/>
          <w:numId w:val="19"/>
        </w:numPr>
        <w:ind w:left="567" w:hanging="567"/>
        <w:jc w:val="both"/>
        <w:rPr>
          <w:rFonts w:ascii="Arial" w:eastAsia="SimSun" w:hAnsi="Arial" w:cs="Arial"/>
          <w:sz w:val="22"/>
          <w:szCs w:val="22"/>
          <w:lang w:val="en-GB"/>
        </w:rPr>
      </w:pPr>
      <w:r w:rsidRPr="00E71E7D">
        <w:rPr>
          <w:rFonts w:ascii="Arial" w:hAnsi="Arial"/>
          <w:sz w:val="22"/>
          <w:lang w:val="en-GB"/>
        </w:rPr>
        <w:t>The General Assembly may wish to adopt the following resolution:</w:t>
      </w:r>
    </w:p>
    <w:p w14:paraId="2A46BAC4" w14:textId="4E9C027E" w:rsidR="008A1ED4" w:rsidRPr="00E71E7D" w:rsidRDefault="00F010E0" w:rsidP="008A1ED4">
      <w:pPr>
        <w:pStyle w:val="GATitleResolution"/>
      </w:pPr>
      <w:r w:rsidRPr="00E71E7D">
        <w:t xml:space="preserve">DRAFT RESOLUTION </w:t>
      </w:r>
      <w:r w:rsidR="003265D0" w:rsidRPr="00E71E7D">
        <w:t>9</w:t>
      </w:r>
      <w:r w:rsidR="008A1ED4" w:rsidRPr="00E71E7D">
        <w:t xml:space="preserve">.GA </w:t>
      </w:r>
      <w:r w:rsidR="00030DAF" w:rsidRPr="00E71E7D">
        <w:t>13</w:t>
      </w:r>
    </w:p>
    <w:p w14:paraId="7677B217" w14:textId="77777777" w:rsidR="008A1ED4" w:rsidRPr="00E71E7D" w:rsidRDefault="008A1ED4" w:rsidP="008A1ED4">
      <w:pPr>
        <w:pStyle w:val="GAPreambulaResolution"/>
        <w:rPr>
          <w:rFonts w:eastAsia="SimSun"/>
        </w:rPr>
      </w:pPr>
      <w:r w:rsidRPr="00E71E7D">
        <w:t>The General Assembly,</w:t>
      </w:r>
    </w:p>
    <w:p w14:paraId="0214BF72" w14:textId="1F115995" w:rsidR="000D6EAF" w:rsidRPr="00E71E7D" w:rsidRDefault="008A1ED4" w:rsidP="000D6EAF">
      <w:pPr>
        <w:pStyle w:val="COMParaDecision"/>
        <w:numPr>
          <w:ilvl w:val="0"/>
          <w:numId w:val="10"/>
        </w:numPr>
        <w:ind w:left="1134" w:hanging="567"/>
      </w:pPr>
      <w:r w:rsidRPr="00E71E7D">
        <w:t>Having examined</w:t>
      </w:r>
      <w:r w:rsidRPr="00E71E7D">
        <w:rPr>
          <w:u w:val="none"/>
        </w:rPr>
        <w:t xml:space="preserve"> doc</w:t>
      </w:r>
      <w:r w:rsidR="00F010E0" w:rsidRPr="00E71E7D">
        <w:rPr>
          <w:u w:val="none"/>
        </w:rPr>
        <w:t>ument LHE/2</w:t>
      </w:r>
      <w:r w:rsidR="003265D0" w:rsidRPr="00E71E7D">
        <w:rPr>
          <w:u w:val="none"/>
        </w:rPr>
        <w:t>2</w:t>
      </w:r>
      <w:r w:rsidRPr="00E71E7D">
        <w:rPr>
          <w:u w:val="none"/>
        </w:rPr>
        <w:t>/</w:t>
      </w:r>
      <w:r w:rsidR="003265D0" w:rsidRPr="00E71E7D">
        <w:rPr>
          <w:u w:val="none"/>
        </w:rPr>
        <w:t>9</w:t>
      </w:r>
      <w:r w:rsidRPr="00E71E7D">
        <w:rPr>
          <w:u w:val="none"/>
        </w:rPr>
        <w:t>.GA/</w:t>
      </w:r>
      <w:r w:rsidR="00BA17EF" w:rsidRPr="00E71E7D">
        <w:rPr>
          <w:u w:val="none"/>
        </w:rPr>
        <w:t>13</w:t>
      </w:r>
      <w:r w:rsidRPr="00E71E7D">
        <w:rPr>
          <w:u w:val="none"/>
        </w:rPr>
        <w:t>,</w:t>
      </w:r>
    </w:p>
    <w:p w14:paraId="0D675A00" w14:textId="2913511B" w:rsidR="008A1ED4" w:rsidRPr="00E71E7D" w:rsidRDefault="004D0FBC" w:rsidP="004D0FBC">
      <w:pPr>
        <w:pStyle w:val="COMParaDecision"/>
        <w:numPr>
          <w:ilvl w:val="0"/>
          <w:numId w:val="10"/>
        </w:numPr>
        <w:ind w:left="1134" w:hanging="567"/>
      </w:pPr>
      <w:r w:rsidRPr="00E71E7D">
        <w:t>Welcomes</w:t>
      </w:r>
      <w:r w:rsidR="008A1ED4" w:rsidRPr="00E71E7D">
        <w:rPr>
          <w:u w:val="none"/>
        </w:rPr>
        <w:t xml:space="preserve"> </w:t>
      </w:r>
      <w:r w:rsidRPr="00E71E7D">
        <w:rPr>
          <w:u w:val="none"/>
        </w:rPr>
        <w:t xml:space="preserve">the initiative to celebrate the twentieth anniversary of the Convention </w:t>
      </w:r>
      <w:r w:rsidR="004136C1" w:rsidRPr="00E71E7D">
        <w:rPr>
          <w:u w:val="none"/>
        </w:rPr>
        <w:t xml:space="preserve">in 2023 </w:t>
      </w:r>
      <w:r w:rsidR="000D6EAF" w:rsidRPr="00E71E7D">
        <w:rPr>
          <w:u w:val="none"/>
        </w:rPr>
        <w:t xml:space="preserve">and </w:t>
      </w:r>
      <w:r w:rsidR="004136C1" w:rsidRPr="00E71E7D">
        <w:t xml:space="preserve">takes </w:t>
      </w:r>
      <w:r w:rsidR="000D6EAF" w:rsidRPr="00E71E7D">
        <w:t>note</w:t>
      </w:r>
      <w:r w:rsidR="004136C1" w:rsidRPr="00E71E7D">
        <w:rPr>
          <w:u w:val="none"/>
        </w:rPr>
        <w:t xml:space="preserve"> of</w:t>
      </w:r>
      <w:r w:rsidRPr="00E71E7D">
        <w:rPr>
          <w:u w:val="none"/>
        </w:rPr>
        <w:t xml:space="preserve"> the </w:t>
      </w:r>
      <w:r w:rsidR="003051FE">
        <w:rPr>
          <w:u w:val="none"/>
        </w:rPr>
        <w:t xml:space="preserve">main </w:t>
      </w:r>
      <w:r w:rsidR="007815EE">
        <w:rPr>
          <w:u w:val="none"/>
        </w:rPr>
        <w:t>theme</w:t>
      </w:r>
      <w:r w:rsidR="005B58CE">
        <w:rPr>
          <w:u w:val="none"/>
        </w:rPr>
        <w:t>s</w:t>
      </w:r>
      <w:r w:rsidR="007815EE">
        <w:rPr>
          <w:u w:val="none"/>
        </w:rPr>
        <w:t xml:space="preserve"> </w:t>
      </w:r>
      <w:r w:rsidR="003051FE">
        <w:rPr>
          <w:u w:val="none"/>
        </w:rPr>
        <w:t xml:space="preserve">proposed </w:t>
      </w:r>
      <w:r w:rsidR="007815EE">
        <w:rPr>
          <w:u w:val="none"/>
        </w:rPr>
        <w:t xml:space="preserve">for the campaign </w:t>
      </w:r>
      <w:r w:rsidR="000712AC">
        <w:rPr>
          <w:u w:val="none"/>
        </w:rPr>
        <w:t xml:space="preserve">to celebrate the </w:t>
      </w:r>
      <w:r w:rsidR="00B7642B">
        <w:rPr>
          <w:u w:val="none"/>
        </w:rPr>
        <w:t>twentieth</w:t>
      </w:r>
      <w:r w:rsidR="000712AC">
        <w:rPr>
          <w:u w:val="none"/>
        </w:rPr>
        <w:t xml:space="preserve"> anniversary</w:t>
      </w:r>
      <w:r w:rsidR="009A4DA1">
        <w:rPr>
          <w:u w:val="none"/>
        </w:rPr>
        <w:t>;</w:t>
      </w:r>
    </w:p>
    <w:p w14:paraId="50F4572A" w14:textId="4C0EBF4F" w:rsidR="008A1ED4" w:rsidRPr="00E71E7D" w:rsidRDefault="00DA036C" w:rsidP="00DA036C">
      <w:pPr>
        <w:pStyle w:val="COMParaDecision"/>
        <w:numPr>
          <w:ilvl w:val="0"/>
          <w:numId w:val="10"/>
        </w:numPr>
        <w:ind w:left="1134" w:hanging="567"/>
      </w:pPr>
      <w:r w:rsidRPr="00E71E7D">
        <w:t>Invites</w:t>
      </w:r>
      <w:r w:rsidR="008A1ED4" w:rsidRPr="00E71E7D">
        <w:rPr>
          <w:u w:val="none"/>
        </w:rPr>
        <w:t xml:space="preserve"> </w:t>
      </w:r>
      <w:r w:rsidR="000712AC">
        <w:rPr>
          <w:u w:val="none"/>
        </w:rPr>
        <w:t xml:space="preserve">States Parties and other </w:t>
      </w:r>
      <w:r w:rsidRPr="00E71E7D">
        <w:rPr>
          <w:u w:val="none"/>
        </w:rPr>
        <w:t>stakeholders of the Convention</w:t>
      </w:r>
      <w:r w:rsidR="000712AC">
        <w:rPr>
          <w:u w:val="none"/>
        </w:rPr>
        <w:t xml:space="preserve"> </w:t>
      </w:r>
      <w:r w:rsidRPr="00E71E7D">
        <w:rPr>
          <w:u w:val="none"/>
        </w:rPr>
        <w:t xml:space="preserve">to provide financial support </w:t>
      </w:r>
      <w:r w:rsidR="00D3329A" w:rsidRPr="00E71E7D">
        <w:rPr>
          <w:u w:val="none"/>
        </w:rPr>
        <w:t>for</w:t>
      </w:r>
      <w:r w:rsidRPr="00E71E7D">
        <w:rPr>
          <w:u w:val="none"/>
        </w:rPr>
        <w:t xml:space="preserve"> the anniversary </w:t>
      </w:r>
      <w:r w:rsidR="00EF1201" w:rsidRPr="00E71E7D">
        <w:rPr>
          <w:u w:val="none"/>
        </w:rPr>
        <w:t>celebration</w:t>
      </w:r>
      <w:r w:rsidR="00D3329A" w:rsidRPr="00E71E7D">
        <w:rPr>
          <w:u w:val="none"/>
        </w:rPr>
        <w:t>s</w:t>
      </w:r>
      <w:r w:rsidR="00EF1201" w:rsidRPr="00E71E7D">
        <w:rPr>
          <w:u w:val="none"/>
        </w:rPr>
        <w:t xml:space="preserve"> </w:t>
      </w:r>
      <w:r w:rsidRPr="00E71E7D">
        <w:rPr>
          <w:u w:val="none"/>
        </w:rPr>
        <w:t>with the modality of their choice</w:t>
      </w:r>
      <w:r w:rsidR="000D6EAF" w:rsidRPr="00E71E7D">
        <w:rPr>
          <w:u w:val="none"/>
        </w:rPr>
        <w:t>;</w:t>
      </w:r>
    </w:p>
    <w:p w14:paraId="5109E9A6" w14:textId="51C7669D" w:rsidR="00502D44" w:rsidRPr="00E71E7D" w:rsidRDefault="00EF1201" w:rsidP="008A1ED4">
      <w:pPr>
        <w:pStyle w:val="COMParaDecision"/>
        <w:numPr>
          <w:ilvl w:val="0"/>
          <w:numId w:val="10"/>
        </w:numPr>
        <w:ind w:left="1134" w:hanging="567"/>
        <w:jc w:val="left"/>
        <w:rPr>
          <w:u w:val="none"/>
        </w:rPr>
      </w:pPr>
      <w:r w:rsidRPr="00E71E7D">
        <w:t>Encourages</w:t>
      </w:r>
      <w:r w:rsidRPr="00E71E7D">
        <w:rPr>
          <w:u w:val="none"/>
        </w:rPr>
        <w:t xml:space="preserve"> States Parties </w:t>
      </w:r>
      <w:r w:rsidR="002D13AD" w:rsidRPr="00E71E7D">
        <w:rPr>
          <w:u w:val="none"/>
        </w:rPr>
        <w:t xml:space="preserve">and other stakeholders </w:t>
      </w:r>
      <w:r w:rsidRPr="00E71E7D">
        <w:rPr>
          <w:u w:val="none"/>
        </w:rPr>
        <w:t xml:space="preserve">to </w:t>
      </w:r>
      <w:r w:rsidR="000D6EAF" w:rsidRPr="00E71E7D">
        <w:rPr>
          <w:u w:val="none"/>
        </w:rPr>
        <w:t xml:space="preserve">join </w:t>
      </w:r>
      <w:r w:rsidR="002D13AD" w:rsidRPr="00E71E7D">
        <w:rPr>
          <w:u w:val="none"/>
        </w:rPr>
        <w:t xml:space="preserve">the celebration by </w:t>
      </w:r>
      <w:r w:rsidR="000D6EAF" w:rsidRPr="00E71E7D">
        <w:rPr>
          <w:u w:val="none"/>
        </w:rPr>
        <w:t>organiz</w:t>
      </w:r>
      <w:r w:rsidR="002D13AD" w:rsidRPr="00E71E7D">
        <w:rPr>
          <w:u w:val="none"/>
        </w:rPr>
        <w:t>ing</w:t>
      </w:r>
      <w:r w:rsidR="000D6EAF" w:rsidRPr="00E71E7D">
        <w:rPr>
          <w:u w:val="none"/>
        </w:rPr>
        <w:t xml:space="preserve"> national events and activities</w:t>
      </w:r>
      <w:r w:rsidR="002D13AD" w:rsidRPr="00E71E7D">
        <w:rPr>
          <w:u w:val="none"/>
        </w:rPr>
        <w:t xml:space="preserve"> to promote the objectives of the Convention</w:t>
      </w:r>
      <w:r w:rsidR="002A3544">
        <w:rPr>
          <w:u w:val="none"/>
        </w:rPr>
        <w:t>,</w:t>
      </w:r>
      <w:r w:rsidR="00D3329A" w:rsidRPr="00E71E7D">
        <w:rPr>
          <w:u w:val="none"/>
        </w:rPr>
        <w:t xml:space="preserve"> take </w:t>
      </w:r>
      <w:r w:rsidR="002D13AD" w:rsidRPr="00E71E7D">
        <w:rPr>
          <w:u w:val="none"/>
        </w:rPr>
        <w:t>stock of past achievements and explor</w:t>
      </w:r>
      <w:r w:rsidR="00D3329A" w:rsidRPr="00E71E7D">
        <w:rPr>
          <w:u w:val="none"/>
        </w:rPr>
        <w:t>e</w:t>
      </w:r>
      <w:r w:rsidR="002D13AD" w:rsidRPr="00E71E7D">
        <w:rPr>
          <w:u w:val="none"/>
        </w:rPr>
        <w:t xml:space="preserve"> </w:t>
      </w:r>
      <w:r w:rsidR="002A3544">
        <w:rPr>
          <w:u w:val="none"/>
        </w:rPr>
        <w:t>the Convention’s</w:t>
      </w:r>
      <w:r w:rsidR="002A3544" w:rsidRPr="00E71E7D">
        <w:rPr>
          <w:u w:val="none"/>
        </w:rPr>
        <w:t xml:space="preserve"> </w:t>
      </w:r>
      <w:r w:rsidR="002D13AD" w:rsidRPr="00E71E7D">
        <w:rPr>
          <w:u w:val="none"/>
        </w:rPr>
        <w:t>further development</w:t>
      </w:r>
      <w:r w:rsidR="000D6EAF" w:rsidRPr="00E71E7D">
        <w:rPr>
          <w:u w:val="none"/>
        </w:rPr>
        <w:t>;</w:t>
      </w:r>
    </w:p>
    <w:p w14:paraId="71A5D957" w14:textId="097F77A2" w:rsidR="00EE343E" w:rsidRPr="00E71E7D" w:rsidRDefault="00EE343E" w:rsidP="00055C72">
      <w:pPr>
        <w:pStyle w:val="COMParaDecision"/>
        <w:numPr>
          <w:ilvl w:val="0"/>
          <w:numId w:val="10"/>
        </w:numPr>
        <w:ind w:left="1134" w:hanging="567"/>
        <w:rPr>
          <w:u w:val="none"/>
        </w:rPr>
      </w:pPr>
      <w:r w:rsidRPr="00E71E7D">
        <w:lastRenderedPageBreak/>
        <w:t>Requests</w:t>
      </w:r>
      <w:r w:rsidRPr="00E71E7D">
        <w:rPr>
          <w:u w:val="none"/>
        </w:rPr>
        <w:t xml:space="preserve"> that the Secretariat report on the outcomes of the </w:t>
      </w:r>
      <w:r w:rsidR="00D3329A" w:rsidRPr="00E71E7D">
        <w:rPr>
          <w:u w:val="none"/>
        </w:rPr>
        <w:t xml:space="preserve">celebration of the </w:t>
      </w:r>
      <w:r w:rsidRPr="00E71E7D">
        <w:rPr>
          <w:u w:val="none"/>
        </w:rPr>
        <w:t>twentieth anniversary of the Convention for examination by the tenth session of the General Assembly</w:t>
      </w:r>
      <w:r w:rsidR="009A4DA1">
        <w:rPr>
          <w:u w:val="none"/>
        </w:rPr>
        <w:t xml:space="preserve"> in 2024</w:t>
      </w:r>
      <w:r w:rsidRPr="00E71E7D">
        <w:rPr>
          <w:u w:val="none"/>
        </w:rPr>
        <w:t>.</w:t>
      </w:r>
    </w:p>
    <w:sectPr w:rsidR="00EE343E" w:rsidRPr="00E71E7D" w:rsidSect="00176720">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C5DF5" w14:textId="77777777" w:rsidR="0013319A" w:rsidRDefault="0013319A" w:rsidP="00655736">
      <w:r>
        <w:separator/>
      </w:r>
    </w:p>
  </w:endnote>
  <w:endnote w:type="continuationSeparator" w:id="0">
    <w:p w14:paraId="18E8513E" w14:textId="77777777" w:rsidR="0013319A" w:rsidRDefault="0013319A"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98921" w14:textId="77777777" w:rsidR="0013319A" w:rsidRDefault="0013319A" w:rsidP="00655736">
      <w:r>
        <w:separator/>
      </w:r>
    </w:p>
  </w:footnote>
  <w:footnote w:type="continuationSeparator" w:id="0">
    <w:p w14:paraId="786A8526" w14:textId="77777777" w:rsidR="0013319A" w:rsidRDefault="0013319A"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D5F8" w14:textId="0B5A6F7D" w:rsidR="00D95C4C" w:rsidRPr="00C23A97" w:rsidRDefault="006F41B4">
    <w:pPr>
      <w:pStyle w:val="En-tte"/>
      <w:rPr>
        <w:rFonts w:ascii="Arial" w:hAnsi="Arial" w:cs="Arial"/>
        <w:lang w:val="en-GB"/>
      </w:rPr>
    </w:pPr>
    <w:r>
      <w:rPr>
        <w:rFonts w:ascii="Arial" w:hAnsi="Arial" w:cs="Arial"/>
        <w:sz w:val="20"/>
        <w:szCs w:val="20"/>
        <w:lang w:val="en-GB"/>
      </w:rPr>
      <w:t>LHE</w:t>
    </w:r>
    <w:r w:rsidR="00763A0D">
      <w:rPr>
        <w:rFonts w:ascii="Arial" w:hAnsi="Arial" w:cs="Arial"/>
        <w:sz w:val="20"/>
        <w:szCs w:val="20"/>
        <w:lang w:val="en-GB"/>
      </w:rPr>
      <w:t>/</w:t>
    </w:r>
    <w:r>
      <w:rPr>
        <w:rFonts w:ascii="Arial" w:hAnsi="Arial" w:cs="Arial"/>
        <w:sz w:val="20"/>
        <w:szCs w:val="20"/>
        <w:lang w:val="en-GB"/>
      </w:rPr>
      <w:t>2</w:t>
    </w:r>
    <w:r w:rsidR="003265D0">
      <w:rPr>
        <w:rFonts w:ascii="Arial" w:hAnsi="Arial" w:cs="Arial"/>
        <w:sz w:val="20"/>
        <w:szCs w:val="20"/>
        <w:lang w:val="en-GB"/>
      </w:rPr>
      <w:t>2</w:t>
    </w:r>
    <w:r w:rsidR="00763A0D">
      <w:rPr>
        <w:rFonts w:ascii="Arial" w:hAnsi="Arial" w:cs="Arial"/>
        <w:sz w:val="20"/>
        <w:szCs w:val="20"/>
        <w:lang w:val="en-GB"/>
      </w:rPr>
      <w:t>/</w:t>
    </w:r>
    <w:r w:rsidR="003265D0">
      <w:rPr>
        <w:rFonts w:ascii="Arial" w:hAnsi="Arial" w:cs="Arial"/>
        <w:sz w:val="20"/>
        <w:szCs w:val="20"/>
        <w:lang w:val="en-GB"/>
      </w:rPr>
      <w:t>9</w:t>
    </w:r>
    <w:r w:rsidR="00BB04AF" w:rsidRPr="00C23A97">
      <w:rPr>
        <w:rFonts w:ascii="Arial" w:hAnsi="Arial" w:cs="Arial"/>
        <w:sz w:val="20"/>
        <w:szCs w:val="20"/>
        <w:lang w:val="en-GB"/>
      </w:rPr>
      <w:t>.GA</w:t>
    </w:r>
    <w:r w:rsidR="00D95C4C" w:rsidRPr="00C23A97">
      <w:rPr>
        <w:rFonts w:ascii="Arial" w:hAnsi="Arial" w:cs="Arial"/>
        <w:sz w:val="20"/>
        <w:szCs w:val="20"/>
        <w:lang w:val="en-GB"/>
      </w:rPr>
      <w:t>/</w:t>
    </w:r>
    <w:r w:rsidR="00091778">
      <w:rPr>
        <w:rFonts w:ascii="Arial" w:hAnsi="Arial" w:cs="Arial"/>
        <w:sz w:val="20"/>
        <w:szCs w:val="20"/>
        <w:lang w:val="en-GB"/>
      </w:rPr>
      <w:t>13</w:t>
    </w:r>
    <w:r w:rsidR="00D95C4C" w:rsidRPr="00C23A97">
      <w:rPr>
        <w:rFonts w:ascii="Arial" w:hAnsi="Arial" w:cs="Arial"/>
        <w:sz w:val="20"/>
        <w:szCs w:val="20"/>
        <w:lang w:val="en-GB"/>
      </w:rPr>
      <w:t xml:space="preserve"> – page </w:t>
    </w:r>
    <w:r w:rsidR="00D95C4C" w:rsidRPr="00C23A97">
      <w:rPr>
        <w:rStyle w:val="Numrodepage"/>
        <w:rFonts w:ascii="Arial" w:hAnsi="Arial" w:cs="Arial"/>
        <w:sz w:val="20"/>
        <w:szCs w:val="20"/>
        <w:lang w:val="en-GB"/>
      </w:rPr>
      <w:fldChar w:fldCharType="begin"/>
    </w:r>
    <w:r w:rsidR="00D95C4C" w:rsidRPr="00C23A97">
      <w:rPr>
        <w:rStyle w:val="Numrodepage"/>
        <w:rFonts w:ascii="Arial" w:hAnsi="Arial" w:cs="Arial"/>
        <w:sz w:val="20"/>
        <w:szCs w:val="20"/>
        <w:lang w:val="en-GB"/>
      </w:rPr>
      <w:instrText xml:space="preserve"> PAGE </w:instrText>
    </w:r>
    <w:r w:rsidR="00D95C4C" w:rsidRPr="00C23A97">
      <w:rPr>
        <w:rStyle w:val="Numrodepage"/>
        <w:rFonts w:ascii="Arial" w:hAnsi="Arial" w:cs="Arial"/>
        <w:sz w:val="20"/>
        <w:szCs w:val="20"/>
        <w:lang w:val="en-GB"/>
      </w:rPr>
      <w:fldChar w:fldCharType="separate"/>
    </w:r>
    <w:r w:rsidR="00F010E0">
      <w:rPr>
        <w:rStyle w:val="Numrodepage"/>
        <w:rFonts w:ascii="Arial" w:hAnsi="Arial" w:cs="Arial"/>
        <w:noProof/>
        <w:sz w:val="20"/>
        <w:szCs w:val="20"/>
        <w:lang w:val="en-GB"/>
      </w:rPr>
      <w:t>2</w:t>
    </w:r>
    <w:r w:rsidR="00D95C4C"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3C2" w14:textId="71BC3D82" w:rsidR="00D95C4C" w:rsidRPr="0063300C" w:rsidRDefault="00502D44" w:rsidP="0063300C">
    <w:pPr>
      <w:pStyle w:val="En-tte"/>
      <w:jc w:val="right"/>
      <w:rPr>
        <w:rFonts w:ascii="Arial" w:hAnsi="Arial" w:cs="Arial"/>
        <w:lang w:val="en-GB"/>
      </w:rPr>
    </w:pPr>
    <w:r>
      <w:rPr>
        <w:rFonts w:ascii="Arial" w:hAnsi="Arial" w:cs="Arial"/>
        <w:sz w:val="20"/>
        <w:szCs w:val="20"/>
      </w:rPr>
      <w:t>LHE/22/9.GA/</w:t>
    </w:r>
    <w:r w:rsidR="00E37E12">
      <w:rPr>
        <w:rFonts w:ascii="Arial" w:hAnsi="Arial" w:cs="Arial"/>
        <w:sz w:val="20"/>
        <w:szCs w:val="20"/>
      </w:rPr>
      <w:t>13</w:t>
    </w:r>
    <w:r w:rsidR="004A34A0" w:rsidRPr="0063300C">
      <w:rPr>
        <w:rFonts w:ascii="Arial" w:hAnsi="Arial" w:cs="Arial"/>
        <w:sz w:val="20"/>
        <w:szCs w:val="20"/>
        <w:lang w:val="en-GB"/>
      </w:rPr>
      <w:t xml:space="preserve"> – page </w:t>
    </w:r>
    <w:r w:rsidR="004A34A0" w:rsidRPr="0063300C">
      <w:rPr>
        <w:rStyle w:val="Numrodepage"/>
        <w:rFonts w:ascii="Arial" w:hAnsi="Arial" w:cs="Arial"/>
        <w:sz w:val="20"/>
        <w:szCs w:val="20"/>
        <w:lang w:val="en-GB"/>
      </w:rPr>
      <w:fldChar w:fldCharType="begin"/>
    </w:r>
    <w:r w:rsidR="004A34A0" w:rsidRPr="0063300C">
      <w:rPr>
        <w:rStyle w:val="Numrodepage"/>
        <w:rFonts w:ascii="Arial" w:hAnsi="Arial" w:cs="Arial"/>
        <w:sz w:val="20"/>
        <w:szCs w:val="20"/>
        <w:lang w:val="en-GB"/>
      </w:rPr>
      <w:instrText xml:space="preserve"> PAGE </w:instrText>
    </w:r>
    <w:r w:rsidR="004A34A0" w:rsidRPr="0063300C">
      <w:rPr>
        <w:rStyle w:val="Numrodepage"/>
        <w:rFonts w:ascii="Arial" w:hAnsi="Arial" w:cs="Arial"/>
        <w:sz w:val="20"/>
        <w:szCs w:val="20"/>
        <w:lang w:val="en-GB"/>
      </w:rPr>
      <w:fldChar w:fldCharType="separate"/>
    </w:r>
    <w:r w:rsidR="008A1ED4">
      <w:rPr>
        <w:rStyle w:val="Numrodepage"/>
        <w:rFonts w:ascii="Arial" w:hAnsi="Arial" w:cs="Arial"/>
        <w:noProof/>
        <w:sz w:val="20"/>
        <w:szCs w:val="20"/>
        <w:lang w:val="en-GB"/>
      </w:rPr>
      <w:t>3</w:t>
    </w:r>
    <w:r w:rsidR="004A34A0"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532A" w14:textId="6D5A29C1" w:rsidR="00D95C4C" w:rsidRPr="008724E5" w:rsidRDefault="00F46262">
    <w:pPr>
      <w:pStyle w:val="En-tte"/>
    </w:pPr>
    <w:r w:rsidRPr="00352C08">
      <w:rPr>
        <w:noProof/>
        <w:lang w:val="en-GB"/>
      </w:rPr>
      <w:drawing>
        <wp:anchor distT="0" distB="0" distL="114300" distR="114300" simplePos="0" relativeHeight="251659264" behindDoc="0" locked="0" layoutInCell="1" allowOverlap="1" wp14:anchorId="3700CBD9" wp14:editId="71A69432">
          <wp:simplePos x="0" y="0"/>
          <wp:positionH relativeFrom="column">
            <wp:posOffset>29210</wp:posOffset>
          </wp:positionH>
          <wp:positionV relativeFrom="paragraph">
            <wp:posOffset>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233C0" w14:textId="0080C653" w:rsidR="00D95C4C" w:rsidRPr="00D25762" w:rsidRDefault="003265D0" w:rsidP="00655736">
    <w:pPr>
      <w:pStyle w:val="En-tte"/>
      <w:spacing w:after="520"/>
      <w:jc w:val="right"/>
      <w:rPr>
        <w:rFonts w:ascii="Arial" w:hAnsi="Arial" w:cs="Arial"/>
        <w:b/>
        <w:sz w:val="44"/>
        <w:szCs w:val="44"/>
        <w:lang w:val="pt-PT"/>
      </w:rPr>
    </w:pPr>
    <w:r>
      <w:rPr>
        <w:rFonts w:ascii="Arial" w:hAnsi="Arial" w:cs="Arial"/>
        <w:b/>
        <w:sz w:val="44"/>
        <w:szCs w:val="44"/>
        <w:lang w:val="pt-PT"/>
      </w:rPr>
      <w:t>9</w:t>
    </w:r>
    <w:r w:rsidR="00D95C4C" w:rsidRPr="00D25762">
      <w:rPr>
        <w:rFonts w:ascii="Arial" w:hAnsi="Arial" w:cs="Arial"/>
        <w:b/>
        <w:sz w:val="44"/>
        <w:szCs w:val="44"/>
        <w:lang w:val="pt-PT"/>
      </w:rPr>
      <w:t xml:space="preserve"> GA</w:t>
    </w:r>
  </w:p>
  <w:p w14:paraId="2037F6C9" w14:textId="09C71711" w:rsidR="00D95C4C" w:rsidRPr="00D25762" w:rsidRDefault="006F41B4" w:rsidP="00655736">
    <w:pPr>
      <w:jc w:val="right"/>
      <w:rPr>
        <w:rFonts w:ascii="Arial" w:hAnsi="Arial" w:cs="Arial"/>
        <w:b/>
        <w:sz w:val="22"/>
        <w:szCs w:val="22"/>
        <w:lang w:val="pt-PT"/>
      </w:rPr>
    </w:pPr>
    <w:r w:rsidRPr="00D25762">
      <w:rPr>
        <w:rFonts w:ascii="Arial" w:hAnsi="Arial" w:cs="Arial"/>
        <w:b/>
        <w:sz w:val="22"/>
        <w:szCs w:val="22"/>
        <w:lang w:val="pt-PT"/>
      </w:rPr>
      <w:t>LHE</w:t>
    </w:r>
    <w:r w:rsidR="00C42C66" w:rsidRPr="00D25762">
      <w:rPr>
        <w:rFonts w:ascii="Arial" w:hAnsi="Arial" w:cs="Arial"/>
        <w:b/>
        <w:sz w:val="22"/>
        <w:szCs w:val="22"/>
        <w:lang w:val="pt-PT"/>
      </w:rPr>
      <w:t>/</w:t>
    </w:r>
    <w:r w:rsidRPr="00D25762">
      <w:rPr>
        <w:rFonts w:ascii="Arial" w:hAnsi="Arial" w:cs="Arial"/>
        <w:b/>
        <w:sz w:val="22"/>
        <w:szCs w:val="22"/>
        <w:lang w:val="pt-PT"/>
      </w:rPr>
      <w:t>2</w:t>
    </w:r>
    <w:r w:rsidR="003265D0">
      <w:rPr>
        <w:rFonts w:ascii="Arial" w:hAnsi="Arial" w:cs="Arial"/>
        <w:b/>
        <w:sz w:val="22"/>
        <w:szCs w:val="22"/>
        <w:lang w:val="pt-PT"/>
      </w:rPr>
      <w:t>2</w:t>
    </w:r>
    <w:r w:rsidR="00D95C4C" w:rsidRPr="00D25762">
      <w:rPr>
        <w:rFonts w:ascii="Arial" w:hAnsi="Arial" w:cs="Arial"/>
        <w:b/>
        <w:sz w:val="22"/>
        <w:szCs w:val="22"/>
        <w:lang w:val="pt-PT"/>
      </w:rPr>
      <w:t>/</w:t>
    </w:r>
    <w:r w:rsidR="003265D0">
      <w:rPr>
        <w:rFonts w:ascii="Arial" w:hAnsi="Arial" w:cs="Arial"/>
        <w:b/>
        <w:sz w:val="22"/>
        <w:szCs w:val="22"/>
        <w:lang w:val="pt-PT"/>
      </w:rPr>
      <w:t>9.</w:t>
    </w:r>
    <w:r w:rsidR="00BB04AF" w:rsidRPr="00D25762">
      <w:rPr>
        <w:rFonts w:ascii="Arial" w:hAnsi="Arial" w:cs="Arial"/>
        <w:b/>
        <w:sz w:val="22"/>
        <w:szCs w:val="22"/>
        <w:lang w:val="pt-PT"/>
      </w:rPr>
      <w:t>GA</w:t>
    </w:r>
    <w:r w:rsidR="00D95C4C" w:rsidRPr="00D25762">
      <w:rPr>
        <w:rFonts w:ascii="Arial" w:hAnsi="Arial" w:cs="Arial"/>
        <w:b/>
        <w:sz w:val="22"/>
        <w:szCs w:val="22"/>
        <w:lang w:val="pt-PT"/>
      </w:rPr>
      <w:t>/</w:t>
    </w:r>
    <w:r w:rsidR="00E37E12">
      <w:rPr>
        <w:rFonts w:ascii="Arial" w:hAnsi="Arial" w:cs="Arial"/>
        <w:b/>
        <w:sz w:val="22"/>
        <w:szCs w:val="22"/>
        <w:lang w:val="pt-PT"/>
      </w:rPr>
      <w:t>13</w:t>
    </w:r>
  </w:p>
  <w:p w14:paraId="1E03530A" w14:textId="037F9370" w:rsidR="00D95C4C" w:rsidRPr="00D25762" w:rsidRDefault="00D95C4C" w:rsidP="00655736">
    <w:pPr>
      <w:jc w:val="right"/>
      <w:rPr>
        <w:rFonts w:ascii="Arial" w:hAnsi="Arial" w:cs="Arial"/>
        <w:b/>
        <w:sz w:val="22"/>
        <w:szCs w:val="22"/>
        <w:lang w:val="pt-PT"/>
      </w:rPr>
    </w:pPr>
    <w:r w:rsidRPr="00D25762">
      <w:rPr>
        <w:rFonts w:ascii="Arial" w:hAnsi="Arial" w:cs="Arial"/>
        <w:b/>
        <w:sz w:val="22"/>
        <w:szCs w:val="22"/>
        <w:lang w:val="pt-PT"/>
      </w:rPr>
      <w:t xml:space="preserve">Paris, </w:t>
    </w:r>
    <w:r w:rsidR="00EA761A">
      <w:rPr>
        <w:rFonts w:ascii="Arial" w:hAnsi="Arial" w:cs="Arial"/>
        <w:b/>
        <w:sz w:val="22"/>
        <w:szCs w:val="22"/>
        <w:lang w:val="pt-PT"/>
      </w:rPr>
      <w:t xml:space="preserve">26 </w:t>
    </w:r>
    <w:r w:rsidR="00E37E12">
      <w:rPr>
        <w:rFonts w:ascii="Arial" w:hAnsi="Arial" w:cs="Arial"/>
        <w:b/>
        <w:sz w:val="22"/>
        <w:szCs w:val="22"/>
        <w:lang w:val="pt-PT"/>
      </w:rPr>
      <w:t>June</w:t>
    </w:r>
    <w:r w:rsidRPr="00D25762">
      <w:rPr>
        <w:rFonts w:ascii="Arial" w:hAnsi="Arial" w:cs="Arial"/>
        <w:b/>
        <w:sz w:val="22"/>
        <w:szCs w:val="22"/>
        <w:lang w:val="pt-PT"/>
      </w:rPr>
      <w:t xml:space="preserve"> </w:t>
    </w:r>
    <w:r w:rsidR="006F41B4" w:rsidRPr="00D25762">
      <w:rPr>
        <w:rFonts w:ascii="Arial" w:hAnsi="Arial" w:cs="Arial"/>
        <w:b/>
        <w:sz w:val="22"/>
        <w:szCs w:val="22"/>
        <w:lang w:val="pt-PT"/>
      </w:rPr>
      <w:t>202</w:t>
    </w:r>
    <w:r w:rsidR="003265D0">
      <w:rPr>
        <w:rFonts w:ascii="Arial" w:hAnsi="Arial" w:cs="Arial"/>
        <w:b/>
        <w:sz w:val="22"/>
        <w:szCs w:val="22"/>
        <w:lang w:val="pt-PT"/>
      </w:rPr>
      <w:t>2</w:t>
    </w:r>
  </w:p>
  <w:p w14:paraId="7FB1132E" w14:textId="6DD1B7DC" w:rsidR="00540FE0" w:rsidRPr="00E37E12" w:rsidRDefault="00D95C4C" w:rsidP="00EA761A">
    <w:pPr>
      <w:jc w:val="right"/>
      <w:rPr>
        <w:lang w:val="es-ES"/>
      </w:rPr>
    </w:pPr>
    <w:r w:rsidRPr="00E37E12">
      <w:rPr>
        <w:rFonts w:ascii="Arial" w:hAnsi="Arial" w:cs="Arial"/>
        <w:b/>
        <w:sz w:val="22"/>
        <w:szCs w:val="22"/>
        <w:lang w:val="es-ES"/>
      </w:rPr>
      <w:t xml:space="preserve">Original: </w:t>
    </w:r>
    <w:r w:rsidR="00E37E12" w:rsidRPr="00E37E12">
      <w:rPr>
        <w:rFonts w:ascii="Arial" w:hAnsi="Arial" w:cs="Arial"/>
        <w:b/>
        <w:sz w:val="22"/>
        <w:szCs w:val="22"/>
        <w:lang w:val="es-ES"/>
      </w:rPr>
      <w:t>E</w:t>
    </w:r>
    <w:r w:rsidR="00E37E12">
      <w:rPr>
        <w:rFonts w:ascii="Arial" w:hAnsi="Arial" w:cs="Arial"/>
        <w:b/>
        <w:sz w:val="22"/>
        <w:szCs w:val="22"/>
        <w:lang w:val="es-ES"/>
      </w:rPr>
      <w:t>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1B03C72"/>
    <w:multiLevelType w:val="hybridMultilevel"/>
    <w:tmpl w:val="3AD43A9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1B401E05"/>
    <w:multiLevelType w:val="hybridMultilevel"/>
    <w:tmpl w:val="55563DA0"/>
    <w:lvl w:ilvl="0" w:tplc="86807812">
      <w:start w:val="1"/>
      <w:numFmt w:val="decimal"/>
      <w:lvlText w:val="%1."/>
      <w:lvlJc w:val="left"/>
      <w:pPr>
        <w:ind w:left="1080" w:hanging="360"/>
      </w:pPr>
      <w:rPr>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1"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4BEB3ACA"/>
    <w:multiLevelType w:val="hybridMultilevel"/>
    <w:tmpl w:val="A00EAB76"/>
    <w:lvl w:ilvl="0" w:tplc="343C584A">
      <w:numFmt w:val="bullet"/>
      <w:lvlText w:val="-"/>
      <w:lvlJc w:val="left"/>
      <w:pPr>
        <w:ind w:left="720" w:hanging="360"/>
      </w:pPr>
      <w:rPr>
        <w:rFonts w:ascii="Arial" w:eastAsia="DengXi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7"/>
  </w:num>
  <w:num w:numId="3">
    <w:abstractNumId w:val="4"/>
  </w:num>
  <w:num w:numId="4">
    <w:abstractNumId w:val="18"/>
  </w:num>
  <w:num w:numId="5">
    <w:abstractNumId w:val="16"/>
  </w:num>
  <w:num w:numId="6">
    <w:abstractNumId w:val="1"/>
  </w:num>
  <w:num w:numId="7">
    <w:abstractNumId w:val="5"/>
  </w:num>
  <w:num w:numId="8">
    <w:abstractNumId w:val="11"/>
  </w:num>
  <w:num w:numId="9">
    <w:abstractNumId w:val="6"/>
  </w:num>
  <w:num w:numId="10">
    <w:abstractNumId w:val="8"/>
  </w:num>
  <w:num w:numId="11">
    <w:abstractNumId w:val="10"/>
  </w:num>
  <w:num w:numId="12">
    <w:abstractNumId w:val="9"/>
  </w:num>
  <w:num w:numId="13">
    <w:abstractNumId w:val="17"/>
  </w:num>
  <w:num w:numId="14">
    <w:abstractNumId w:val="13"/>
  </w:num>
  <w:num w:numId="15">
    <w:abstractNumId w:val="14"/>
  </w:num>
  <w:num w:numId="16">
    <w:abstractNumId w:val="8"/>
  </w:num>
  <w:num w:numId="17">
    <w:abstractNumId w:val="8"/>
  </w:num>
  <w:num w:numId="18">
    <w:abstractNumId w:val="8"/>
  </w:num>
  <w:num w:numId="19">
    <w:abstractNumId w:val="0"/>
  </w:num>
  <w:num w:numId="20">
    <w:abstractNumId w:val="2"/>
  </w:num>
  <w:num w:numId="21">
    <w:abstractNumId w:val="6"/>
  </w:num>
  <w:num w:numId="22">
    <w:abstractNumId w:val="6"/>
  </w:num>
  <w:num w:numId="23">
    <w:abstractNumId w:val="6"/>
  </w:num>
  <w:num w:numId="24">
    <w:abstractNumId w:val="3"/>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2943"/>
    <w:rsid w:val="000048ED"/>
    <w:rsid w:val="00030DAF"/>
    <w:rsid w:val="00041A66"/>
    <w:rsid w:val="00051677"/>
    <w:rsid w:val="0005176E"/>
    <w:rsid w:val="00055C72"/>
    <w:rsid w:val="00061C95"/>
    <w:rsid w:val="00063D7B"/>
    <w:rsid w:val="000712AC"/>
    <w:rsid w:val="000765F7"/>
    <w:rsid w:val="00077AB7"/>
    <w:rsid w:val="00081CD8"/>
    <w:rsid w:val="00091778"/>
    <w:rsid w:val="0009186E"/>
    <w:rsid w:val="00093E42"/>
    <w:rsid w:val="000A1D28"/>
    <w:rsid w:val="000A7F0E"/>
    <w:rsid w:val="000B44BA"/>
    <w:rsid w:val="000B60D0"/>
    <w:rsid w:val="000B6C0E"/>
    <w:rsid w:val="000B77D6"/>
    <w:rsid w:val="000C0D61"/>
    <w:rsid w:val="000C566C"/>
    <w:rsid w:val="000D6EAF"/>
    <w:rsid w:val="000F3A3F"/>
    <w:rsid w:val="000F5115"/>
    <w:rsid w:val="00102557"/>
    <w:rsid w:val="0011498C"/>
    <w:rsid w:val="0013319A"/>
    <w:rsid w:val="0014734C"/>
    <w:rsid w:val="00164D56"/>
    <w:rsid w:val="00167B10"/>
    <w:rsid w:val="0017402F"/>
    <w:rsid w:val="00176720"/>
    <w:rsid w:val="0018778A"/>
    <w:rsid w:val="001902D3"/>
    <w:rsid w:val="00190870"/>
    <w:rsid w:val="00191ADC"/>
    <w:rsid w:val="00196C1B"/>
    <w:rsid w:val="001A49E4"/>
    <w:rsid w:val="001B0F73"/>
    <w:rsid w:val="001C7007"/>
    <w:rsid w:val="001D3D34"/>
    <w:rsid w:val="001D5C04"/>
    <w:rsid w:val="001E400E"/>
    <w:rsid w:val="001F02A9"/>
    <w:rsid w:val="001F41FC"/>
    <w:rsid w:val="00207839"/>
    <w:rsid w:val="00222A2D"/>
    <w:rsid w:val="00223029"/>
    <w:rsid w:val="00223D6E"/>
    <w:rsid w:val="00224FA5"/>
    <w:rsid w:val="00234745"/>
    <w:rsid w:val="00235569"/>
    <w:rsid w:val="002407AF"/>
    <w:rsid w:val="00241C18"/>
    <w:rsid w:val="00244D59"/>
    <w:rsid w:val="002757E3"/>
    <w:rsid w:val="002A3544"/>
    <w:rsid w:val="002B54C1"/>
    <w:rsid w:val="002C09E3"/>
    <w:rsid w:val="002C2DF3"/>
    <w:rsid w:val="002C4D46"/>
    <w:rsid w:val="002C5BF4"/>
    <w:rsid w:val="002D13AD"/>
    <w:rsid w:val="002F312A"/>
    <w:rsid w:val="003051FE"/>
    <w:rsid w:val="00325648"/>
    <w:rsid w:val="003265D0"/>
    <w:rsid w:val="00334D54"/>
    <w:rsid w:val="00345CB4"/>
    <w:rsid w:val="003549B8"/>
    <w:rsid w:val="00367541"/>
    <w:rsid w:val="003927DE"/>
    <w:rsid w:val="003B4B00"/>
    <w:rsid w:val="003C2A0C"/>
    <w:rsid w:val="003D069C"/>
    <w:rsid w:val="003D33E7"/>
    <w:rsid w:val="003D4E9D"/>
    <w:rsid w:val="003D7646"/>
    <w:rsid w:val="003E7A5F"/>
    <w:rsid w:val="003F113A"/>
    <w:rsid w:val="004136C1"/>
    <w:rsid w:val="00414643"/>
    <w:rsid w:val="004227A6"/>
    <w:rsid w:val="004421E5"/>
    <w:rsid w:val="004445CF"/>
    <w:rsid w:val="00451753"/>
    <w:rsid w:val="0045181E"/>
    <w:rsid w:val="00451B20"/>
    <w:rsid w:val="00452284"/>
    <w:rsid w:val="004856CA"/>
    <w:rsid w:val="00487BF1"/>
    <w:rsid w:val="0049705E"/>
    <w:rsid w:val="004A34A0"/>
    <w:rsid w:val="004A604B"/>
    <w:rsid w:val="004C26A9"/>
    <w:rsid w:val="004D0FBC"/>
    <w:rsid w:val="004E68D9"/>
    <w:rsid w:val="004E70AA"/>
    <w:rsid w:val="004F3299"/>
    <w:rsid w:val="00502B22"/>
    <w:rsid w:val="00502D44"/>
    <w:rsid w:val="00526B7B"/>
    <w:rsid w:val="005308CE"/>
    <w:rsid w:val="00540FE0"/>
    <w:rsid w:val="00547EFD"/>
    <w:rsid w:val="0055154B"/>
    <w:rsid w:val="00554883"/>
    <w:rsid w:val="00567A81"/>
    <w:rsid w:val="0057439C"/>
    <w:rsid w:val="00580927"/>
    <w:rsid w:val="005A66AD"/>
    <w:rsid w:val="005B0127"/>
    <w:rsid w:val="005B2055"/>
    <w:rsid w:val="005B58CE"/>
    <w:rsid w:val="005B7A35"/>
    <w:rsid w:val="005C4B73"/>
    <w:rsid w:val="005E1CD0"/>
    <w:rsid w:val="005E1D2B"/>
    <w:rsid w:val="00600D93"/>
    <w:rsid w:val="0063300C"/>
    <w:rsid w:val="0065097D"/>
    <w:rsid w:val="00655736"/>
    <w:rsid w:val="006572C5"/>
    <w:rsid w:val="00663B8D"/>
    <w:rsid w:val="00696C8D"/>
    <w:rsid w:val="006A2AC2"/>
    <w:rsid w:val="006A3617"/>
    <w:rsid w:val="006B2F66"/>
    <w:rsid w:val="006B40AD"/>
    <w:rsid w:val="006E159A"/>
    <w:rsid w:val="006E1656"/>
    <w:rsid w:val="006E46E4"/>
    <w:rsid w:val="006F41B4"/>
    <w:rsid w:val="00703FBF"/>
    <w:rsid w:val="00717DA5"/>
    <w:rsid w:val="007210E9"/>
    <w:rsid w:val="007215CD"/>
    <w:rsid w:val="00730141"/>
    <w:rsid w:val="00731C8A"/>
    <w:rsid w:val="00742606"/>
    <w:rsid w:val="00744484"/>
    <w:rsid w:val="0074648D"/>
    <w:rsid w:val="00763A0D"/>
    <w:rsid w:val="00773188"/>
    <w:rsid w:val="007815EE"/>
    <w:rsid w:val="00783782"/>
    <w:rsid w:val="00784B8C"/>
    <w:rsid w:val="0079127D"/>
    <w:rsid w:val="007C0810"/>
    <w:rsid w:val="007C2FBC"/>
    <w:rsid w:val="007C3929"/>
    <w:rsid w:val="007F2D65"/>
    <w:rsid w:val="0082310E"/>
    <w:rsid w:val="00823A11"/>
    <w:rsid w:val="00830204"/>
    <w:rsid w:val="00845045"/>
    <w:rsid w:val="00852866"/>
    <w:rsid w:val="0085414A"/>
    <w:rsid w:val="0086269D"/>
    <w:rsid w:val="0086543A"/>
    <w:rsid w:val="00870170"/>
    <w:rsid w:val="008716D7"/>
    <w:rsid w:val="008724E5"/>
    <w:rsid w:val="0087694F"/>
    <w:rsid w:val="0088252C"/>
    <w:rsid w:val="00884A9D"/>
    <w:rsid w:val="0088512B"/>
    <w:rsid w:val="008948AA"/>
    <w:rsid w:val="008A1573"/>
    <w:rsid w:val="008A1ED4"/>
    <w:rsid w:val="008A2B2D"/>
    <w:rsid w:val="008A4E1E"/>
    <w:rsid w:val="008C296C"/>
    <w:rsid w:val="008D4305"/>
    <w:rsid w:val="009163A7"/>
    <w:rsid w:val="00934E06"/>
    <w:rsid w:val="00940EBB"/>
    <w:rsid w:val="00946D0B"/>
    <w:rsid w:val="00947CA2"/>
    <w:rsid w:val="00970F33"/>
    <w:rsid w:val="00992591"/>
    <w:rsid w:val="00997021"/>
    <w:rsid w:val="009A18CD"/>
    <w:rsid w:val="009A4DA1"/>
    <w:rsid w:val="009B1730"/>
    <w:rsid w:val="009C5923"/>
    <w:rsid w:val="009D0A36"/>
    <w:rsid w:val="009D27E3"/>
    <w:rsid w:val="009D2F2A"/>
    <w:rsid w:val="009F2827"/>
    <w:rsid w:val="009F33D8"/>
    <w:rsid w:val="009F3D88"/>
    <w:rsid w:val="00A018E9"/>
    <w:rsid w:val="00A074AA"/>
    <w:rsid w:val="00A12558"/>
    <w:rsid w:val="00A13903"/>
    <w:rsid w:val="00A22054"/>
    <w:rsid w:val="00A24140"/>
    <w:rsid w:val="00A32E1D"/>
    <w:rsid w:val="00A34ED5"/>
    <w:rsid w:val="00A42170"/>
    <w:rsid w:val="00A45DBF"/>
    <w:rsid w:val="00A53B1B"/>
    <w:rsid w:val="00A5411C"/>
    <w:rsid w:val="00A645DF"/>
    <w:rsid w:val="00A65C29"/>
    <w:rsid w:val="00A755A2"/>
    <w:rsid w:val="00A86047"/>
    <w:rsid w:val="00A9535B"/>
    <w:rsid w:val="00AA6660"/>
    <w:rsid w:val="00AB2C36"/>
    <w:rsid w:val="00AB70B6"/>
    <w:rsid w:val="00AD1A86"/>
    <w:rsid w:val="00AD516E"/>
    <w:rsid w:val="00AE103E"/>
    <w:rsid w:val="00AE12BD"/>
    <w:rsid w:val="00AE49FA"/>
    <w:rsid w:val="00AF0A07"/>
    <w:rsid w:val="00AF4AEC"/>
    <w:rsid w:val="00AF625E"/>
    <w:rsid w:val="00B0084E"/>
    <w:rsid w:val="00B05FF8"/>
    <w:rsid w:val="00B1157C"/>
    <w:rsid w:val="00B21F4A"/>
    <w:rsid w:val="00B2422F"/>
    <w:rsid w:val="00B44007"/>
    <w:rsid w:val="00B57B71"/>
    <w:rsid w:val="00B7642B"/>
    <w:rsid w:val="00B96B09"/>
    <w:rsid w:val="00BA17EF"/>
    <w:rsid w:val="00BB04AF"/>
    <w:rsid w:val="00BB74C8"/>
    <w:rsid w:val="00BC56E3"/>
    <w:rsid w:val="00BD1952"/>
    <w:rsid w:val="00BD52C9"/>
    <w:rsid w:val="00BE4A58"/>
    <w:rsid w:val="00BE6354"/>
    <w:rsid w:val="00C1515B"/>
    <w:rsid w:val="00C17A0B"/>
    <w:rsid w:val="00C22A26"/>
    <w:rsid w:val="00C22CA5"/>
    <w:rsid w:val="00C23809"/>
    <w:rsid w:val="00C23A97"/>
    <w:rsid w:val="00C2513C"/>
    <w:rsid w:val="00C42C66"/>
    <w:rsid w:val="00C70EA7"/>
    <w:rsid w:val="00C7516E"/>
    <w:rsid w:val="00C75770"/>
    <w:rsid w:val="00C93C3A"/>
    <w:rsid w:val="00CA7A29"/>
    <w:rsid w:val="00CD5F71"/>
    <w:rsid w:val="00D00B2B"/>
    <w:rsid w:val="00D04F01"/>
    <w:rsid w:val="00D153AB"/>
    <w:rsid w:val="00D20182"/>
    <w:rsid w:val="00D24877"/>
    <w:rsid w:val="00D25762"/>
    <w:rsid w:val="00D3329A"/>
    <w:rsid w:val="00D57858"/>
    <w:rsid w:val="00D61929"/>
    <w:rsid w:val="00D770EC"/>
    <w:rsid w:val="00D95C4C"/>
    <w:rsid w:val="00DA036C"/>
    <w:rsid w:val="00DA36ED"/>
    <w:rsid w:val="00DB3262"/>
    <w:rsid w:val="00DC6245"/>
    <w:rsid w:val="00DE34F1"/>
    <w:rsid w:val="00DE56E9"/>
    <w:rsid w:val="00DF4942"/>
    <w:rsid w:val="00E16C50"/>
    <w:rsid w:val="00E226E8"/>
    <w:rsid w:val="00E30123"/>
    <w:rsid w:val="00E34738"/>
    <w:rsid w:val="00E37E12"/>
    <w:rsid w:val="00E627B1"/>
    <w:rsid w:val="00E64CC4"/>
    <w:rsid w:val="00E70523"/>
    <w:rsid w:val="00E71E7D"/>
    <w:rsid w:val="00E81F94"/>
    <w:rsid w:val="00E873CE"/>
    <w:rsid w:val="00E9376C"/>
    <w:rsid w:val="00EA00C0"/>
    <w:rsid w:val="00EA335E"/>
    <w:rsid w:val="00EA528C"/>
    <w:rsid w:val="00EA761A"/>
    <w:rsid w:val="00EC56A0"/>
    <w:rsid w:val="00ED26FB"/>
    <w:rsid w:val="00ED7F97"/>
    <w:rsid w:val="00EE343E"/>
    <w:rsid w:val="00EF1201"/>
    <w:rsid w:val="00EF19A6"/>
    <w:rsid w:val="00EF34E2"/>
    <w:rsid w:val="00EF4F1F"/>
    <w:rsid w:val="00EF69E3"/>
    <w:rsid w:val="00EF7940"/>
    <w:rsid w:val="00EF7CD3"/>
    <w:rsid w:val="00F010E0"/>
    <w:rsid w:val="00F014E7"/>
    <w:rsid w:val="00F366D2"/>
    <w:rsid w:val="00F40C94"/>
    <w:rsid w:val="00F46262"/>
    <w:rsid w:val="00F53DE9"/>
    <w:rsid w:val="00F576CB"/>
    <w:rsid w:val="00F63650"/>
    <w:rsid w:val="00F71A02"/>
    <w:rsid w:val="00F86AD7"/>
    <w:rsid w:val="00F930A5"/>
    <w:rsid w:val="00F953BC"/>
    <w:rsid w:val="00FB6464"/>
    <w:rsid w:val="00FB6630"/>
    <w:rsid w:val="00FC5562"/>
    <w:rsid w:val="00FC6573"/>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CAA34B"/>
  <w15:docId w15:val="{71296E5D-8BDD-4C42-81E0-A5DB0ED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val="fr-FR" w:eastAsia="fr-FR"/>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Paragraphedeliste">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uiPriority w:val="59"/>
    <w:rsid w:val="00191ADC"/>
    <w:rPr>
      <w:lang w:val="fr-FR"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
    <w:name w:val="COM Para"/>
    <w:qFormat/>
    <w:rsid w:val="00A24140"/>
    <w:pPr>
      <w:spacing w:after="120"/>
    </w:pPr>
    <w:rPr>
      <w:rFonts w:ascii="Arial" w:eastAsia="Times New Roman" w:hAnsi="Arial" w:cs="Arial"/>
      <w:snapToGrid w:val="0"/>
      <w:sz w:val="22"/>
      <w:szCs w:val="22"/>
      <w:lang w:eastAsia="en-US"/>
    </w:rPr>
  </w:style>
  <w:style w:type="paragraph" w:styleId="Rvision">
    <w:name w:val="Revision"/>
    <w:hidden/>
    <w:uiPriority w:val="99"/>
    <w:semiHidden/>
    <w:rsid w:val="00E71E7D"/>
    <w:rPr>
      <w:rFonts w:ascii="Times New Roman" w:eastAsia="Times New Roman" w:hAnsi="Times New Roman"/>
      <w:sz w:val="24"/>
      <w:szCs w:val="24"/>
      <w:lang w:val="fr-FR" w:eastAsia="fr-FR"/>
    </w:rPr>
  </w:style>
  <w:style w:type="character" w:styleId="Marquedecommentaire">
    <w:name w:val="annotation reference"/>
    <w:basedOn w:val="Policepardfaut"/>
    <w:uiPriority w:val="99"/>
    <w:semiHidden/>
    <w:unhideWhenUsed/>
    <w:rsid w:val="00567A81"/>
    <w:rPr>
      <w:sz w:val="16"/>
      <w:szCs w:val="16"/>
    </w:rPr>
  </w:style>
  <w:style w:type="paragraph" w:styleId="Commentaire">
    <w:name w:val="annotation text"/>
    <w:basedOn w:val="Normal"/>
    <w:link w:val="CommentaireCar"/>
    <w:uiPriority w:val="99"/>
    <w:semiHidden/>
    <w:unhideWhenUsed/>
    <w:rsid w:val="00567A81"/>
    <w:rPr>
      <w:sz w:val="20"/>
      <w:szCs w:val="20"/>
    </w:rPr>
  </w:style>
  <w:style w:type="character" w:customStyle="1" w:styleId="CommentaireCar">
    <w:name w:val="Commentaire Car"/>
    <w:basedOn w:val="Policepardfaut"/>
    <w:link w:val="Commentaire"/>
    <w:uiPriority w:val="99"/>
    <w:semiHidden/>
    <w:rsid w:val="00567A81"/>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uiPriority w:val="99"/>
    <w:semiHidden/>
    <w:unhideWhenUsed/>
    <w:rsid w:val="00567A81"/>
    <w:rPr>
      <w:b/>
      <w:bCs/>
    </w:rPr>
  </w:style>
  <w:style w:type="character" w:customStyle="1" w:styleId="ObjetducommentaireCar">
    <w:name w:val="Objet du commentaire Car"/>
    <w:basedOn w:val="CommentaireCar"/>
    <w:link w:val="Objetducommentaire"/>
    <w:uiPriority w:val="99"/>
    <w:semiHidden/>
    <w:rsid w:val="00567A81"/>
    <w:rPr>
      <w:rFonts w:ascii="Times New Roman" w:eastAsia="Times New Roman" w:hAnsi="Times New Roman"/>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640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63311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4FDC-A5C7-477D-91CA-C3567963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89</TotalTime>
  <Pages>4</Pages>
  <Words>1247</Words>
  <Characters>6862</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Ohinata, Fumiko</cp:lastModifiedBy>
  <cp:revision>34</cp:revision>
  <cp:lastPrinted>2022-06-02T14:48:00Z</cp:lastPrinted>
  <dcterms:created xsi:type="dcterms:W3CDTF">2022-06-24T11:57:00Z</dcterms:created>
  <dcterms:modified xsi:type="dcterms:W3CDTF">2022-06-26T18:57:00Z</dcterms:modified>
</cp:coreProperties>
</file>