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3D79" w14:textId="77777777" w:rsidR="00340270" w:rsidRPr="00643A89" w:rsidRDefault="00340270" w:rsidP="00340270">
      <w:pPr>
        <w:spacing w:before="1440"/>
        <w:jc w:val="center"/>
        <w:rPr>
          <w:rFonts w:ascii="Arial" w:hAnsi="Arial" w:cs="Arial"/>
          <w:b/>
          <w:szCs w:val="22"/>
        </w:rPr>
      </w:pPr>
      <w:r w:rsidRPr="00643A89">
        <w:rPr>
          <w:rFonts w:ascii="Arial" w:hAnsi="Arial" w:cs="Arial"/>
          <w:b/>
          <w:szCs w:val="22"/>
        </w:rPr>
        <w:t>CONVENTION FOR THE SAFEGUARDING OF THE</w:t>
      </w:r>
      <w:r w:rsidRPr="00643A89">
        <w:rPr>
          <w:rFonts w:ascii="Arial" w:hAnsi="Arial" w:cs="Arial"/>
          <w:b/>
          <w:szCs w:val="22"/>
        </w:rPr>
        <w:br/>
        <w:t>INTANGIBLE CULTURAL HERITAGE</w:t>
      </w:r>
    </w:p>
    <w:p w14:paraId="77D41FB3" w14:textId="77777777" w:rsidR="00340270" w:rsidRPr="00643A89" w:rsidRDefault="00340270" w:rsidP="00340270">
      <w:pPr>
        <w:spacing w:before="1440" w:after="0"/>
        <w:jc w:val="center"/>
        <w:rPr>
          <w:rFonts w:ascii="Arial" w:eastAsiaTheme="minorEastAsia" w:hAnsi="Arial" w:cs="Arial"/>
          <w:b/>
          <w:szCs w:val="22"/>
          <w:lang w:eastAsia="ko-KR"/>
        </w:rPr>
      </w:pPr>
      <w:r w:rsidRPr="00643A89">
        <w:rPr>
          <w:rFonts w:ascii="Arial" w:eastAsiaTheme="minorEastAsia" w:hAnsi="Arial" w:cs="Arial"/>
          <w:b/>
          <w:szCs w:val="22"/>
          <w:lang w:eastAsia="ko-KR"/>
        </w:rPr>
        <w:t>Open-ended intergovernmental working group</w:t>
      </w:r>
      <w:r w:rsidRPr="00643A89">
        <w:rPr>
          <w:rFonts w:ascii="Arial" w:eastAsiaTheme="minorEastAsia" w:hAnsi="Arial" w:cs="Arial"/>
          <w:b/>
          <w:szCs w:val="22"/>
          <w:lang w:eastAsia="ko-KR"/>
        </w:rPr>
        <w:br/>
        <w:t>in the framework of the global reflection on the listing mechanisms</w:t>
      </w:r>
    </w:p>
    <w:p w14:paraId="1FD10094" w14:textId="77777777" w:rsidR="00340270" w:rsidRPr="00643A89" w:rsidRDefault="00340270" w:rsidP="00340270">
      <w:pPr>
        <w:spacing w:before="840" w:after="0"/>
        <w:jc w:val="center"/>
        <w:rPr>
          <w:rFonts w:ascii="Arial" w:eastAsiaTheme="minorEastAsia" w:hAnsi="Arial" w:cs="Arial"/>
          <w:b/>
          <w:szCs w:val="22"/>
          <w:lang w:eastAsia="ko-KR"/>
        </w:rPr>
      </w:pPr>
      <w:r w:rsidRPr="00643A89">
        <w:rPr>
          <w:rFonts w:ascii="Arial" w:eastAsiaTheme="minorEastAsia" w:hAnsi="Arial" w:cs="Arial"/>
          <w:b/>
          <w:szCs w:val="22"/>
          <w:lang w:eastAsia="ko-KR"/>
        </w:rPr>
        <w:t>Online</w:t>
      </w:r>
    </w:p>
    <w:p w14:paraId="6DF5C589" w14:textId="5E2A5FA2" w:rsidR="00340270" w:rsidRPr="00643A89" w:rsidRDefault="00D66690" w:rsidP="00340270">
      <w:pPr>
        <w:spacing w:after="0"/>
        <w:jc w:val="center"/>
        <w:rPr>
          <w:rFonts w:ascii="Arial" w:eastAsiaTheme="minorEastAsia" w:hAnsi="Arial" w:cs="Arial"/>
          <w:b/>
          <w:szCs w:val="22"/>
          <w:lang w:eastAsia="ko-KR"/>
        </w:rPr>
      </w:pPr>
      <w:r w:rsidRPr="00643A89">
        <w:rPr>
          <w:rFonts w:ascii="Arial" w:eastAsiaTheme="minorEastAsia" w:hAnsi="Arial" w:cs="Arial"/>
          <w:b/>
          <w:szCs w:val="22"/>
          <w:lang w:eastAsia="ko-KR"/>
        </w:rPr>
        <w:t>25 and 26 April 2022</w:t>
      </w:r>
      <w:r w:rsidR="00E53866">
        <w:rPr>
          <w:rFonts w:ascii="Arial" w:eastAsiaTheme="minorEastAsia" w:hAnsi="Arial" w:cs="Arial"/>
          <w:b/>
          <w:szCs w:val="22"/>
          <w:lang w:eastAsia="ko-KR"/>
        </w:rPr>
        <w:t xml:space="preserve"> (Part III)</w:t>
      </w:r>
    </w:p>
    <w:p w14:paraId="08A80BF0" w14:textId="322400C2" w:rsidR="00340270" w:rsidRPr="00643A89" w:rsidRDefault="00340270" w:rsidP="00340270">
      <w:pPr>
        <w:spacing w:after="0"/>
        <w:jc w:val="center"/>
        <w:rPr>
          <w:rFonts w:ascii="Arial" w:hAnsi="Arial" w:cs="Arial"/>
          <w:b/>
          <w:szCs w:val="22"/>
        </w:rPr>
      </w:pPr>
    </w:p>
    <w:p w14:paraId="13CF98C0" w14:textId="77777777" w:rsidR="00053651" w:rsidRPr="00643A89" w:rsidRDefault="00053651" w:rsidP="00053651">
      <w:pPr>
        <w:spacing w:after="0"/>
        <w:jc w:val="center"/>
        <w:rPr>
          <w:rFonts w:ascii="Arial" w:eastAsiaTheme="minorEastAsia" w:hAnsi="Arial" w:cs="Arial"/>
          <w:b/>
          <w:szCs w:val="22"/>
          <w:lang w:eastAsia="ko-KR"/>
        </w:rPr>
      </w:pPr>
    </w:p>
    <w:p w14:paraId="202C5426" w14:textId="25E4F698" w:rsidR="00CB500D" w:rsidRPr="00643A89" w:rsidRDefault="00CB500D" w:rsidP="0035565E">
      <w:pPr>
        <w:pStyle w:val="Sansinterligne2"/>
        <w:spacing w:before="1200"/>
        <w:jc w:val="center"/>
        <w:rPr>
          <w:rFonts w:ascii="Arial" w:hAnsi="Arial" w:cs="Arial"/>
          <w:b/>
          <w:sz w:val="22"/>
          <w:szCs w:val="22"/>
          <w:lang w:val="en-GB"/>
        </w:rPr>
      </w:pPr>
      <w:r w:rsidRPr="00643A89">
        <w:rPr>
          <w:rFonts w:ascii="Arial" w:hAnsi="Arial" w:cs="Arial"/>
          <w:b/>
          <w:sz w:val="22"/>
          <w:szCs w:val="22"/>
          <w:u w:val="single"/>
          <w:lang w:val="en-GB"/>
        </w:rPr>
        <w:t>Item</w:t>
      </w:r>
      <w:r w:rsidR="00365B94" w:rsidRPr="00643A89">
        <w:rPr>
          <w:rFonts w:ascii="Arial" w:hAnsi="Arial" w:cs="Arial"/>
          <w:b/>
          <w:sz w:val="22"/>
          <w:szCs w:val="22"/>
          <w:u w:val="single"/>
          <w:lang w:val="en-GB"/>
        </w:rPr>
        <w:t xml:space="preserve"> </w:t>
      </w:r>
      <w:r w:rsidR="00CE08AE" w:rsidRPr="00643A89">
        <w:rPr>
          <w:rFonts w:ascii="Arial" w:hAnsi="Arial" w:cs="Arial"/>
          <w:b/>
          <w:sz w:val="22"/>
          <w:szCs w:val="22"/>
          <w:u w:val="single"/>
          <w:lang w:val="en-GB"/>
        </w:rPr>
        <w:t>12</w:t>
      </w:r>
      <w:r w:rsidRPr="00643A89">
        <w:rPr>
          <w:rFonts w:ascii="Arial" w:hAnsi="Arial" w:cs="Arial"/>
          <w:b/>
          <w:sz w:val="22"/>
          <w:szCs w:val="22"/>
          <w:u w:val="single"/>
          <w:lang w:val="en-GB"/>
        </w:rPr>
        <w:t xml:space="preserve"> of the Provisional Agenda</w:t>
      </w:r>
      <w:r w:rsidRPr="00643A89">
        <w:rPr>
          <w:rFonts w:ascii="Arial" w:hAnsi="Arial" w:cs="Arial"/>
          <w:b/>
          <w:sz w:val="22"/>
          <w:szCs w:val="22"/>
          <w:lang w:val="en-GB"/>
        </w:rPr>
        <w:t>:</w:t>
      </w:r>
    </w:p>
    <w:p w14:paraId="6D45854C" w14:textId="4F38A1ED" w:rsidR="00251C9B" w:rsidRPr="00643A89" w:rsidRDefault="00CE08AE" w:rsidP="00251C9B">
      <w:pPr>
        <w:pStyle w:val="Sansinterligne2"/>
        <w:spacing w:after="1200"/>
        <w:jc w:val="center"/>
        <w:rPr>
          <w:rFonts w:ascii="Arial" w:hAnsi="Arial" w:cs="Arial"/>
          <w:b/>
          <w:sz w:val="22"/>
          <w:szCs w:val="22"/>
          <w:lang w:val="en-GB"/>
        </w:rPr>
      </w:pPr>
      <w:r w:rsidRPr="00643A89">
        <w:rPr>
          <w:rFonts w:ascii="Arial" w:hAnsi="Arial" w:cs="Arial"/>
          <w:b/>
          <w:sz w:val="22"/>
          <w:szCs w:val="22"/>
          <w:lang w:val="en-GB"/>
        </w:rPr>
        <w:t>Report to the Intergovernmental Committee</w:t>
      </w:r>
    </w:p>
    <w:p w14:paraId="5A14B7F8" w14:textId="54A8D5B2" w:rsidR="00E22B99" w:rsidRPr="00643A89" w:rsidRDefault="00851458" w:rsidP="00CE08AE">
      <w:pPr>
        <w:pStyle w:val="1GAPara"/>
        <w:numPr>
          <w:ilvl w:val="0"/>
          <w:numId w:val="0"/>
        </w:numPr>
      </w:pPr>
      <w:r w:rsidRPr="00643A89">
        <w:br w:type="page"/>
      </w:r>
    </w:p>
    <w:p w14:paraId="27544066" w14:textId="70ABDFD9" w:rsidR="002A6DA2" w:rsidRPr="000A2B10" w:rsidRDefault="002A6DA2" w:rsidP="002A6DA2">
      <w:pPr>
        <w:pStyle w:val="Sansinterligne1"/>
        <w:snapToGrid w:val="0"/>
        <w:spacing w:before="120" w:after="120"/>
        <w:jc w:val="both"/>
        <w:rPr>
          <w:rFonts w:asciiTheme="minorBidi" w:eastAsiaTheme="minorEastAsia" w:hAnsiTheme="minorBidi" w:cstheme="minorBidi"/>
          <w:b/>
          <w:sz w:val="22"/>
          <w:szCs w:val="22"/>
          <w:lang w:val="en-GB" w:eastAsia="ko-KR"/>
        </w:rPr>
      </w:pPr>
      <w:r w:rsidRPr="000A2B10">
        <w:rPr>
          <w:rFonts w:asciiTheme="minorBidi" w:eastAsiaTheme="minorEastAsia" w:hAnsiTheme="minorBidi" w:cstheme="minorBidi"/>
          <w:b/>
          <w:sz w:val="22"/>
          <w:szCs w:val="22"/>
          <w:lang w:val="en-GB" w:eastAsia="ko-KR"/>
        </w:rPr>
        <w:lastRenderedPageBreak/>
        <w:t>Introduction</w:t>
      </w:r>
    </w:p>
    <w:p w14:paraId="1CC8141A" w14:textId="157E4384" w:rsidR="00D57ECF" w:rsidRPr="000A2B10" w:rsidRDefault="00CE08AE" w:rsidP="00D57ECF">
      <w:pPr>
        <w:pStyle w:val="Sansinterligne1"/>
        <w:numPr>
          <w:ilvl w:val="0"/>
          <w:numId w:val="12"/>
        </w:numPr>
        <w:snapToGrid w:val="0"/>
        <w:spacing w:before="120" w:after="120"/>
        <w:ind w:left="567" w:hanging="567"/>
        <w:jc w:val="both"/>
        <w:rPr>
          <w:rFonts w:asciiTheme="minorBidi" w:eastAsiaTheme="minorEastAsia" w:hAnsiTheme="minorBidi" w:cstheme="minorBidi"/>
          <w:bCs/>
          <w:sz w:val="22"/>
          <w:szCs w:val="22"/>
          <w:lang w:val="en-GB" w:eastAsia="ko-KR"/>
        </w:rPr>
      </w:pPr>
      <w:r w:rsidRPr="000A2B10">
        <w:rPr>
          <w:rFonts w:asciiTheme="minorBidi" w:eastAsiaTheme="minorEastAsia" w:hAnsiTheme="minorBidi" w:cstheme="minorBidi"/>
          <w:bCs/>
          <w:sz w:val="22"/>
          <w:szCs w:val="22"/>
          <w:lang w:val="en-GB" w:eastAsia="ko-KR"/>
        </w:rPr>
        <w:t>The Open-ended intergovernmental working group in the framework of the global reflection on the listing mechanisms of the 2003 Convention (hereafter ‘the working group’) was first convened online in two Parts: Part I on 8 and 9 July 2021 and Part II on 9 and 10 September 2021.</w:t>
      </w:r>
      <w:r w:rsidR="00D57ECF" w:rsidRPr="000A2B10">
        <w:rPr>
          <w:rFonts w:asciiTheme="minorBidi" w:eastAsiaTheme="minorEastAsia" w:hAnsiTheme="minorBidi" w:cstheme="minorBidi"/>
          <w:bCs/>
          <w:sz w:val="22"/>
          <w:szCs w:val="22"/>
          <w:lang w:val="en-GB" w:eastAsia="ko-KR"/>
        </w:rPr>
        <w:t xml:space="preserve"> </w:t>
      </w:r>
      <w:r w:rsidR="00D57ECF" w:rsidRPr="000A2B10">
        <w:rPr>
          <w:rFonts w:asciiTheme="minorBidi" w:eastAsiaTheme="minorEastAsia" w:hAnsiTheme="minorBidi" w:cstheme="minorBidi"/>
          <w:bCs/>
          <w:snapToGrid w:val="0"/>
          <w:sz w:val="22"/>
          <w:szCs w:val="22"/>
          <w:lang w:val="en-GB" w:eastAsia="ko-KR"/>
        </w:rPr>
        <w:t xml:space="preserve">The recommendations of Part I and Part II of the working group’s meeting were presented </w:t>
      </w:r>
      <w:r w:rsidR="0085056F" w:rsidRPr="000A2B10">
        <w:rPr>
          <w:rFonts w:asciiTheme="minorBidi" w:eastAsiaTheme="minorEastAsia" w:hAnsiTheme="minorBidi" w:cstheme="minorBidi"/>
          <w:bCs/>
          <w:snapToGrid w:val="0"/>
          <w:sz w:val="22"/>
          <w:szCs w:val="22"/>
          <w:lang w:val="en-GB" w:eastAsia="ko-KR"/>
        </w:rPr>
        <w:t xml:space="preserve">in December 2021 </w:t>
      </w:r>
      <w:r w:rsidR="00D57ECF" w:rsidRPr="000A2B10">
        <w:rPr>
          <w:rFonts w:asciiTheme="minorBidi" w:eastAsiaTheme="minorEastAsia" w:hAnsiTheme="minorBidi" w:cstheme="minorBidi"/>
          <w:bCs/>
          <w:snapToGrid w:val="0"/>
          <w:sz w:val="22"/>
          <w:szCs w:val="22"/>
          <w:lang w:val="en-GB" w:eastAsia="ko-KR"/>
        </w:rPr>
        <w:t xml:space="preserve">to the sixteenth session of the Committee in the form of draft amendments </w:t>
      </w:r>
      <w:r w:rsidR="006117DC" w:rsidRPr="000A2B10">
        <w:rPr>
          <w:rFonts w:asciiTheme="minorBidi" w:eastAsiaTheme="minorEastAsia" w:hAnsiTheme="minorBidi" w:cstheme="minorBidi"/>
          <w:bCs/>
          <w:snapToGrid w:val="0"/>
          <w:sz w:val="22"/>
          <w:szCs w:val="22"/>
          <w:lang w:val="en-GB" w:eastAsia="ko-KR"/>
        </w:rPr>
        <w:t xml:space="preserve">to </w:t>
      </w:r>
      <w:r w:rsidR="00D57ECF" w:rsidRPr="000A2B10">
        <w:rPr>
          <w:rFonts w:asciiTheme="minorBidi" w:eastAsiaTheme="minorEastAsia" w:hAnsiTheme="minorBidi" w:cstheme="minorBidi"/>
          <w:bCs/>
          <w:snapToGrid w:val="0"/>
          <w:sz w:val="22"/>
          <w:szCs w:val="22"/>
          <w:lang w:val="en-GB" w:eastAsia="ko-KR"/>
        </w:rPr>
        <w:t>the Operational Directives (document </w:t>
      </w:r>
      <w:hyperlink r:id="rId8" w:history="1">
        <w:r w:rsidR="00D57ECF" w:rsidRPr="000A2B10">
          <w:rPr>
            <w:rStyle w:val="Hyperlink"/>
            <w:rFonts w:asciiTheme="minorBidi" w:eastAsiaTheme="minorEastAsia" w:hAnsiTheme="minorBidi" w:cstheme="minorBidi"/>
            <w:bCs/>
            <w:snapToGrid w:val="0"/>
            <w:sz w:val="22"/>
            <w:szCs w:val="22"/>
            <w:lang w:val="en-GB" w:eastAsia="ko-KR"/>
          </w:rPr>
          <w:t>LHE/21/16.COM/14</w:t>
        </w:r>
      </w:hyperlink>
      <w:r w:rsidR="00D57ECF" w:rsidRPr="000A2B10">
        <w:rPr>
          <w:rFonts w:asciiTheme="minorBidi" w:eastAsiaTheme="minorEastAsia" w:hAnsiTheme="minorBidi" w:cstheme="minorBidi"/>
          <w:bCs/>
          <w:snapToGrid w:val="0"/>
          <w:sz w:val="22"/>
          <w:szCs w:val="22"/>
          <w:lang w:val="en-GB" w:eastAsia="ko-KR"/>
        </w:rPr>
        <w:t>). The Committee in turn discussed and decided to recommend that the ninth session of the General Assembly revise the Operational Directives on the basis of and reflecting the spirit of the recommendations of Part I and Part II of the working group</w:t>
      </w:r>
      <w:r w:rsidR="006117DC" w:rsidRPr="000A2B10">
        <w:rPr>
          <w:rFonts w:asciiTheme="minorBidi" w:eastAsiaTheme="minorEastAsia" w:hAnsiTheme="minorBidi" w:cstheme="minorBidi"/>
          <w:bCs/>
          <w:snapToGrid w:val="0"/>
          <w:sz w:val="22"/>
          <w:szCs w:val="22"/>
          <w:lang w:val="en-GB" w:eastAsia="ko-KR"/>
        </w:rPr>
        <w:t xml:space="preserve"> </w:t>
      </w:r>
      <w:r w:rsidR="006F1AEA" w:rsidRPr="000A2B10">
        <w:rPr>
          <w:rFonts w:asciiTheme="minorBidi" w:eastAsiaTheme="minorEastAsia" w:hAnsiTheme="minorBidi" w:cstheme="minorBidi"/>
          <w:bCs/>
          <w:snapToGrid w:val="0"/>
          <w:sz w:val="22"/>
          <w:szCs w:val="22"/>
          <w:lang w:val="en-GB" w:eastAsia="ko-KR"/>
        </w:rPr>
        <w:t>(Decision </w:t>
      </w:r>
      <w:hyperlink r:id="rId9" w:history="1">
        <w:r w:rsidR="006F1AEA" w:rsidRPr="000A2B10">
          <w:rPr>
            <w:rStyle w:val="Hyperlink"/>
            <w:rFonts w:asciiTheme="minorBidi" w:eastAsiaTheme="minorEastAsia" w:hAnsiTheme="minorBidi" w:cstheme="minorBidi"/>
            <w:bCs/>
            <w:snapToGrid w:val="0"/>
            <w:sz w:val="22"/>
            <w:szCs w:val="22"/>
            <w:lang w:val="en-GB" w:eastAsia="ko-KR"/>
          </w:rPr>
          <w:t>16.COM 14</w:t>
        </w:r>
      </w:hyperlink>
      <w:r w:rsidR="006F1AEA" w:rsidRPr="000A2B10">
        <w:rPr>
          <w:rFonts w:asciiTheme="minorBidi" w:eastAsiaTheme="minorEastAsia" w:hAnsiTheme="minorBidi" w:cstheme="minorBidi"/>
          <w:bCs/>
          <w:snapToGrid w:val="0"/>
          <w:sz w:val="22"/>
          <w:szCs w:val="22"/>
          <w:lang w:val="en-GB" w:eastAsia="ko-KR"/>
        </w:rPr>
        <w:t>)</w:t>
      </w:r>
      <w:r w:rsidR="00D57ECF" w:rsidRPr="000A2B10">
        <w:rPr>
          <w:rFonts w:asciiTheme="minorBidi" w:eastAsiaTheme="minorEastAsia" w:hAnsiTheme="minorBidi" w:cstheme="minorBidi"/>
          <w:bCs/>
          <w:snapToGrid w:val="0"/>
          <w:sz w:val="22"/>
          <w:szCs w:val="22"/>
          <w:lang w:val="en-GB" w:eastAsia="ko-KR"/>
        </w:rPr>
        <w:t>.</w:t>
      </w:r>
    </w:p>
    <w:p w14:paraId="3DEB8B7F" w14:textId="40ECD943" w:rsidR="00CE08AE" w:rsidRPr="000A2B10" w:rsidRDefault="00CE08AE" w:rsidP="00CE08AE">
      <w:pPr>
        <w:pStyle w:val="Sansinterligne1"/>
        <w:numPr>
          <w:ilvl w:val="0"/>
          <w:numId w:val="12"/>
        </w:numPr>
        <w:snapToGrid w:val="0"/>
        <w:spacing w:before="120" w:after="120"/>
        <w:ind w:left="567" w:hanging="567"/>
        <w:jc w:val="both"/>
        <w:rPr>
          <w:rFonts w:asciiTheme="minorBidi" w:eastAsiaTheme="minorEastAsia" w:hAnsiTheme="minorBidi" w:cstheme="minorBidi"/>
          <w:bCs/>
          <w:sz w:val="22"/>
          <w:szCs w:val="22"/>
          <w:lang w:val="en-GB" w:eastAsia="ko-KR"/>
        </w:rPr>
      </w:pPr>
      <w:r w:rsidRPr="000A2B10">
        <w:rPr>
          <w:rFonts w:asciiTheme="minorBidi" w:hAnsiTheme="minorBidi" w:cstheme="minorBidi"/>
          <w:bCs/>
          <w:sz w:val="22"/>
          <w:szCs w:val="22"/>
          <w:lang w:val="en-GB"/>
        </w:rPr>
        <w:t xml:space="preserve">While the working group successfully addressed the priority reflection topics, </w:t>
      </w:r>
      <w:r w:rsidRPr="000A2B10">
        <w:rPr>
          <w:rFonts w:asciiTheme="minorBidi" w:hAnsiTheme="minorBidi" w:cstheme="minorBidi"/>
          <w:sz w:val="22"/>
          <w:szCs w:val="22"/>
          <w:shd w:val="clear" w:color="auto" w:fill="FFFFFF"/>
          <w:lang w:val="en-GB"/>
        </w:rPr>
        <w:t>the</w:t>
      </w:r>
      <w:r w:rsidRPr="000A2B10">
        <w:rPr>
          <w:rFonts w:asciiTheme="minorBidi" w:hAnsiTheme="minorBidi" w:cstheme="minorBidi"/>
          <w:sz w:val="22"/>
          <w:szCs w:val="22"/>
          <w:shd w:val="clear" w:color="auto" w:fill="FFFFFF"/>
          <w:lang w:val="en-GB" w:eastAsia="en-US"/>
        </w:rPr>
        <w:t xml:space="preserve"> sixteenth session of </w:t>
      </w:r>
      <w:r w:rsidRPr="000A2B10">
        <w:rPr>
          <w:rFonts w:asciiTheme="minorBidi" w:hAnsiTheme="minorBidi" w:cstheme="minorBidi"/>
          <w:sz w:val="22"/>
          <w:szCs w:val="22"/>
          <w:shd w:val="clear" w:color="auto" w:fill="FFFFFF"/>
          <w:lang w:val="en-GB"/>
        </w:rPr>
        <w:t xml:space="preserve">the </w:t>
      </w:r>
      <w:r w:rsidRPr="000A2B10">
        <w:rPr>
          <w:rFonts w:asciiTheme="minorBidi" w:eastAsiaTheme="minorEastAsia" w:hAnsiTheme="minorBidi" w:cstheme="minorBidi"/>
          <w:bCs/>
          <w:sz w:val="22"/>
          <w:szCs w:val="22"/>
          <w:lang w:val="en-GB" w:eastAsia="ko-KR"/>
        </w:rPr>
        <w:t>Committee</w:t>
      </w:r>
      <w:r w:rsidRPr="000A2B10">
        <w:rPr>
          <w:rFonts w:asciiTheme="minorBidi" w:hAnsiTheme="minorBidi" w:cstheme="minorBidi"/>
          <w:sz w:val="22"/>
          <w:szCs w:val="22"/>
          <w:shd w:val="clear" w:color="auto" w:fill="FFFFFF"/>
          <w:lang w:val="en-GB" w:eastAsia="en-US"/>
        </w:rPr>
        <w:t xml:space="preserve"> </w:t>
      </w:r>
      <w:r w:rsidRPr="000A2B10">
        <w:rPr>
          <w:rFonts w:asciiTheme="minorBidi" w:hAnsiTheme="minorBidi" w:cstheme="minorBidi"/>
          <w:bCs/>
          <w:sz w:val="22"/>
          <w:szCs w:val="22"/>
          <w:lang w:val="en-GB"/>
        </w:rPr>
        <w:t xml:space="preserve">requested that </w:t>
      </w:r>
      <w:r w:rsidR="00BE54A0" w:rsidRPr="000A2B10">
        <w:rPr>
          <w:rFonts w:asciiTheme="minorBidi" w:hAnsiTheme="minorBidi" w:cstheme="minorBidi"/>
          <w:bCs/>
          <w:sz w:val="22"/>
          <w:szCs w:val="22"/>
          <w:lang w:val="en-GB"/>
        </w:rPr>
        <w:t xml:space="preserve">the working group undertake </w:t>
      </w:r>
      <w:r w:rsidR="00BA25A5" w:rsidRPr="000A2B10">
        <w:rPr>
          <w:rFonts w:asciiTheme="minorBidi" w:hAnsiTheme="minorBidi" w:cstheme="minorBidi"/>
          <w:bCs/>
          <w:sz w:val="22"/>
          <w:szCs w:val="22"/>
          <w:lang w:val="en-GB"/>
        </w:rPr>
        <w:t>a</w:t>
      </w:r>
      <w:r w:rsidRPr="000A2B10">
        <w:rPr>
          <w:rFonts w:asciiTheme="minorBidi" w:hAnsiTheme="minorBidi" w:cstheme="minorBidi"/>
          <w:bCs/>
          <w:sz w:val="22"/>
          <w:szCs w:val="22"/>
          <w:lang w:val="en-GB"/>
        </w:rPr>
        <w:t xml:space="preserve"> discussion on </w:t>
      </w:r>
      <w:r w:rsidRPr="000A2B10">
        <w:rPr>
          <w:rFonts w:asciiTheme="minorBidi" w:eastAsiaTheme="minorEastAsia" w:hAnsiTheme="minorBidi" w:cstheme="minorBidi"/>
          <w:bCs/>
          <w:sz w:val="22"/>
          <w:szCs w:val="22"/>
          <w:lang w:val="en-GB" w:eastAsia="ko-KR"/>
        </w:rPr>
        <w:t>additional</w:t>
      </w:r>
      <w:r w:rsidRPr="000A2B10">
        <w:rPr>
          <w:rFonts w:asciiTheme="minorBidi" w:hAnsiTheme="minorBidi" w:cstheme="minorBidi"/>
          <w:bCs/>
          <w:sz w:val="22"/>
          <w:szCs w:val="22"/>
          <w:lang w:val="en-GB"/>
        </w:rPr>
        <w:t xml:space="preserve"> </w:t>
      </w:r>
      <w:r w:rsidR="006F1AEA" w:rsidRPr="000A2B10">
        <w:rPr>
          <w:rFonts w:asciiTheme="minorBidi" w:hAnsiTheme="minorBidi" w:cstheme="minorBidi"/>
          <w:bCs/>
          <w:sz w:val="22"/>
          <w:szCs w:val="22"/>
          <w:lang w:val="en-GB"/>
        </w:rPr>
        <w:t xml:space="preserve">issues </w:t>
      </w:r>
      <w:r w:rsidR="00BE54A0" w:rsidRPr="000A2B10">
        <w:rPr>
          <w:rFonts w:asciiTheme="minorBidi" w:hAnsiTheme="minorBidi" w:cstheme="minorBidi"/>
          <w:bCs/>
          <w:sz w:val="22"/>
          <w:szCs w:val="22"/>
          <w:lang w:val="en-GB"/>
        </w:rPr>
        <w:t>identified by the Committee and the working group</w:t>
      </w:r>
      <w:r w:rsidRPr="000A2B10">
        <w:rPr>
          <w:rFonts w:asciiTheme="minorBidi" w:hAnsiTheme="minorBidi" w:cstheme="minorBidi"/>
          <w:bCs/>
          <w:sz w:val="22"/>
          <w:szCs w:val="22"/>
          <w:lang w:val="en-GB"/>
        </w:rPr>
        <w:t xml:space="preserve"> </w:t>
      </w:r>
      <w:r w:rsidRPr="000A2B10">
        <w:rPr>
          <w:rFonts w:asciiTheme="minorBidi" w:hAnsiTheme="minorBidi" w:cstheme="minorBidi"/>
          <w:sz w:val="22"/>
          <w:szCs w:val="22"/>
          <w:shd w:val="clear" w:color="auto" w:fill="FFFFFF"/>
          <w:lang w:val="en-GB"/>
        </w:rPr>
        <w:t>(Decision </w:t>
      </w:r>
      <w:hyperlink r:id="rId10" w:history="1">
        <w:r w:rsidRPr="000A2B10">
          <w:rPr>
            <w:rStyle w:val="Hyperlink"/>
            <w:rFonts w:asciiTheme="minorBidi" w:hAnsiTheme="minorBidi" w:cstheme="minorBidi"/>
            <w:sz w:val="22"/>
            <w:szCs w:val="22"/>
            <w:shd w:val="clear" w:color="auto" w:fill="FFFFFF"/>
            <w:lang w:val="en-GB"/>
          </w:rPr>
          <w:t>16.</w:t>
        </w:r>
        <w:r w:rsidR="005D4F6A" w:rsidRPr="000A2B10">
          <w:rPr>
            <w:rStyle w:val="Hyperlink"/>
            <w:rFonts w:asciiTheme="minorBidi" w:hAnsiTheme="minorBidi" w:cstheme="minorBidi"/>
            <w:sz w:val="22"/>
            <w:szCs w:val="22"/>
            <w:shd w:val="clear" w:color="auto" w:fill="FFFFFF"/>
            <w:lang w:val="en-GB"/>
          </w:rPr>
          <w:t>COM </w:t>
        </w:r>
        <w:r w:rsidRPr="000A2B10">
          <w:rPr>
            <w:rStyle w:val="Hyperlink"/>
            <w:rFonts w:asciiTheme="minorBidi" w:hAnsiTheme="minorBidi" w:cstheme="minorBidi"/>
            <w:sz w:val="22"/>
            <w:szCs w:val="22"/>
            <w:shd w:val="clear" w:color="auto" w:fill="FFFFFF"/>
            <w:lang w:val="en-GB"/>
          </w:rPr>
          <w:t>14</w:t>
        </w:r>
      </w:hyperlink>
      <w:r w:rsidR="006F1AEA" w:rsidRPr="000A2B10">
        <w:rPr>
          <w:rFonts w:asciiTheme="minorBidi" w:hAnsiTheme="minorBidi" w:cstheme="minorBidi"/>
          <w:bCs/>
          <w:sz w:val="22"/>
          <w:szCs w:val="22"/>
          <w:lang w:val="en-GB"/>
        </w:rPr>
        <w:t>, paragraph 11 and Annex I, ‘</w:t>
      </w:r>
      <w:r w:rsidR="00254438" w:rsidRPr="000A2B10">
        <w:rPr>
          <w:rFonts w:asciiTheme="minorBidi" w:hAnsiTheme="minorBidi" w:cstheme="minorBidi"/>
          <w:bCs/>
          <w:sz w:val="22"/>
          <w:szCs w:val="22"/>
          <w:lang w:val="en-GB"/>
        </w:rPr>
        <w:t>W</w:t>
      </w:r>
      <w:r w:rsidR="006F1AEA" w:rsidRPr="000A2B10">
        <w:rPr>
          <w:rFonts w:asciiTheme="minorBidi" w:hAnsiTheme="minorBidi" w:cstheme="minorBidi"/>
          <w:bCs/>
          <w:sz w:val="22"/>
          <w:szCs w:val="22"/>
          <w:lang w:val="en-GB"/>
        </w:rPr>
        <w:t>a</w:t>
      </w:r>
      <w:r w:rsidR="00BE54A0" w:rsidRPr="000A2B10">
        <w:rPr>
          <w:rFonts w:asciiTheme="minorBidi" w:hAnsiTheme="minorBidi" w:cstheme="minorBidi"/>
          <w:bCs/>
          <w:sz w:val="22"/>
          <w:szCs w:val="22"/>
          <w:lang w:val="en-GB"/>
        </w:rPr>
        <w:t>y</w:t>
      </w:r>
      <w:r w:rsidR="006F1AEA" w:rsidRPr="000A2B10">
        <w:rPr>
          <w:rFonts w:asciiTheme="minorBidi" w:hAnsiTheme="minorBidi" w:cstheme="minorBidi"/>
          <w:bCs/>
          <w:sz w:val="22"/>
          <w:szCs w:val="22"/>
          <w:lang w:val="en-GB"/>
        </w:rPr>
        <w:t>s forward’)</w:t>
      </w:r>
      <w:r w:rsidRPr="000A2B10">
        <w:rPr>
          <w:rFonts w:asciiTheme="minorBidi" w:hAnsiTheme="minorBidi" w:cstheme="minorBidi"/>
          <w:bCs/>
          <w:sz w:val="22"/>
          <w:szCs w:val="22"/>
          <w:lang w:val="en-GB"/>
        </w:rPr>
        <w:t xml:space="preserve">. Accordingly, </w:t>
      </w:r>
      <w:r w:rsidRPr="000A2B10">
        <w:rPr>
          <w:rFonts w:asciiTheme="minorBidi" w:eastAsiaTheme="minorEastAsia" w:hAnsiTheme="minorBidi" w:cstheme="minorBidi"/>
          <w:bCs/>
          <w:sz w:val="22"/>
          <w:szCs w:val="22"/>
          <w:lang w:val="en-GB" w:eastAsia="ko-KR"/>
        </w:rPr>
        <w:t xml:space="preserve">the mandate of the working group was extended to meet </w:t>
      </w:r>
      <w:r w:rsidR="00205B09" w:rsidRPr="000A2B10">
        <w:rPr>
          <w:rFonts w:asciiTheme="minorBidi" w:eastAsiaTheme="minorEastAsia" w:hAnsiTheme="minorBidi" w:cstheme="minorBidi"/>
          <w:bCs/>
          <w:sz w:val="22"/>
          <w:szCs w:val="22"/>
          <w:lang w:val="en-GB" w:eastAsia="ko-KR"/>
        </w:rPr>
        <w:t xml:space="preserve">online </w:t>
      </w:r>
      <w:r w:rsidRPr="000A2B10">
        <w:rPr>
          <w:rFonts w:asciiTheme="minorBidi" w:eastAsiaTheme="minorEastAsia" w:hAnsiTheme="minorBidi" w:cstheme="minorBidi"/>
          <w:bCs/>
          <w:sz w:val="22"/>
          <w:szCs w:val="22"/>
          <w:lang w:val="en-GB" w:eastAsia="ko-KR"/>
        </w:rPr>
        <w:t>for Part</w:t>
      </w:r>
      <w:r w:rsidR="006117DC" w:rsidRPr="000A2B10">
        <w:rPr>
          <w:rFonts w:asciiTheme="minorBidi" w:eastAsiaTheme="minorEastAsia" w:hAnsiTheme="minorBidi" w:cstheme="minorBidi"/>
          <w:bCs/>
          <w:sz w:val="22"/>
          <w:szCs w:val="22"/>
          <w:lang w:val="en-GB" w:eastAsia="ko-KR"/>
        </w:rPr>
        <w:t> </w:t>
      </w:r>
      <w:r w:rsidRPr="000A2B10">
        <w:rPr>
          <w:rFonts w:asciiTheme="minorBidi" w:eastAsiaTheme="minorEastAsia" w:hAnsiTheme="minorBidi" w:cstheme="minorBidi"/>
          <w:bCs/>
          <w:sz w:val="22"/>
          <w:szCs w:val="22"/>
          <w:lang w:val="en-GB" w:eastAsia="ko-KR"/>
        </w:rPr>
        <w:t xml:space="preserve">III </w:t>
      </w:r>
      <w:r w:rsidR="00BA25A5" w:rsidRPr="000A2B10">
        <w:rPr>
          <w:rFonts w:asciiTheme="minorBidi" w:eastAsiaTheme="minorEastAsia" w:hAnsiTheme="minorBidi" w:cstheme="minorBidi"/>
          <w:bCs/>
          <w:sz w:val="22"/>
          <w:szCs w:val="22"/>
          <w:lang w:val="en-GB" w:eastAsia="ko-KR"/>
        </w:rPr>
        <w:t xml:space="preserve">of its meeting </w:t>
      </w:r>
      <w:r w:rsidRPr="000A2B10">
        <w:rPr>
          <w:rFonts w:asciiTheme="minorBidi" w:eastAsiaTheme="minorEastAsia" w:hAnsiTheme="minorBidi" w:cstheme="minorBidi"/>
          <w:bCs/>
          <w:sz w:val="22"/>
          <w:szCs w:val="22"/>
          <w:lang w:val="en-GB" w:eastAsia="ko-KR"/>
        </w:rPr>
        <w:t xml:space="preserve">on </w:t>
      </w:r>
      <w:r w:rsidR="00205B09" w:rsidRPr="000A2B10">
        <w:rPr>
          <w:rFonts w:asciiTheme="minorBidi" w:eastAsiaTheme="minorEastAsia" w:hAnsiTheme="minorBidi" w:cstheme="minorBidi"/>
          <w:bCs/>
          <w:sz w:val="22"/>
          <w:szCs w:val="22"/>
          <w:lang w:val="en-GB" w:eastAsia="ko-KR"/>
        </w:rPr>
        <w:t xml:space="preserve">25 and 26 April </w:t>
      </w:r>
      <w:r w:rsidRPr="000A2B10">
        <w:rPr>
          <w:rFonts w:asciiTheme="minorBidi" w:eastAsiaTheme="minorEastAsia" w:hAnsiTheme="minorBidi" w:cstheme="minorBidi"/>
          <w:bCs/>
          <w:sz w:val="22"/>
          <w:szCs w:val="22"/>
          <w:lang w:val="en-GB" w:eastAsia="ko-KR"/>
        </w:rPr>
        <w:t>2022.</w:t>
      </w:r>
    </w:p>
    <w:p w14:paraId="1FEDCD72" w14:textId="322535A6" w:rsidR="00CE08AE" w:rsidRPr="000A2B10" w:rsidRDefault="00CE08AE" w:rsidP="00CE08AE">
      <w:pPr>
        <w:pStyle w:val="Sansinterligne1"/>
        <w:numPr>
          <w:ilvl w:val="0"/>
          <w:numId w:val="12"/>
        </w:numPr>
        <w:snapToGrid w:val="0"/>
        <w:spacing w:before="120" w:after="120"/>
        <w:ind w:left="567" w:hanging="567"/>
        <w:jc w:val="both"/>
        <w:rPr>
          <w:rFonts w:asciiTheme="minorBidi" w:eastAsiaTheme="minorEastAsia" w:hAnsiTheme="minorBidi" w:cstheme="minorBidi"/>
          <w:bCs/>
          <w:sz w:val="22"/>
          <w:szCs w:val="22"/>
          <w:lang w:val="en-GB" w:eastAsia="ko-KR"/>
        </w:rPr>
      </w:pPr>
      <w:r w:rsidRPr="000A2B10">
        <w:rPr>
          <w:rFonts w:asciiTheme="minorBidi" w:eastAsiaTheme="minorEastAsia" w:hAnsiTheme="minorBidi" w:cstheme="minorBidi"/>
          <w:bCs/>
          <w:sz w:val="22"/>
          <w:szCs w:val="22"/>
          <w:lang w:val="en-GB" w:eastAsia="ko-KR"/>
        </w:rPr>
        <w:t xml:space="preserve">The working group once again </w:t>
      </w:r>
      <w:r w:rsidR="00C632DC" w:rsidRPr="000A2B10">
        <w:rPr>
          <w:rFonts w:asciiTheme="minorBidi" w:eastAsiaTheme="minorEastAsia" w:hAnsiTheme="minorBidi" w:cstheme="minorBidi"/>
          <w:bCs/>
          <w:sz w:val="22"/>
          <w:szCs w:val="22"/>
          <w:lang w:val="en-GB" w:eastAsia="ko-KR"/>
        </w:rPr>
        <w:t xml:space="preserve">expressed </w:t>
      </w:r>
      <w:r w:rsidRPr="000A2B10">
        <w:rPr>
          <w:rFonts w:asciiTheme="minorBidi" w:eastAsiaTheme="minorEastAsia" w:hAnsiTheme="minorBidi" w:cstheme="minorBidi"/>
          <w:bCs/>
          <w:sz w:val="22"/>
          <w:szCs w:val="22"/>
          <w:lang w:val="en-GB" w:eastAsia="ko-KR"/>
        </w:rPr>
        <w:t>its gratitude to the Government of Japan for having supported all parts of the meeting, including Part III, as well as the earl</w:t>
      </w:r>
      <w:r w:rsidR="00EC6DFB" w:rsidRPr="000A2B10">
        <w:rPr>
          <w:rFonts w:asciiTheme="minorBidi" w:eastAsiaTheme="minorEastAsia" w:hAnsiTheme="minorBidi" w:cstheme="minorBidi"/>
          <w:bCs/>
          <w:sz w:val="22"/>
          <w:szCs w:val="22"/>
          <w:lang w:val="en-GB" w:eastAsia="ko-KR"/>
        </w:rPr>
        <w:t>ier</w:t>
      </w:r>
      <w:r w:rsidRPr="000A2B10">
        <w:rPr>
          <w:rFonts w:asciiTheme="minorBidi" w:eastAsiaTheme="minorEastAsia" w:hAnsiTheme="minorBidi" w:cstheme="minorBidi"/>
          <w:bCs/>
          <w:sz w:val="22"/>
          <w:szCs w:val="22"/>
          <w:lang w:val="en-GB" w:eastAsia="ko-KR"/>
        </w:rPr>
        <w:t xml:space="preserve"> expert consultation phase. The working group also </w:t>
      </w:r>
      <w:r w:rsidR="008A3447" w:rsidRPr="000A2B10">
        <w:rPr>
          <w:rFonts w:asciiTheme="minorBidi" w:eastAsiaTheme="minorEastAsia" w:hAnsiTheme="minorBidi" w:cstheme="minorBidi"/>
          <w:bCs/>
          <w:sz w:val="22"/>
          <w:szCs w:val="22"/>
          <w:lang w:val="en-GB" w:eastAsia="ko-KR"/>
        </w:rPr>
        <w:t xml:space="preserve">commended </w:t>
      </w:r>
      <w:r w:rsidRPr="000A2B10">
        <w:rPr>
          <w:rFonts w:asciiTheme="minorBidi" w:eastAsiaTheme="minorEastAsia" w:hAnsiTheme="minorBidi" w:cstheme="minorBidi"/>
          <w:bCs/>
          <w:sz w:val="22"/>
          <w:szCs w:val="22"/>
          <w:lang w:val="en-GB" w:eastAsia="ko-KR"/>
        </w:rPr>
        <w:t xml:space="preserve">all stakeholders involved for making it possible to successfully </w:t>
      </w:r>
      <w:r w:rsidR="00EC6DFB" w:rsidRPr="000A2B10">
        <w:rPr>
          <w:rFonts w:asciiTheme="minorBidi" w:eastAsiaTheme="minorEastAsia" w:hAnsiTheme="minorBidi" w:cstheme="minorBidi"/>
          <w:bCs/>
          <w:sz w:val="22"/>
          <w:szCs w:val="22"/>
          <w:lang w:val="en-GB" w:eastAsia="ko-KR"/>
        </w:rPr>
        <w:t xml:space="preserve">undertake </w:t>
      </w:r>
      <w:r w:rsidR="00377F71" w:rsidRPr="000A2B10">
        <w:rPr>
          <w:rFonts w:asciiTheme="minorBidi" w:eastAsiaTheme="minorEastAsia" w:hAnsiTheme="minorBidi" w:cstheme="minorBidi"/>
          <w:bCs/>
          <w:sz w:val="22"/>
          <w:szCs w:val="22"/>
          <w:lang w:val="en-GB" w:eastAsia="ko-KR"/>
        </w:rPr>
        <w:t xml:space="preserve">this </w:t>
      </w:r>
      <w:r w:rsidR="00EC6DFB" w:rsidRPr="000A2B10">
        <w:rPr>
          <w:rFonts w:asciiTheme="minorBidi" w:eastAsiaTheme="minorEastAsia" w:hAnsiTheme="minorBidi" w:cstheme="minorBidi"/>
          <w:bCs/>
          <w:sz w:val="22"/>
          <w:szCs w:val="22"/>
          <w:lang w:val="en-GB" w:eastAsia="ko-KR"/>
        </w:rPr>
        <w:t>reflection</w:t>
      </w:r>
      <w:r w:rsidRPr="000A2B10">
        <w:rPr>
          <w:rFonts w:asciiTheme="minorBidi" w:eastAsiaTheme="minorEastAsia" w:hAnsiTheme="minorBidi" w:cstheme="minorBidi"/>
          <w:bCs/>
          <w:sz w:val="22"/>
          <w:szCs w:val="22"/>
          <w:lang w:val="en-GB" w:eastAsia="ko-KR"/>
        </w:rPr>
        <w:t xml:space="preserve"> despite the challenges posed by the ongoing COVID-19 pandemic.</w:t>
      </w:r>
    </w:p>
    <w:p w14:paraId="730A81E1" w14:textId="5BF01914" w:rsidR="00CE08AE" w:rsidRPr="000A2B10" w:rsidRDefault="00CE08AE" w:rsidP="00CE08AE">
      <w:pPr>
        <w:pStyle w:val="Sansinterligne1"/>
        <w:numPr>
          <w:ilvl w:val="0"/>
          <w:numId w:val="12"/>
        </w:numPr>
        <w:snapToGrid w:val="0"/>
        <w:spacing w:after="120"/>
        <w:ind w:left="567" w:hanging="567"/>
        <w:jc w:val="both"/>
        <w:rPr>
          <w:rFonts w:asciiTheme="minorBidi" w:eastAsiaTheme="minorEastAsia" w:hAnsiTheme="minorBidi" w:cstheme="minorBidi"/>
          <w:bCs/>
          <w:sz w:val="22"/>
          <w:szCs w:val="22"/>
          <w:lang w:val="en-GB" w:eastAsia="ko-KR"/>
        </w:rPr>
      </w:pPr>
      <w:r w:rsidRPr="000A2B10">
        <w:rPr>
          <w:rFonts w:asciiTheme="minorBidi" w:eastAsiaTheme="minorEastAsia" w:hAnsiTheme="minorBidi" w:cstheme="minorBidi"/>
          <w:bCs/>
          <w:sz w:val="22"/>
          <w:szCs w:val="22"/>
          <w:lang w:val="en-GB" w:eastAsia="ko-KR"/>
        </w:rPr>
        <w:t xml:space="preserve">The Bureau established </w:t>
      </w:r>
      <w:r w:rsidR="00377F71" w:rsidRPr="000A2B10">
        <w:rPr>
          <w:rFonts w:asciiTheme="minorBidi" w:eastAsiaTheme="minorEastAsia" w:hAnsiTheme="minorBidi" w:cstheme="minorBidi"/>
          <w:bCs/>
          <w:sz w:val="22"/>
          <w:szCs w:val="22"/>
          <w:lang w:val="en-GB" w:eastAsia="ko-KR"/>
        </w:rPr>
        <w:t>for</w:t>
      </w:r>
      <w:r w:rsidRPr="000A2B10">
        <w:rPr>
          <w:rFonts w:asciiTheme="minorBidi" w:eastAsiaTheme="minorEastAsia" w:hAnsiTheme="minorBidi" w:cstheme="minorBidi"/>
          <w:bCs/>
          <w:sz w:val="22"/>
          <w:szCs w:val="22"/>
          <w:lang w:val="en-GB" w:eastAsia="ko-KR"/>
        </w:rPr>
        <w:t xml:space="preserve"> Part I </w:t>
      </w:r>
      <w:r w:rsidR="00377F71" w:rsidRPr="000A2B10">
        <w:rPr>
          <w:rFonts w:asciiTheme="minorBidi" w:eastAsiaTheme="minorEastAsia" w:hAnsiTheme="minorBidi" w:cstheme="minorBidi"/>
          <w:bCs/>
          <w:sz w:val="22"/>
          <w:szCs w:val="22"/>
          <w:lang w:val="en-GB" w:eastAsia="ko-KR"/>
        </w:rPr>
        <w:t xml:space="preserve">and Part II </w:t>
      </w:r>
      <w:r w:rsidRPr="000A2B10">
        <w:rPr>
          <w:rFonts w:asciiTheme="minorBidi" w:eastAsiaTheme="minorEastAsia" w:hAnsiTheme="minorBidi" w:cstheme="minorBidi"/>
          <w:bCs/>
          <w:sz w:val="22"/>
          <w:szCs w:val="22"/>
          <w:lang w:val="en-GB" w:eastAsia="ko-KR"/>
        </w:rPr>
        <w:t>of the working group’s meeting remain</w:t>
      </w:r>
      <w:r w:rsidR="004B62D0" w:rsidRPr="000A2B10">
        <w:rPr>
          <w:rFonts w:asciiTheme="minorBidi" w:eastAsiaTheme="minorEastAsia" w:hAnsiTheme="minorBidi" w:cstheme="minorBidi"/>
          <w:bCs/>
          <w:sz w:val="22"/>
          <w:szCs w:val="22"/>
          <w:lang w:val="en-GB" w:eastAsia="ko-KR"/>
        </w:rPr>
        <w:t>ed</w:t>
      </w:r>
      <w:r w:rsidRPr="000A2B10">
        <w:rPr>
          <w:rFonts w:asciiTheme="minorBidi" w:eastAsiaTheme="minorEastAsia" w:hAnsiTheme="minorBidi" w:cstheme="minorBidi"/>
          <w:bCs/>
          <w:sz w:val="22"/>
          <w:szCs w:val="22"/>
          <w:lang w:val="en-GB" w:eastAsia="ko-KR"/>
        </w:rPr>
        <w:t xml:space="preserve"> in office until the end of Part III and was composed of H.E. Mr Atsuyuki Oike (Japan) as Chairperson and of five Vice-Chairpersons, who also acted as Rapporteurs: Germany, Poland, Peru, Côte d’Ivoire and Kuwait.</w:t>
      </w:r>
    </w:p>
    <w:p w14:paraId="73362920" w14:textId="7817CB29" w:rsidR="002A6DA2" w:rsidRPr="000A2B10" w:rsidRDefault="002A6DA2" w:rsidP="00311049">
      <w:pPr>
        <w:pStyle w:val="Sansinterligne1"/>
        <w:snapToGrid w:val="0"/>
        <w:spacing w:before="240" w:after="120"/>
        <w:jc w:val="both"/>
        <w:rPr>
          <w:rFonts w:asciiTheme="minorBidi" w:eastAsiaTheme="minorEastAsia" w:hAnsiTheme="minorBidi" w:cstheme="minorBidi"/>
          <w:b/>
          <w:sz w:val="22"/>
          <w:szCs w:val="22"/>
          <w:lang w:val="en-GB" w:eastAsia="ko-KR"/>
        </w:rPr>
      </w:pPr>
      <w:r w:rsidRPr="000A2B10">
        <w:rPr>
          <w:rFonts w:asciiTheme="minorBidi" w:eastAsiaTheme="minorEastAsia" w:hAnsiTheme="minorBidi" w:cstheme="minorBidi"/>
          <w:b/>
          <w:sz w:val="22"/>
          <w:szCs w:val="22"/>
          <w:lang w:val="en-GB" w:eastAsia="ko-KR"/>
        </w:rPr>
        <w:t>Ways forward</w:t>
      </w:r>
    </w:p>
    <w:p w14:paraId="6AE163E9" w14:textId="3B86AF65" w:rsidR="006950B1" w:rsidRPr="000A2B10" w:rsidRDefault="006950B1" w:rsidP="006950B1">
      <w:pPr>
        <w:pStyle w:val="Sansinterligne1"/>
        <w:numPr>
          <w:ilvl w:val="0"/>
          <w:numId w:val="12"/>
        </w:numPr>
        <w:snapToGrid w:val="0"/>
        <w:spacing w:after="120"/>
        <w:ind w:left="567" w:hanging="567"/>
        <w:jc w:val="both"/>
        <w:rPr>
          <w:rFonts w:asciiTheme="minorBidi" w:eastAsiaTheme="minorEastAsia" w:hAnsiTheme="minorBidi" w:cstheme="minorBidi"/>
          <w:bCs/>
          <w:snapToGrid w:val="0"/>
          <w:sz w:val="22"/>
          <w:szCs w:val="22"/>
          <w:lang w:val="en-GB" w:eastAsia="ko-KR"/>
        </w:rPr>
      </w:pPr>
      <w:r w:rsidRPr="000A2B10">
        <w:rPr>
          <w:rFonts w:asciiTheme="minorBidi" w:eastAsiaTheme="minorEastAsia" w:hAnsiTheme="minorBidi" w:cstheme="minorBidi"/>
          <w:bCs/>
          <w:snapToGrid w:val="0"/>
          <w:sz w:val="22"/>
          <w:szCs w:val="22"/>
          <w:lang w:val="en-GB" w:eastAsia="ko-KR"/>
        </w:rPr>
        <w:t>Based on its debates, the working group will adopt the recommendations of its Part III meeting. The draft text of the recommendations will be proposed</w:t>
      </w:r>
      <w:r w:rsidR="00205B09" w:rsidRPr="000A2B10">
        <w:rPr>
          <w:rFonts w:asciiTheme="minorBidi" w:eastAsiaTheme="minorEastAsia" w:hAnsiTheme="minorBidi" w:cstheme="minorBidi"/>
          <w:bCs/>
          <w:snapToGrid w:val="0"/>
          <w:sz w:val="22"/>
          <w:szCs w:val="22"/>
          <w:lang w:val="en-GB" w:eastAsia="ko-KR"/>
        </w:rPr>
        <w:t xml:space="preserve"> during the meeting</w:t>
      </w:r>
      <w:r w:rsidRPr="000A2B10">
        <w:rPr>
          <w:rFonts w:asciiTheme="minorBidi" w:eastAsiaTheme="minorEastAsia" w:hAnsiTheme="minorBidi" w:cstheme="minorBidi"/>
          <w:bCs/>
          <w:snapToGrid w:val="0"/>
          <w:sz w:val="22"/>
          <w:szCs w:val="22"/>
          <w:lang w:val="en-GB" w:eastAsia="ko-KR"/>
        </w:rPr>
        <w:t>.</w:t>
      </w:r>
    </w:p>
    <w:p w14:paraId="5C8BA373" w14:textId="12EF87D6" w:rsidR="00CE08AE" w:rsidRPr="000A2B10" w:rsidRDefault="00CC2F28" w:rsidP="00CE08AE">
      <w:pPr>
        <w:pStyle w:val="Sansinterligne1"/>
        <w:numPr>
          <w:ilvl w:val="0"/>
          <w:numId w:val="12"/>
        </w:numPr>
        <w:snapToGrid w:val="0"/>
        <w:spacing w:after="120"/>
        <w:ind w:left="567" w:hanging="567"/>
        <w:jc w:val="both"/>
        <w:rPr>
          <w:rFonts w:asciiTheme="minorBidi" w:eastAsiaTheme="minorEastAsia" w:hAnsiTheme="minorBidi" w:cstheme="minorBidi"/>
          <w:bCs/>
          <w:sz w:val="22"/>
          <w:szCs w:val="22"/>
          <w:lang w:val="en-GB" w:eastAsia="ko-KR"/>
        </w:rPr>
      </w:pPr>
      <w:r w:rsidRPr="000A2B10">
        <w:rPr>
          <w:rFonts w:asciiTheme="minorBidi" w:eastAsiaTheme="minorEastAsia" w:hAnsiTheme="minorBidi" w:cstheme="minorBidi"/>
          <w:bCs/>
          <w:snapToGrid w:val="0"/>
          <w:sz w:val="22"/>
          <w:szCs w:val="22"/>
          <w:lang w:val="en-GB" w:eastAsia="ko-KR"/>
        </w:rPr>
        <w:t>T</w:t>
      </w:r>
      <w:r w:rsidR="00CE08AE" w:rsidRPr="000A2B10">
        <w:rPr>
          <w:rFonts w:asciiTheme="minorBidi" w:eastAsiaTheme="minorEastAsia" w:hAnsiTheme="minorBidi" w:cstheme="minorBidi"/>
          <w:bCs/>
          <w:snapToGrid w:val="0"/>
          <w:sz w:val="22"/>
          <w:szCs w:val="22"/>
          <w:lang w:val="en-GB" w:eastAsia="ko-KR"/>
        </w:rPr>
        <w:t xml:space="preserve">he working group </w:t>
      </w:r>
      <w:r w:rsidR="0038683E" w:rsidRPr="000A2B10">
        <w:rPr>
          <w:rFonts w:asciiTheme="minorBidi" w:eastAsiaTheme="minorEastAsia" w:hAnsiTheme="minorBidi" w:cstheme="minorBidi"/>
          <w:bCs/>
          <w:snapToGrid w:val="0"/>
          <w:sz w:val="22"/>
          <w:szCs w:val="22"/>
          <w:lang w:val="en-GB" w:eastAsia="ko-KR"/>
        </w:rPr>
        <w:t>may decide</w:t>
      </w:r>
      <w:r w:rsidRPr="000A2B10">
        <w:rPr>
          <w:rFonts w:asciiTheme="minorBidi" w:eastAsiaTheme="minorEastAsia" w:hAnsiTheme="minorBidi" w:cstheme="minorBidi"/>
          <w:bCs/>
          <w:snapToGrid w:val="0"/>
          <w:sz w:val="22"/>
          <w:szCs w:val="22"/>
          <w:lang w:val="en-GB" w:eastAsia="ko-KR"/>
        </w:rPr>
        <w:t>, if it deems necessary,</w:t>
      </w:r>
      <w:r w:rsidR="0038683E" w:rsidRPr="000A2B10">
        <w:rPr>
          <w:rFonts w:asciiTheme="minorBidi" w:eastAsiaTheme="minorEastAsia" w:hAnsiTheme="minorBidi" w:cstheme="minorBidi"/>
          <w:bCs/>
          <w:snapToGrid w:val="0"/>
          <w:sz w:val="22"/>
          <w:szCs w:val="22"/>
          <w:lang w:val="en-GB" w:eastAsia="ko-KR"/>
        </w:rPr>
        <w:t xml:space="preserve"> to </w:t>
      </w:r>
      <w:r w:rsidR="00CE08AE" w:rsidRPr="000A2B10">
        <w:rPr>
          <w:rFonts w:asciiTheme="minorBidi" w:eastAsiaTheme="minorEastAsia" w:hAnsiTheme="minorBidi" w:cstheme="minorBidi"/>
          <w:bCs/>
          <w:snapToGrid w:val="0"/>
          <w:sz w:val="22"/>
          <w:szCs w:val="22"/>
          <w:lang w:val="en-GB" w:eastAsia="ko-KR"/>
        </w:rPr>
        <w:t xml:space="preserve">request </w:t>
      </w:r>
      <w:r w:rsidR="008A3447" w:rsidRPr="000A2B10">
        <w:rPr>
          <w:rFonts w:asciiTheme="minorBidi" w:eastAsiaTheme="minorEastAsia" w:hAnsiTheme="minorBidi" w:cstheme="minorBidi"/>
          <w:bCs/>
          <w:snapToGrid w:val="0"/>
          <w:sz w:val="22"/>
          <w:szCs w:val="22"/>
          <w:lang w:val="en-GB" w:eastAsia="ko-KR"/>
        </w:rPr>
        <w:t xml:space="preserve">as it </w:t>
      </w:r>
      <w:r w:rsidR="00C632DC" w:rsidRPr="000A2B10">
        <w:rPr>
          <w:rFonts w:asciiTheme="minorBidi" w:eastAsiaTheme="minorEastAsia" w:hAnsiTheme="minorBidi" w:cstheme="minorBidi"/>
          <w:bCs/>
          <w:snapToGrid w:val="0"/>
          <w:sz w:val="22"/>
          <w:szCs w:val="22"/>
          <w:lang w:val="en-GB" w:eastAsia="ko-KR"/>
        </w:rPr>
        <w:t>was</w:t>
      </w:r>
      <w:r w:rsidR="008A3447" w:rsidRPr="000A2B10">
        <w:rPr>
          <w:rFonts w:asciiTheme="minorBidi" w:eastAsiaTheme="minorEastAsia" w:hAnsiTheme="minorBidi" w:cstheme="minorBidi"/>
          <w:bCs/>
          <w:snapToGrid w:val="0"/>
          <w:sz w:val="22"/>
          <w:szCs w:val="22"/>
          <w:lang w:val="en-GB" w:eastAsia="ko-KR"/>
        </w:rPr>
        <w:t xml:space="preserve"> the case for Parts I and II</w:t>
      </w:r>
      <w:r w:rsidRPr="000A2B10">
        <w:rPr>
          <w:rFonts w:asciiTheme="minorBidi" w:eastAsiaTheme="minorEastAsia" w:hAnsiTheme="minorBidi" w:cstheme="minorBidi"/>
          <w:bCs/>
          <w:snapToGrid w:val="0"/>
          <w:sz w:val="22"/>
          <w:szCs w:val="22"/>
          <w:lang w:val="en-GB" w:eastAsia="ko-KR"/>
        </w:rPr>
        <w:t xml:space="preserve"> </w:t>
      </w:r>
      <w:r w:rsidR="0038683E" w:rsidRPr="000A2B10">
        <w:rPr>
          <w:rFonts w:asciiTheme="minorBidi" w:eastAsiaTheme="minorEastAsia" w:hAnsiTheme="minorBidi" w:cstheme="minorBidi"/>
          <w:bCs/>
          <w:snapToGrid w:val="0"/>
          <w:sz w:val="22"/>
          <w:szCs w:val="22"/>
          <w:lang w:val="en-GB" w:eastAsia="ko-KR"/>
        </w:rPr>
        <w:t xml:space="preserve">that </w:t>
      </w:r>
      <w:r w:rsidR="00CE08AE" w:rsidRPr="000A2B10">
        <w:rPr>
          <w:rFonts w:asciiTheme="minorBidi" w:eastAsiaTheme="minorEastAsia" w:hAnsiTheme="minorBidi" w:cstheme="minorBidi"/>
          <w:bCs/>
          <w:snapToGrid w:val="0"/>
          <w:sz w:val="22"/>
          <w:szCs w:val="22"/>
          <w:lang w:val="en-GB" w:eastAsia="ko-KR"/>
        </w:rPr>
        <w:t xml:space="preserve">the Secretariat prepare a set of draft </w:t>
      </w:r>
      <w:r w:rsidR="00CE08AE" w:rsidRPr="000A2B10">
        <w:rPr>
          <w:rFonts w:asciiTheme="minorBidi" w:eastAsiaTheme="minorEastAsia" w:hAnsiTheme="minorBidi" w:cstheme="minorBidi"/>
          <w:bCs/>
          <w:sz w:val="22"/>
          <w:szCs w:val="22"/>
          <w:lang w:val="en-GB" w:eastAsia="ko-KR"/>
        </w:rPr>
        <w:t>amendments</w:t>
      </w:r>
      <w:r w:rsidR="00CE08AE" w:rsidRPr="000A2B10">
        <w:rPr>
          <w:rFonts w:asciiTheme="minorBidi" w:eastAsiaTheme="minorEastAsia" w:hAnsiTheme="minorBidi" w:cstheme="minorBidi"/>
          <w:bCs/>
          <w:snapToGrid w:val="0"/>
          <w:sz w:val="22"/>
          <w:szCs w:val="22"/>
          <w:lang w:val="en-GB" w:eastAsia="ko-KR"/>
        </w:rPr>
        <w:t xml:space="preserve"> to the Operational Directives</w:t>
      </w:r>
      <w:r w:rsidR="008A3447" w:rsidRPr="000A2B10">
        <w:rPr>
          <w:rFonts w:asciiTheme="minorBidi" w:eastAsiaTheme="minorEastAsia" w:hAnsiTheme="minorBidi" w:cstheme="minorBidi"/>
          <w:bCs/>
          <w:snapToGrid w:val="0"/>
          <w:sz w:val="22"/>
          <w:szCs w:val="22"/>
          <w:lang w:val="en-GB" w:eastAsia="ko-KR"/>
        </w:rPr>
        <w:t>, on the basis of the debates</w:t>
      </w:r>
      <w:r w:rsidR="0085056F" w:rsidRPr="000A2B10">
        <w:rPr>
          <w:rFonts w:asciiTheme="minorBidi" w:eastAsiaTheme="minorEastAsia" w:hAnsiTheme="minorBidi" w:cstheme="minorBidi"/>
          <w:bCs/>
          <w:snapToGrid w:val="0"/>
          <w:sz w:val="22"/>
          <w:szCs w:val="22"/>
          <w:lang w:val="en-GB" w:eastAsia="ko-KR"/>
        </w:rPr>
        <w:t>.</w:t>
      </w:r>
      <w:r w:rsidR="00CE08AE" w:rsidRPr="000A2B10">
        <w:rPr>
          <w:rFonts w:asciiTheme="minorBidi" w:eastAsiaTheme="minorEastAsia" w:hAnsiTheme="minorBidi" w:cstheme="minorBidi"/>
          <w:bCs/>
          <w:snapToGrid w:val="0"/>
          <w:sz w:val="22"/>
          <w:szCs w:val="22"/>
          <w:lang w:val="en-GB" w:eastAsia="ko-KR"/>
        </w:rPr>
        <w:t xml:space="preserve"> </w:t>
      </w:r>
      <w:r w:rsidR="0085056F" w:rsidRPr="000A2B10">
        <w:rPr>
          <w:rFonts w:asciiTheme="minorBidi" w:eastAsiaTheme="minorEastAsia" w:hAnsiTheme="minorBidi" w:cstheme="minorBidi"/>
          <w:bCs/>
          <w:snapToGrid w:val="0"/>
          <w:sz w:val="22"/>
          <w:szCs w:val="22"/>
          <w:lang w:val="en-GB" w:eastAsia="ko-KR"/>
        </w:rPr>
        <w:t xml:space="preserve">This is </w:t>
      </w:r>
      <w:r w:rsidR="00CE08AE" w:rsidRPr="000A2B10">
        <w:rPr>
          <w:rFonts w:asciiTheme="minorBidi" w:eastAsiaTheme="minorEastAsia" w:hAnsiTheme="minorBidi" w:cstheme="minorBidi"/>
          <w:bCs/>
          <w:snapToGrid w:val="0"/>
          <w:sz w:val="22"/>
          <w:szCs w:val="22"/>
          <w:lang w:val="en-GB" w:eastAsia="ko-KR"/>
        </w:rPr>
        <w:t xml:space="preserve">to reflect the recommendations of </w:t>
      </w:r>
      <w:r w:rsidR="006950B1" w:rsidRPr="000A2B10">
        <w:rPr>
          <w:rFonts w:asciiTheme="minorBidi" w:eastAsiaTheme="minorEastAsia" w:hAnsiTheme="minorBidi" w:cstheme="minorBidi"/>
          <w:bCs/>
          <w:snapToGrid w:val="0"/>
          <w:sz w:val="22"/>
          <w:szCs w:val="22"/>
          <w:lang w:val="en-GB" w:eastAsia="ko-KR"/>
        </w:rPr>
        <w:t xml:space="preserve">its </w:t>
      </w:r>
      <w:r w:rsidR="00CE08AE" w:rsidRPr="000A2B10">
        <w:rPr>
          <w:rFonts w:asciiTheme="minorBidi" w:eastAsiaTheme="minorEastAsia" w:hAnsiTheme="minorBidi" w:cstheme="minorBidi"/>
          <w:bCs/>
          <w:snapToGrid w:val="0"/>
          <w:sz w:val="22"/>
          <w:szCs w:val="22"/>
          <w:lang w:val="en-GB" w:eastAsia="ko-KR"/>
        </w:rPr>
        <w:t xml:space="preserve">Part III meeting </w:t>
      </w:r>
      <w:r w:rsidR="00CE08AE" w:rsidRPr="000A2B10">
        <w:rPr>
          <w:rFonts w:asciiTheme="minorBidi" w:eastAsiaTheme="minorEastAsia" w:hAnsiTheme="minorBidi" w:cstheme="minorBidi"/>
          <w:bCs/>
          <w:sz w:val="22"/>
          <w:szCs w:val="22"/>
          <w:lang w:val="en-GB" w:eastAsia="ko-KR"/>
        </w:rPr>
        <w:t>(presented</w:t>
      </w:r>
      <w:r w:rsidR="006117DC" w:rsidRPr="000A2B10">
        <w:rPr>
          <w:rFonts w:asciiTheme="minorBidi" w:eastAsiaTheme="minorEastAsia" w:hAnsiTheme="minorBidi" w:cstheme="minorBidi"/>
          <w:bCs/>
          <w:sz w:val="22"/>
          <w:szCs w:val="22"/>
          <w:lang w:val="en-GB" w:eastAsia="ko-KR"/>
        </w:rPr>
        <w:t xml:space="preserve"> on</w:t>
      </w:r>
      <w:r w:rsidR="00CE08AE" w:rsidRPr="000A2B10">
        <w:rPr>
          <w:rFonts w:asciiTheme="minorBidi" w:eastAsiaTheme="minorEastAsia" w:hAnsiTheme="minorBidi" w:cstheme="minorBidi"/>
          <w:bCs/>
          <w:sz w:val="22"/>
          <w:szCs w:val="22"/>
          <w:lang w:val="en-GB" w:eastAsia="ko-KR"/>
        </w:rPr>
        <w:t xml:space="preserve"> page 3 of the present document),</w:t>
      </w:r>
      <w:r w:rsidR="00CE08AE" w:rsidRPr="000A2B10">
        <w:rPr>
          <w:rFonts w:asciiTheme="minorBidi" w:eastAsiaTheme="minorEastAsia" w:hAnsiTheme="minorBidi" w:cstheme="minorBidi"/>
          <w:bCs/>
          <w:snapToGrid w:val="0"/>
          <w:sz w:val="22"/>
          <w:szCs w:val="22"/>
          <w:lang w:val="en-GB" w:eastAsia="ko-KR"/>
        </w:rPr>
        <w:t xml:space="preserve"> for examination by the fifth </w:t>
      </w:r>
      <w:r w:rsidR="00CE08AE" w:rsidRPr="000A2B10">
        <w:rPr>
          <w:rFonts w:asciiTheme="minorBidi" w:eastAsiaTheme="minorEastAsia" w:hAnsiTheme="minorBidi" w:cstheme="minorBidi"/>
          <w:bCs/>
          <w:sz w:val="22"/>
          <w:szCs w:val="22"/>
          <w:lang w:val="en-GB" w:eastAsia="ko-KR"/>
        </w:rPr>
        <w:t>extraordinary session of the Intergovernmental Committee (</w:t>
      </w:r>
      <w:r w:rsidR="00CE08AE" w:rsidRPr="000A2B10">
        <w:rPr>
          <w:rFonts w:asciiTheme="minorBidi" w:hAnsiTheme="minorBidi" w:cstheme="minorBidi"/>
          <w:sz w:val="22"/>
          <w:szCs w:val="22"/>
          <w:lang w:val="en-GB"/>
        </w:rPr>
        <w:t xml:space="preserve">online, </w:t>
      </w:r>
      <w:r w:rsidR="006117DC" w:rsidRPr="000A2B10">
        <w:rPr>
          <w:rFonts w:asciiTheme="minorBidi" w:hAnsiTheme="minorBidi" w:cstheme="minorBidi"/>
          <w:sz w:val="22"/>
          <w:szCs w:val="22"/>
          <w:lang w:val="en-GB"/>
        </w:rPr>
        <w:t xml:space="preserve">31 </w:t>
      </w:r>
      <w:r w:rsidR="00CE08AE" w:rsidRPr="000A2B10">
        <w:rPr>
          <w:rFonts w:asciiTheme="minorBidi" w:hAnsiTheme="minorBidi" w:cstheme="minorBidi"/>
          <w:sz w:val="22"/>
          <w:szCs w:val="22"/>
          <w:lang w:val="en-GB"/>
        </w:rPr>
        <w:t>May 2022).</w:t>
      </w:r>
    </w:p>
    <w:p w14:paraId="0DFA746F" w14:textId="10E4DCE5" w:rsidR="00CE08AE" w:rsidRPr="000A2B10" w:rsidRDefault="00CE08AE" w:rsidP="00CE08AE">
      <w:pPr>
        <w:pStyle w:val="Sansinterligne1"/>
        <w:numPr>
          <w:ilvl w:val="0"/>
          <w:numId w:val="12"/>
        </w:numPr>
        <w:snapToGrid w:val="0"/>
        <w:spacing w:after="120"/>
        <w:ind w:left="567" w:hanging="567"/>
        <w:jc w:val="both"/>
        <w:rPr>
          <w:rFonts w:asciiTheme="minorBidi" w:eastAsiaTheme="minorEastAsia" w:hAnsiTheme="minorBidi" w:cstheme="minorBidi"/>
          <w:bCs/>
          <w:snapToGrid w:val="0"/>
          <w:sz w:val="22"/>
          <w:szCs w:val="22"/>
          <w:lang w:val="en-GB" w:eastAsia="ko-KR"/>
        </w:rPr>
      </w:pPr>
      <w:r w:rsidRPr="000A2B10">
        <w:rPr>
          <w:rFonts w:asciiTheme="minorBidi" w:eastAsiaTheme="minorEastAsia" w:hAnsiTheme="minorBidi" w:cstheme="minorBidi"/>
          <w:bCs/>
          <w:snapToGrid w:val="0"/>
          <w:sz w:val="22"/>
          <w:szCs w:val="22"/>
          <w:lang w:val="en-GB" w:eastAsia="ko-KR"/>
        </w:rPr>
        <w:t xml:space="preserve">If the fifth extraordinary session of the Committee so decides, the amendments to the Operational Directives </w:t>
      </w:r>
      <w:r w:rsidR="00FA1EE2" w:rsidRPr="000A2B10">
        <w:rPr>
          <w:rFonts w:asciiTheme="minorBidi" w:eastAsiaTheme="minorEastAsia" w:hAnsiTheme="minorBidi" w:cstheme="minorBidi"/>
          <w:bCs/>
          <w:snapToGrid w:val="0"/>
          <w:sz w:val="22"/>
          <w:szCs w:val="22"/>
          <w:lang w:val="en-GB" w:eastAsia="ko-KR"/>
        </w:rPr>
        <w:t xml:space="preserve">that correspond to the recommendations </w:t>
      </w:r>
      <w:r w:rsidR="006950B1" w:rsidRPr="000A2B10">
        <w:rPr>
          <w:rFonts w:asciiTheme="minorBidi" w:eastAsiaTheme="minorEastAsia" w:hAnsiTheme="minorBidi" w:cstheme="minorBidi"/>
          <w:bCs/>
          <w:snapToGrid w:val="0"/>
          <w:sz w:val="22"/>
          <w:szCs w:val="22"/>
          <w:lang w:val="en-GB" w:eastAsia="ko-KR"/>
        </w:rPr>
        <w:t xml:space="preserve">to be made </w:t>
      </w:r>
      <w:r w:rsidRPr="000A2B10">
        <w:rPr>
          <w:rFonts w:asciiTheme="minorBidi" w:eastAsiaTheme="minorEastAsia" w:hAnsiTheme="minorBidi" w:cstheme="minorBidi"/>
          <w:bCs/>
          <w:snapToGrid w:val="0"/>
          <w:sz w:val="22"/>
          <w:szCs w:val="22"/>
          <w:lang w:val="en-GB" w:eastAsia="ko-KR"/>
        </w:rPr>
        <w:t>by Part III</w:t>
      </w:r>
      <w:r w:rsidR="006950B1" w:rsidRPr="000A2B10">
        <w:rPr>
          <w:rFonts w:asciiTheme="minorBidi" w:eastAsiaTheme="minorEastAsia" w:hAnsiTheme="minorBidi" w:cstheme="minorBidi"/>
          <w:bCs/>
          <w:snapToGrid w:val="0"/>
          <w:sz w:val="22"/>
          <w:szCs w:val="22"/>
          <w:lang w:val="en-GB" w:eastAsia="ko-KR"/>
        </w:rPr>
        <w:t xml:space="preserve"> of the working group meeting</w:t>
      </w:r>
      <w:r w:rsidRPr="000A2B10">
        <w:rPr>
          <w:rFonts w:asciiTheme="minorBidi" w:eastAsiaTheme="minorEastAsia" w:hAnsiTheme="minorBidi" w:cstheme="minorBidi"/>
          <w:bCs/>
          <w:snapToGrid w:val="0"/>
          <w:sz w:val="22"/>
          <w:szCs w:val="22"/>
          <w:lang w:val="en-GB" w:eastAsia="ko-KR"/>
        </w:rPr>
        <w:t xml:space="preserve"> may be </w:t>
      </w:r>
      <w:r w:rsidR="00FA1EE2" w:rsidRPr="000A2B10">
        <w:rPr>
          <w:rFonts w:asciiTheme="minorBidi" w:eastAsiaTheme="minorEastAsia" w:hAnsiTheme="minorBidi" w:cstheme="minorBidi"/>
          <w:bCs/>
          <w:snapToGrid w:val="0"/>
          <w:sz w:val="22"/>
          <w:szCs w:val="22"/>
          <w:lang w:val="en-GB" w:eastAsia="ko-KR"/>
        </w:rPr>
        <w:t>presented</w:t>
      </w:r>
      <w:r w:rsidR="0075556D" w:rsidRPr="000A2B10">
        <w:rPr>
          <w:rFonts w:asciiTheme="minorBidi" w:eastAsiaTheme="minorEastAsia" w:hAnsiTheme="minorBidi" w:cstheme="minorBidi"/>
          <w:bCs/>
          <w:snapToGrid w:val="0"/>
          <w:sz w:val="22"/>
          <w:szCs w:val="22"/>
          <w:lang w:val="en-GB" w:eastAsia="ko-KR"/>
        </w:rPr>
        <w:t xml:space="preserve"> </w:t>
      </w:r>
      <w:r w:rsidR="0085056F" w:rsidRPr="000A2B10">
        <w:rPr>
          <w:rFonts w:asciiTheme="minorBidi" w:eastAsiaTheme="minorEastAsia" w:hAnsiTheme="minorBidi" w:cstheme="minorBidi"/>
          <w:bCs/>
          <w:snapToGrid w:val="0"/>
          <w:sz w:val="22"/>
          <w:szCs w:val="22"/>
          <w:lang w:val="en-GB" w:eastAsia="ko-KR"/>
        </w:rPr>
        <w:t>(</w:t>
      </w:r>
      <w:r w:rsidR="0075556D" w:rsidRPr="000A2B10">
        <w:rPr>
          <w:rFonts w:asciiTheme="minorBidi" w:eastAsiaTheme="minorEastAsia" w:hAnsiTheme="minorBidi" w:cstheme="minorBidi"/>
          <w:bCs/>
          <w:snapToGrid w:val="0"/>
          <w:sz w:val="22"/>
          <w:szCs w:val="22"/>
          <w:lang w:val="en-GB" w:eastAsia="ko-KR"/>
        </w:rPr>
        <w:t>together with those recommended by Part I and Part II of the working group</w:t>
      </w:r>
      <w:r w:rsidR="00254438" w:rsidRPr="000A2B10">
        <w:rPr>
          <w:rFonts w:asciiTheme="minorBidi" w:eastAsiaTheme="minorEastAsia" w:hAnsiTheme="minorBidi" w:cstheme="minorBidi"/>
          <w:bCs/>
          <w:snapToGrid w:val="0"/>
          <w:sz w:val="22"/>
          <w:szCs w:val="22"/>
          <w:lang w:val="en-GB" w:eastAsia="ko-KR"/>
        </w:rPr>
        <w:t xml:space="preserve"> meeting</w:t>
      </w:r>
      <w:r w:rsidR="0085056F" w:rsidRPr="000A2B10">
        <w:rPr>
          <w:rFonts w:asciiTheme="minorBidi" w:eastAsiaTheme="minorEastAsia" w:hAnsiTheme="minorBidi" w:cstheme="minorBidi"/>
          <w:bCs/>
          <w:snapToGrid w:val="0"/>
          <w:sz w:val="22"/>
          <w:szCs w:val="22"/>
          <w:lang w:val="en-GB" w:eastAsia="ko-KR"/>
        </w:rPr>
        <w:t>)</w:t>
      </w:r>
      <w:r w:rsidRPr="000A2B10">
        <w:rPr>
          <w:rFonts w:asciiTheme="minorBidi" w:eastAsiaTheme="minorEastAsia" w:hAnsiTheme="minorBidi" w:cstheme="minorBidi"/>
          <w:bCs/>
          <w:snapToGrid w:val="0"/>
          <w:sz w:val="22"/>
          <w:szCs w:val="22"/>
          <w:lang w:val="en-GB" w:eastAsia="ko-KR"/>
        </w:rPr>
        <w:t xml:space="preserve"> </w:t>
      </w:r>
      <w:r w:rsidR="006950B1" w:rsidRPr="000A2B10">
        <w:rPr>
          <w:rFonts w:asciiTheme="minorBidi" w:eastAsiaTheme="minorEastAsia" w:hAnsiTheme="minorBidi" w:cstheme="minorBidi"/>
          <w:bCs/>
          <w:snapToGrid w:val="0"/>
          <w:sz w:val="22"/>
          <w:szCs w:val="22"/>
          <w:lang w:val="en-GB" w:eastAsia="ko-KR"/>
        </w:rPr>
        <w:t xml:space="preserve">to the General Assembly </w:t>
      </w:r>
      <w:r w:rsidRPr="000A2B10">
        <w:rPr>
          <w:rFonts w:asciiTheme="minorBidi" w:eastAsiaTheme="minorEastAsia" w:hAnsiTheme="minorBidi" w:cstheme="minorBidi"/>
          <w:bCs/>
          <w:snapToGrid w:val="0"/>
          <w:sz w:val="22"/>
          <w:szCs w:val="22"/>
          <w:lang w:val="en-GB" w:eastAsia="ko-KR"/>
        </w:rPr>
        <w:t>for examination and adoption at its ninth session (UNESCO Headquarters, 5 to 7 July 2022).</w:t>
      </w:r>
    </w:p>
    <w:p w14:paraId="5BB88C24" w14:textId="0C4248BD" w:rsidR="00CE08AE" w:rsidRPr="000A2B10" w:rsidRDefault="00CE08AE">
      <w:pPr>
        <w:spacing w:after="0"/>
        <w:rPr>
          <w:rFonts w:asciiTheme="minorBidi" w:eastAsiaTheme="minorEastAsia" w:hAnsiTheme="minorBidi" w:cstheme="minorBidi"/>
          <w:bCs/>
          <w:szCs w:val="22"/>
          <w:lang w:eastAsia="ko-KR"/>
        </w:rPr>
      </w:pPr>
      <w:r w:rsidRPr="000A2B10">
        <w:rPr>
          <w:rFonts w:asciiTheme="minorBidi" w:eastAsiaTheme="minorEastAsia" w:hAnsiTheme="minorBidi" w:cstheme="minorBidi"/>
          <w:bCs/>
          <w:szCs w:val="22"/>
          <w:lang w:eastAsia="ko-KR"/>
        </w:rPr>
        <w:br w:type="page"/>
      </w:r>
    </w:p>
    <w:p w14:paraId="2201AF47" w14:textId="17477B4A" w:rsidR="00CE08AE" w:rsidRPr="000A2B10" w:rsidRDefault="00CE08AE" w:rsidP="00643A89">
      <w:pPr>
        <w:pStyle w:val="Sansinterligne1"/>
        <w:spacing w:before="360" w:after="360"/>
        <w:jc w:val="center"/>
        <w:rPr>
          <w:rFonts w:asciiTheme="minorBidi" w:eastAsiaTheme="minorEastAsia" w:hAnsiTheme="minorBidi" w:cstheme="minorBidi"/>
          <w:b/>
          <w:sz w:val="22"/>
          <w:szCs w:val="22"/>
          <w:lang w:val="en-GB" w:eastAsia="ko-KR"/>
        </w:rPr>
      </w:pPr>
      <w:r w:rsidRPr="000A2B10">
        <w:rPr>
          <w:rFonts w:asciiTheme="minorBidi" w:eastAsiaTheme="minorEastAsia" w:hAnsiTheme="minorBidi" w:cstheme="minorBidi"/>
          <w:b/>
          <w:sz w:val="22"/>
          <w:szCs w:val="22"/>
          <w:lang w:val="en-GB" w:eastAsia="ko-KR"/>
        </w:rPr>
        <w:lastRenderedPageBreak/>
        <w:t>Recommendations of the Open-ended intergovernmental working group (Part III)</w:t>
      </w:r>
    </w:p>
    <w:p w14:paraId="2C5186EC" w14:textId="6F60F785" w:rsidR="006E3230" w:rsidRPr="000A2B10" w:rsidRDefault="006E3230" w:rsidP="00643A89">
      <w:pPr>
        <w:pStyle w:val="Sansinterligne1"/>
        <w:spacing w:before="360" w:after="360"/>
        <w:ind w:left="720"/>
        <w:jc w:val="center"/>
        <w:rPr>
          <w:rFonts w:asciiTheme="minorBidi" w:eastAsiaTheme="minorEastAsia" w:hAnsiTheme="minorBidi" w:cstheme="minorBidi"/>
          <w:bCs/>
          <w:sz w:val="22"/>
          <w:szCs w:val="22"/>
          <w:lang w:val="en-GB" w:eastAsia="ko-KR"/>
        </w:rPr>
      </w:pPr>
      <w:r w:rsidRPr="000A2B10">
        <w:rPr>
          <w:rFonts w:asciiTheme="minorBidi" w:eastAsiaTheme="minorEastAsia" w:hAnsiTheme="minorBidi" w:cstheme="minorBidi"/>
          <w:bCs/>
          <w:sz w:val="22"/>
          <w:szCs w:val="22"/>
          <w:lang w:val="en-GB" w:eastAsia="ko-KR"/>
        </w:rPr>
        <w:t>[</w:t>
      </w:r>
      <w:r w:rsidR="00205B09" w:rsidRPr="000A2B10">
        <w:rPr>
          <w:rFonts w:asciiTheme="minorBidi" w:eastAsiaTheme="minorEastAsia" w:hAnsiTheme="minorBidi" w:cstheme="minorBidi"/>
          <w:bCs/>
          <w:snapToGrid w:val="0"/>
          <w:sz w:val="22"/>
          <w:szCs w:val="22"/>
          <w:highlight w:val="cyan"/>
          <w:lang w:val="en-GB" w:eastAsia="ko-KR"/>
        </w:rPr>
        <w:t>To be proposed during Part III of the working group’s meeting</w:t>
      </w:r>
      <w:r w:rsidR="00B07524" w:rsidRPr="000A2B10">
        <w:rPr>
          <w:rFonts w:asciiTheme="minorBidi" w:eastAsiaTheme="minorEastAsia" w:hAnsiTheme="minorBidi" w:cstheme="minorBidi"/>
          <w:bCs/>
          <w:snapToGrid w:val="0"/>
          <w:sz w:val="22"/>
          <w:szCs w:val="22"/>
          <w:highlight w:val="cyan"/>
          <w:lang w:val="en-GB" w:eastAsia="ko-KR"/>
        </w:rPr>
        <w:t>.</w:t>
      </w:r>
      <w:r w:rsidRPr="000A2B10">
        <w:rPr>
          <w:rFonts w:asciiTheme="minorBidi" w:eastAsiaTheme="minorEastAsia" w:hAnsiTheme="minorBidi" w:cstheme="minorBidi"/>
          <w:bCs/>
          <w:sz w:val="22"/>
          <w:szCs w:val="22"/>
          <w:lang w:val="en-GB" w:eastAsia="ko-KR"/>
        </w:rPr>
        <w:t>]</w:t>
      </w:r>
    </w:p>
    <w:sectPr w:rsidR="006E3230" w:rsidRPr="000A2B10" w:rsidSect="002938F2">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73861" w14:textId="77777777" w:rsidR="0046418A" w:rsidRDefault="0046418A" w:rsidP="002938F2">
      <w:r>
        <w:separator/>
      </w:r>
    </w:p>
    <w:p w14:paraId="56EAB036" w14:textId="77777777" w:rsidR="0046418A" w:rsidRDefault="0046418A"/>
  </w:endnote>
  <w:endnote w:type="continuationSeparator" w:id="0">
    <w:p w14:paraId="6249396E" w14:textId="77777777" w:rsidR="0046418A" w:rsidRDefault="0046418A" w:rsidP="002938F2">
      <w:r>
        <w:continuationSeparator/>
      </w:r>
    </w:p>
    <w:p w14:paraId="2E2D1597" w14:textId="77777777" w:rsidR="0046418A" w:rsidRDefault="00464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CC531" w14:textId="77777777" w:rsidR="0046418A" w:rsidRDefault="0046418A" w:rsidP="002938F2">
      <w:r>
        <w:separator/>
      </w:r>
    </w:p>
    <w:p w14:paraId="32F596F5" w14:textId="77777777" w:rsidR="0046418A" w:rsidRDefault="0046418A"/>
  </w:footnote>
  <w:footnote w:type="continuationSeparator" w:id="0">
    <w:p w14:paraId="137E4D63" w14:textId="77777777" w:rsidR="0046418A" w:rsidRDefault="0046418A" w:rsidP="002938F2">
      <w:r>
        <w:continuationSeparator/>
      </w:r>
    </w:p>
    <w:p w14:paraId="6F6B8296" w14:textId="77777777" w:rsidR="0046418A" w:rsidRDefault="004641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ADAF" w14:textId="5874B534" w:rsidR="00B6167A" w:rsidRPr="002B7155" w:rsidRDefault="007D6437" w:rsidP="007E4E37">
    <w:pPr>
      <w:pStyle w:val="Header"/>
      <w:rPr>
        <w:rFonts w:ascii="Arial" w:hAnsi="Arial" w:cs="Arial"/>
        <w:lang w:val="fr-FR"/>
      </w:rPr>
    </w:pPr>
    <w:r w:rsidRPr="0022663D">
      <w:rPr>
        <w:rFonts w:ascii="Arial" w:hAnsi="Arial" w:cs="Arial"/>
        <w:sz w:val="20"/>
        <w:szCs w:val="20"/>
        <w:lang w:val="pt-PT"/>
      </w:rPr>
      <w:t>LHE/22/</w:t>
    </w:r>
    <w:r w:rsidR="00CE08AE">
      <w:rPr>
        <w:rFonts w:ascii="Arial" w:hAnsi="Arial" w:cs="Arial"/>
        <w:sz w:val="20"/>
        <w:szCs w:val="20"/>
        <w:lang w:val="pt-PT"/>
      </w:rPr>
      <w:t>17.</w:t>
    </w:r>
    <w:r w:rsidRPr="0022663D">
      <w:rPr>
        <w:rFonts w:ascii="Arial" w:hAnsi="Arial" w:cs="Arial"/>
        <w:sz w:val="20"/>
        <w:szCs w:val="20"/>
        <w:lang w:val="pt-PT"/>
      </w:rPr>
      <w:t>COM</w:t>
    </w:r>
    <w:r w:rsidR="00CE08AE">
      <w:rPr>
        <w:rFonts w:ascii="Arial" w:hAnsi="Arial" w:cs="Arial"/>
        <w:sz w:val="20"/>
        <w:szCs w:val="20"/>
        <w:lang w:val="pt-PT"/>
      </w:rPr>
      <w:t xml:space="preserve"> WG</w:t>
    </w:r>
    <w:r w:rsidRPr="0022663D">
      <w:rPr>
        <w:rFonts w:ascii="Arial" w:hAnsi="Arial" w:cs="Arial"/>
        <w:sz w:val="20"/>
        <w:szCs w:val="20"/>
        <w:lang w:val="pt-PT"/>
      </w:rPr>
      <w:t>/</w:t>
    </w:r>
    <w:r w:rsidR="00CE08AE">
      <w:rPr>
        <w:rFonts w:ascii="Arial" w:hAnsi="Arial" w:cs="Arial"/>
        <w:sz w:val="20"/>
        <w:szCs w:val="20"/>
        <w:lang w:val="pt-PT"/>
      </w:rPr>
      <w:t>12</w:t>
    </w:r>
    <w:r w:rsidR="00B6167A" w:rsidRPr="002B7155">
      <w:rPr>
        <w:rFonts w:ascii="Arial" w:hAnsi="Arial" w:cs="Arial"/>
        <w:sz w:val="20"/>
        <w:szCs w:val="20"/>
        <w:lang w:val="fr-FR"/>
      </w:rPr>
      <w:t xml:space="preserve">– page </w:t>
    </w:r>
    <w:r w:rsidR="00B6167A" w:rsidRPr="00D81948">
      <w:rPr>
        <w:rStyle w:val="PageNumber"/>
        <w:rFonts w:ascii="Arial" w:hAnsi="Arial" w:cs="Arial"/>
        <w:sz w:val="20"/>
        <w:szCs w:val="20"/>
      </w:rPr>
      <w:fldChar w:fldCharType="begin"/>
    </w:r>
    <w:r w:rsidR="00B6167A" w:rsidRPr="002B7155">
      <w:rPr>
        <w:rStyle w:val="PageNumber"/>
        <w:rFonts w:ascii="Arial" w:hAnsi="Arial" w:cs="Arial"/>
        <w:sz w:val="20"/>
        <w:szCs w:val="20"/>
        <w:lang w:val="fr-FR"/>
      </w:rPr>
      <w:instrText xml:space="preserve"> PAGE </w:instrText>
    </w:r>
    <w:r w:rsidR="00B6167A" w:rsidRPr="00D81948">
      <w:rPr>
        <w:rStyle w:val="PageNumber"/>
        <w:rFonts w:ascii="Arial" w:hAnsi="Arial" w:cs="Arial"/>
        <w:sz w:val="20"/>
        <w:szCs w:val="20"/>
      </w:rPr>
      <w:fldChar w:fldCharType="separate"/>
    </w:r>
    <w:r w:rsidR="00084713" w:rsidRPr="002B7155">
      <w:rPr>
        <w:rStyle w:val="PageNumber"/>
        <w:rFonts w:ascii="Arial" w:hAnsi="Arial" w:cs="Arial"/>
        <w:noProof/>
        <w:sz w:val="20"/>
        <w:szCs w:val="20"/>
        <w:lang w:val="fr-FR"/>
      </w:rPr>
      <w:t>2</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D0B" w14:textId="6082CDC0" w:rsidR="00B6167A" w:rsidRPr="007E4E37" w:rsidRDefault="00CE08AE" w:rsidP="007250E3">
    <w:pPr>
      <w:pStyle w:val="Header"/>
      <w:ind w:left="2544" w:firstLine="3693"/>
      <w:jc w:val="right"/>
      <w:rPr>
        <w:rFonts w:ascii="Arial" w:hAnsi="Arial" w:cs="Arial"/>
      </w:rPr>
    </w:pPr>
    <w:r>
      <w:rPr>
        <w:rFonts w:ascii="Arial" w:hAnsi="Arial" w:cs="Arial"/>
        <w:sz w:val="20"/>
        <w:szCs w:val="20"/>
        <w:lang w:val="en-US"/>
      </w:rPr>
      <w:t>LHE</w:t>
    </w:r>
    <w:r w:rsidR="006C0911">
      <w:rPr>
        <w:rFonts w:ascii="Arial" w:hAnsi="Arial" w:cs="Arial"/>
        <w:sz w:val="20"/>
        <w:szCs w:val="20"/>
        <w:lang w:val="en-US"/>
      </w:rPr>
      <w:t>/</w:t>
    </w:r>
    <w:r w:rsidR="00CB500D">
      <w:rPr>
        <w:rFonts w:ascii="Arial" w:hAnsi="Arial" w:cs="Arial"/>
        <w:sz w:val="20"/>
        <w:szCs w:val="20"/>
        <w:lang w:val="en-US"/>
      </w:rPr>
      <w:t>2</w:t>
    </w:r>
    <w:r>
      <w:rPr>
        <w:rFonts w:ascii="Arial" w:hAnsi="Arial" w:cs="Arial"/>
        <w:sz w:val="20"/>
        <w:szCs w:val="20"/>
        <w:lang w:val="en-US"/>
      </w:rPr>
      <w:t>2</w:t>
    </w:r>
    <w:r w:rsidR="006C0911">
      <w:rPr>
        <w:rFonts w:ascii="Arial" w:hAnsi="Arial" w:cs="Arial"/>
        <w:sz w:val="20"/>
        <w:szCs w:val="20"/>
        <w:lang w:val="en-US"/>
      </w:rPr>
      <w:t>/1</w:t>
    </w:r>
    <w:r>
      <w:rPr>
        <w:rFonts w:ascii="Arial" w:hAnsi="Arial" w:cs="Arial"/>
        <w:sz w:val="20"/>
        <w:szCs w:val="20"/>
        <w:lang w:val="en-US"/>
      </w:rPr>
      <w:t>7</w:t>
    </w:r>
    <w:r w:rsidR="007E4E37">
      <w:rPr>
        <w:rFonts w:ascii="Arial" w:hAnsi="Arial" w:cs="Arial"/>
        <w:sz w:val="20"/>
        <w:szCs w:val="20"/>
        <w:lang w:val="en-US"/>
      </w:rPr>
      <w:t>.COM</w:t>
    </w:r>
    <w:r w:rsidR="007250E3">
      <w:rPr>
        <w:rFonts w:ascii="Arial" w:eastAsiaTheme="minorEastAsia" w:hAnsi="Arial" w:cs="Arial" w:hint="eastAsia"/>
        <w:sz w:val="20"/>
        <w:szCs w:val="20"/>
        <w:lang w:val="en-US" w:eastAsia="ko-KR"/>
      </w:rPr>
      <w:t xml:space="preserve"> WG</w:t>
    </w:r>
    <w:r w:rsidR="008B7346">
      <w:rPr>
        <w:rFonts w:ascii="Arial" w:hAnsi="Arial" w:cs="Arial"/>
        <w:sz w:val="20"/>
        <w:szCs w:val="20"/>
        <w:lang w:val="en-US"/>
      </w:rPr>
      <w:t>/</w:t>
    </w:r>
    <w:r>
      <w:rPr>
        <w:rFonts w:ascii="Arial" w:hAnsi="Arial" w:cs="Arial"/>
        <w:sz w:val="20"/>
        <w:szCs w:val="20"/>
        <w:lang w:val="en-US"/>
      </w:rPr>
      <w:t>12</w:t>
    </w:r>
    <w:r w:rsidR="001E4EEB">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CA6FEF">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C8B6" w14:textId="53D2DBD8" w:rsidR="00B6167A" w:rsidRPr="008724E5" w:rsidRDefault="00D01A30">
    <w:pPr>
      <w:pStyle w:val="Header"/>
    </w:pPr>
    <w:r>
      <w:rPr>
        <w:noProof/>
      </w:rPr>
      <w:drawing>
        <wp:anchor distT="0" distB="0" distL="114300" distR="114300" simplePos="0" relativeHeight="251659264" behindDoc="0" locked="0" layoutInCell="1" allowOverlap="1" wp14:anchorId="5B48CD13" wp14:editId="252054A5">
          <wp:simplePos x="0" y="0"/>
          <wp:positionH relativeFrom="column">
            <wp:posOffset>101600</wp:posOffset>
          </wp:positionH>
          <wp:positionV relativeFrom="paragraph">
            <wp:posOffset>-82550</wp:posOffset>
          </wp:positionV>
          <wp:extent cx="1688124" cy="1322363"/>
          <wp:effectExtent l="0" t="0" r="7620" b="0"/>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124" cy="13223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8AC81C" w14:textId="21738CA3" w:rsidR="00B6167A" w:rsidRPr="00B52922" w:rsidRDefault="00CE08AE" w:rsidP="002938F2">
    <w:pPr>
      <w:pStyle w:val="Header"/>
      <w:spacing w:after="520"/>
      <w:jc w:val="right"/>
      <w:rPr>
        <w:rFonts w:ascii="Arial" w:eastAsiaTheme="minorEastAsia" w:hAnsi="Arial" w:cs="Arial"/>
        <w:b/>
        <w:sz w:val="44"/>
        <w:szCs w:val="44"/>
        <w:lang w:val="pt-PT" w:eastAsia="ko-KR"/>
      </w:rPr>
    </w:pPr>
    <w:r>
      <w:rPr>
        <w:rFonts w:ascii="Arial" w:hAnsi="Arial" w:cs="Arial"/>
        <w:b/>
        <w:sz w:val="44"/>
        <w:szCs w:val="44"/>
        <w:lang w:val="pt-PT"/>
      </w:rPr>
      <w:t>17</w:t>
    </w:r>
    <w:r w:rsidR="00F55243">
      <w:rPr>
        <w:rFonts w:ascii="Arial" w:hAnsi="Arial" w:cs="Arial"/>
        <w:b/>
        <w:sz w:val="44"/>
        <w:szCs w:val="44"/>
        <w:lang w:val="pt-PT"/>
      </w:rPr>
      <w:t xml:space="preserve"> </w:t>
    </w:r>
    <w:r w:rsidR="007E4E37" w:rsidRPr="00B52922">
      <w:rPr>
        <w:rFonts w:ascii="Arial" w:hAnsi="Arial" w:cs="Arial"/>
        <w:b/>
        <w:sz w:val="44"/>
        <w:szCs w:val="44"/>
        <w:lang w:val="pt-PT"/>
      </w:rPr>
      <w:t>COM</w:t>
    </w:r>
    <w:r w:rsidR="007250E3" w:rsidRPr="00B52922">
      <w:rPr>
        <w:rFonts w:ascii="Arial" w:eastAsiaTheme="minorEastAsia" w:hAnsi="Arial" w:cs="Arial"/>
        <w:b/>
        <w:sz w:val="44"/>
        <w:szCs w:val="44"/>
        <w:lang w:val="pt-PT" w:eastAsia="ko-KR"/>
      </w:rPr>
      <w:t xml:space="preserve"> </w:t>
    </w:r>
    <w:r>
      <w:rPr>
        <w:rFonts w:ascii="Arial" w:eastAsiaTheme="minorEastAsia" w:hAnsi="Arial" w:cs="Arial"/>
        <w:b/>
        <w:sz w:val="44"/>
        <w:szCs w:val="44"/>
        <w:lang w:val="pt-PT" w:eastAsia="ko-KR"/>
      </w:rPr>
      <w:t>WG</w:t>
    </w:r>
  </w:p>
  <w:p w14:paraId="122B936C" w14:textId="02981AE4" w:rsidR="00B6167A" w:rsidRPr="00643A89" w:rsidRDefault="003F67FB" w:rsidP="002D396D">
    <w:pPr>
      <w:spacing w:after="0"/>
      <w:jc w:val="right"/>
      <w:rPr>
        <w:rFonts w:ascii="Arial" w:eastAsiaTheme="minorEastAsia" w:hAnsi="Arial" w:cs="Arial"/>
        <w:b/>
        <w:szCs w:val="22"/>
        <w:lang w:val="pt-PT" w:eastAsia="ko-KR"/>
      </w:rPr>
    </w:pPr>
    <w:r w:rsidRPr="00643A89">
      <w:rPr>
        <w:rFonts w:ascii="Arial" w:hAnsi="Arial" w:cs="Arial"/>
        <w:b/>
        <w:szCs w:val="22"/>
        <w:lang w:val="pt-PT"/>
      </w:rPr>
      <w:t>LHE</w:t>
    </w:r>
    <w:r w:rsidR="006A0D86" w:rsidRPr="00643A89">
      <w:rPr>
        <w:rFonts w:ascii="Arial" w:hAnsi="Arial" w:cs="Arial"/>
        <w:b/>
        <w:szCs w:val="22"/>
        <w:lang w:val="pt-PT"/>
      </w:rPr>
      <w:t>/</w:t>
    </w:r>
    <w:r w:rsidR="00304F3C" w:rsidRPr="00643A89">
      <w:rPr>
        <w:rFonts w:ascii="Arial" w:hAnsi="Arial" w:cs="Arial"/>
        <w:b/>
        <w:szCs w:val="22"/>
        <w:lang w:val="pt-PT"/>
      </w:rPr>
      <w:t>22</w:t>
    </w:r>
    <w:r w:rsidR="00B6167A" w:rsidRPr="00643A89">
      <w:rPr>
        <w:rFonts w:ascii="Arial" w:hAnsi="Arial" w:cs="Arial"/>
        <w:b/>
        <w:szCs w:val="22"/>
        <w:lang w:val="pt-PT"/>
      </w:rPr>
      <w:t>/</w:t>
    </w:r>
    <w:r w:rsidR="00CE08AE" w:rsidRPr="00643A89">
      <w:rPr>
        <w:rFonts w:ascii="Arial" w:hAnsi="Arial" w:cs="Arial"/>
        <w:b/>
        <w:szCs w:val="22"/>
        <w:lang w:val="pt-PT"/>
      </w:rPr>
      <w:t>17</w:t>
    </w:r>
    <w:r w:rsidR="00643A89">
      <w:rPr>
        <w:rFonts w:ascii="Arial" w:hAnsi="Arial" w:cs="Arial"/>
        <w:b/>
        <w:szCs w:val="22"/>
        <w:lang w:val="pt-PT"/>
      </w:rPr>
      <w:t>.</w:t>
    </w:r>
    <w:r w:rsidR="00CE08AE" w:rsidRPr="00643A89">
      <w:rPr>
        <w:rFonts w:ascii="Arial" w:hAnsi="Arial" w:cs="Arial"/>
        <w:b/>
        <w:szCs w:val="22"/>
        <w:lang w:val="pt-PT"/>
      </w:rPr>
      <w:t>COM</w:t>
    </w:r>
    <w:r w:rsidR="00643A89">
      <w:rPr>
        <w:rFonts w:ascii="Arial" w:hAnsi="Arial" w:cs="Arial"/>
        <w:b/>
        <w:szCs w:val="22"/>
        <w:lang w:val="pt-PT"/>
      </w:rPr>
      <w:t xml:space="preserve"> WG</w:t>
    </w:r>
    <w:r w:rsidR="008B7346" w:rsidRPr="00643A89">
      <w:rPr>
        <w:rFonts w:ascii="Arial" w:hAnsi="Arial" w:cs="Arial"/>
        <w:b/>
        <w:szCs w:val="22"/>
        <w:lang w:val="pt-PT"/>
      </w:rPr>
      <w:t>/</w:t>
    </w:r>
    <w:r w:rsidR="00CE08AE" w:rsidRPr="00643A89">
      <w:rPr>
        <w:rFonts w:ascii="Arial" w:hAnsi="Arial" w:cs="Arial"/>
        <w:b/>
        <w:szCs w:val="22"/>
        <w:lang w:val="pt-PT"/>
      </w:rPr>
      <w:t>12</w:t>
    </w:r>
  </w:p>
  <w:p w14:paraId="2CC34105" w14:textId="70F76BED" w:rsidR="00B6167A" w:rsidRPr="00F55243" w:rsidRDefault="00B6167A" w:rsidP="00C81439">
    <w:pPr>
      <w:spacing w:after="0"/>
      <w:jc w:val="right"/>
      <w:rPr>
        <w:rFonts w:ascii="Arial" w:eastAsiaTheme="minorEastAsia" w:hAnsi="Arial" w:cs="Arial"/>
        <w:b/>
        <w:szCs w:val="22"/>
        <w:lang w:val="pt-PT" w:eastAsia="ko-KR"/>
      </w:rPr>
    </w:pPr>
    <w:r w:rsidRPr="00643A89">
      <w:rPr>
        <w:rFonts w:ascii="Arial" w:hAnsi="Arial" w:cs="Arial"/>
        <w:b/>
        <w:szCs w:val="22"/>
        <w:lang w:val="pt-PT"/>
      </w:rPr>
      <w:t>Paris,</w:t>
    </w:r>
    <w:r w:rsidR="00CB500D" w:rsidRPr="00643A89">
      <w:rPr>
        <w:rFonts w:ascii="Arial" w:hAnsi="Arial" w:cs="Arial"/>
        <w:b/>
        <w:szCs w:val="22"/>
        <w:lang w:val="pt-PT"/>
      </w:rPr>
      <w:t xml:space="preserve"> </w:t>
    </w:r>
    <w:r w:rsidR="00481A4B" w:rsidRPr="00643A89">
      <w:rPr>
        <w:rFonts w:ascii="Arial" w:hAnsi="Arial" w:cs="Arial"/>
        <w:b/>
        <w:szCs w:val="22"/>
        <w:lang w:val="pt-PT"/>
      </w:rPr>
      <w:t xml:space="preserve">13 </w:t>
    </w:r>
    <w:proofErr w:type="spellStart"/>
    <w:r w:rsidR="00E95464" w:rsidRPr="00643A89">
      <w:rPr>
        <w:rFonts w:ascii="Arial" w:hAnsi="Arial" w:cs="Arial"/>
        <w:b/>
        <w:szCs w:val="22"/>
        <w:lang w:val="pt-PT"/>
      </w:rPr>
      <w:t>April</w:t>
    </w:r>
    <w:proofErr w:type="spellEnd"/>
    <w:r w:rsidR="009B4F53" w:rsidRPr="00643A89">
      <w:rPr>
        <w:rFonts w:ascii="Arial" w:hAnsi="Arial" w:cs="Arial"/>
        <w:b/>
        <w:szCs w:val="22"/>
        <w:lang w:val="pt-PT"/>
      </w:rPr>
      <w:t xml:space="preserve"> </w:t>
    </w:r>
    <w:r w:rsidR="007250E3" w:rsidRPr="00643A89">
      <w:rPr>
        <w:rFonts w:ascii="Arial" w:hAnsi="Arial" w:cs="Arial"/>
        <w:b/>
        <w:szCs w:val="22"/>
        <w:lang w:val="pt-PT"/>
      </w:rPr>
      <w:t>20</w:t>
    </w:r>
    <w:r w:rsidR="009B4F53" w:rsidRPr="00643A89">
      <w:rPr>
        <w:rFonts w:ascii="Arial" w:hAnsi="Arial" w:cs="Arial"/>
        <w:b/>
        <w:szCs w:val="22"/>
        <w:lang w:val="pt-PT"/>
      </w:rPr>
      <w:t>2</w:t>
    </w:r>
    <w:r w:rsidR="00304F3C" w:rsidRPr="00643A89">
      <w:rPr>
        <w:rFonts w:ascii="Arial" w:hAnsi="Arial" w:cs="Arial"/>
        <w:b/>
        <w:szCs w:val="22"/>
        <w:lang w:val="pt-PT"/>
      </w:rPr>
      <w:t>2</w:t>
    </w:r>
  </w:p>
  <w:p w14:paraId="59A22BCA" w14:textId="77777777" w:rsidR="00B6167A" w:rsidRPr="00F55243" w:rsidRDefault="00B6167A" w:rsidP="00C81439">
    <w:pPr>
      <w:spacing w:after="0"/>
      <w:jc w:val="right"/>
      <w:rPr>
        <w:rFonts w:ascii="Arial" w:hAnsi="Arial" w:cs="Arial"/>
        <w:b/>
        <w:szCs w:val="22"/>
        <w:lang w:val="pt-PT"/>
      </w:rPr>
    </w:pPr>
    <w:r w:rsidRPr="00F55243">
      <w:rPr>
        <w:rFonts w:ascii="Arial" w:hAnsi="Arial" w:cs="Arial"/>
        <w:b/>
        <w:szCs w:val="22"/>
        <w:lang w:val="pt-PT"/>
      </w:rPr>
      <w:t xml:space="preserve">Original: </w:t>
    </w:r>
    <w:proofErr w:type="spellStart"/>
    <w:r w:rsidR="00C81439" w:rsidRPr="00F55243">
      <w:rPr>
        <w:rFonts w:ascii="Arial" w:hAnsi="Arial" w:cs="Arial"/>
        <w:b/>
        <w:szCs w:val="22"/>
        <w:lang w:val="pt-PT"/>
      </w:rPr>
      <w:t>English</w:t>
    </w:r>
    <w:proofErr w:type="spellEnd"/>
  </w:p>
  <w:p w14:paraId="3D76CF75" w14:textId="77777777" w:rsidR="00B6167A" w:rsidRPr="00F55243" w:rsidRDefault="00B6167A">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87B0E72"/>
    <w:multiLevelType w:val="hybridMultilevel"/>
    <w:tmpl w:val="48347086"/>
    <w:lvl w:ilvl="0" w:tplc="DB8053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4413AFC"/>
    <w:multiLevelType w:val="hybridMultilevel"/>
    <w:tmpl w:val="33DA9210"/>
    <w:lvl w:ilvl="0" w:tplc="09764AB4">
      <w:start w:val="1"/>
      <w:numFmt w:val="upp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10"/>
  </w:num>
  <w:num w:numId="5">
    <w:abstractNumId w:val="7"/>
  </w:num>
  <w:num w:numId="6">
    <w:abstractNumId w:val="0"/>
  </w:num>
  <w:num w:numId="7">
    <w:abstractNumId w:val="2"/>
  </w:num>
  <w:num w:numId="8">
    <w:abstractNumId w:val="3"/>
  </w:num>
  <w:num w:numId="9">
    <w:abstractNumId w:val="8"/>
  </w:num>
  <w:num w:numId="10">
    <w:abstractNumId w:val="3"/>
    <w:lvlOverride w:ilvl="0">
      <w:startOverride w:val="1"/>
    </w:lvlOverride>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CB"/>
    <w:rsid w:val="000016A4"/>
    <w:rsid w:val="000019DB"/>
    <w:rsid w:val="000047CC"/>
    <w:rsid w:val="000120FD"/>
    <w:rsid w:val="00015ED9"/>
    <w:rsid w:val="00021831"/>
    <w:rsid w:val="00047E58"/>
    <w:rsid w:val="00053651"/>
    <w:rsid w:val="00073D20"/>
    <w:rsid w:val="000755E1"/>
    <w:rsid w:val="00084713"/>
    <w:rsid w:val="00085541"/>
    <w:rsid w:val="00093063"/>
    <w:rsid w:val="000A1E5F"/>
    <w:rsid w:val="000A2B10"/>
    <w:rsid w:val="000A34CE"/>
    <w:rsid w:val="000C65E4"/>
    <w:rsid w:val="000D42D9"/>
    <w:rsid w:val="000E507B"/>
    <w:rsid w:val="00106B72"/>
    <w:rsid w:val="0011750D"/>
    <w:rsid w:val="00125C8F"/>
    <w:rsid w:val="001412DE"/>
    <w:rsid w:val="00144A4D"/>
    <w:rsid w:val="00151351"/>
    <w:rsid w:val="001653CD"/>
    <w:rsid w:val="00174B39"/>
    <w:rsid w:val="001A431C"/>
    <w:rsid w:val="001B2F76"/>
    <w:rsid w:val="001D00B5"/>
    <w:rsid w:val="001D11C1"/>
    <w:rsid w:val="001D3B29"/>
    <w:rsid w:val="001D59C8"/>
    <w:rsid w:val="001E4EEB"/>
    <w:rsid w:val="001E6026"/>
    <w:rsid w:val="001F3696"/>
    <w:rsid w:val="001F37CA"/>
    <w:rsid w:val="00204B37"/>
    <w:rsid w:val="00205B09"/>
    <w:rsid w:val="002119C5"/>
    <w:rsid w:val="00211A52"/>
    <w:rsid w:val="00237E43"/>
    <w:rsid w:val="00251C9B"/>
    <w:rsid w:val="00254438"/>
    <w:rsid w:val="0027198B"/>
    <w:rsid w:val="00273FCC"/>
    <w:rsid w:val="00286C0C"/>
    <w:rsid w:val="00290D5F"/>
    <w:rsid w:val="00292DE8"/>
    <w:rsid w:val="002938F2"/>
    <w:rsid w:val="002A692C"/>
    <w:rsid w:val="002A6DA2"/>
    <w:rsid w:val="002B7155"/>
    <w:rsid w:val="002C5280"/>
    <w:rsid w:val="002D396D"/>
    <w:rsid w:val="002F59D3"/>
    <w:rsid w:val="00304F3C"/>
    <w:rsid w:val="00311049"/>
    <w:rsid w:val="00340270"/>
    <w:rsid w:val="0035565E"/>
    <w:rsid w:val="0035648A"/>
    <w:rsid w:val="00363995"/>
    <w:rsid w:val="00365B94"/>
    <w:rsid w:val="00377F71"/>
    <w:rsid w:val="0038683E"/>
    <w:rsid w:val="0039446E"/>
    <w:rsid w:val="003C7065"/>
    <w:rsid w:val="003F67FB"/>
    <w:rsid w:val="00404BB0"/>
    <w:rsid w:val="004108B6"/>
    <w:rsid w:val="00434773"/>
    <w:rsid w:val="00444D68"/>
    <w:rsid w:val="00447C66"/>
    <w:rsid w:val="0046418A"/>
    <w:rsid w:val="00471B34"/>
    <w:rsid w:val="00477EE6"/>
    <w:rsid w:val="00481A4B"/>
    <w:rsid w:val="004A04D4"/>
    <w:rsid w:val="004B62D0"/>
    <w:rsid w:val="004E056C"/>
    <w:rsid w:val="004E2817"/>
    <w:rsid w:val="005016FB"/>
    <w:rsid w:val="00501981"/>
    <w:rsid w:val="00511D17"/>
    <w:rsid w:val="0051699F"/>
    <w:rsid w:val="005414A1"/>
    <w:rsid w:val="005908B4"/>
    <w:rsid w:val="005C0660"/>
    <w:rsid w:val="005C44B9"/>
    <w:rsid w:val="005D4F6A"/>
    <w:rsid w:val="00601DD6"/>
    <w:rsid w:val="00603F71"/>
    <w:rsid w:val="006117DC"/>
    <w:rsid w:val="00636760"/>
    <w:rsid w:val="00643A89"/>
    <w:rsid w:val="006515C9"/>
    <w:rsid w:val="00652318"/>
    <w:rsid w:val="0067005F"/>
    <w:rsid w:val="00693F84"/>
    <w:rsid w:val="006950B1"/>
    <w:rsid w:val="006A0D86"/>
    <w:rsid w:val="006C0911"/>
    <w:rsid w:val="006D46FB"/>
    <w:rsid w:val="006E3230"/>
    <w:rsid w:val="006F1AEA"/>
    <w:rsid w:val="007250E3"/>
    <w:rsid w:val="00746204"/>
    <w:rsid w:val="00747715"/>
    <w:rsid w:val="00750138"/>
    <w:rsid w:val="00753DA3"/>
    <w:rsid w:val="0075556D"/>
    <w:rsid w:val="00764F50"/>
    <w:rsid w:val="00770A92"/>
    <w:rsid w:val="00790C65"/>
    <w:rsid w:val="0079717B"/>
    <w:rsid w:val="007A0B28"/>
    <w:rsid w:val="007A1845"/>
    <w:rsid w:val="007A4C8F"/>
    <w:rsid w:val="007A7D45"/>
    <w:rsid w:val="007B43F7"/>
    <w:rsid w:val="007C1B00"/>
    <w:rsid w:val="007D31CE"/>
    <w:rsid w:val="007D5BB7"/>
    <w:rsid w:val="007D6437"/>
    <w:rsid w:val="007E0621"/>
    <w:rsid w:val="007E2327"/>
    <w:rsid w:val="007E4E37"/>
    <w:rsid w:val="007F4B07"/>
    <w:rsid w:val="0083488D"/>
    <w:rsid w:val="00843B71"/>
    <w:rsid w:val="008466C3"/>
    <w:rsid w:val="0085056F"/>
    <w:rsid w:val="00851458"/>
    <w:rsid w:val="00861A47"/>
    <w:rsid w:val="008707FF"/>
    <w:rsid w:val="008724E5"/>
    <w:rsid w:val="008A3447"/>
    <w:rsid w:val="008B7346"/>
    <w:rsid w:val="008C5ECC"/>
    <w:rsid w:val="008D3BF7"/>
    <w:rsid w:val="008D4620"/>
    <w:rsid w:val="008F16C6"/>
    <w:rsid w:val="008F34A1"/>
    <w:rsid w:val="009121CE"/>
    <w:rsid w:val="009127D8"/>
    <w:rsid w:val="00921F65"/>
    <w:rsid w:val="0097349C"/>
    <w:rsid w:val="009B4F53"/>
    <w:rsid w:val="009D4547"/>
    <w:rsid w:val="009D5E38"/>
    <w:rsid w:val="009F34A4"/>
    <w:rsid w:val="009F3988"/>
    <w:rsid w:val="00A00D55"/>
    <w:rsid w:val="00A150C7"/>
    <w:rsid w:val="00A519A2"/>
    <w:rsid w:val="00A70883"/>
    <w:rsid w:val="00A731B0"/>
    <w:rsid w:val="00A7517C"/>
    <w:rsid w:val="00A77AEB"/>
    <w:rsid w:val="00A86042"/>
    <w:rsid w:val="00AA444A"/>
    <w:rsid w:val="00AB1528"/>
    <w:rsid w:val="00AE1AA6"/>
    <w:rsid w:val="00AE1B18"/>
    <w:rsid w:val="00AF1C32"/>
    <w:rsid w:val="00B07524"/>
    <w:rsid w:val="00B11AE3"/>
    <w:rsid w:val="00B52922"/>
    <w:rsid w:val="00B6167A"/>
    <w:rsid w:val="00B973B5"/>
    <w:rsid w:val="00BA06B8"/>
    <w:rsid w:val="00BA25A5"/>
    <w:rsid w:val="00BD59BD"/>
    <w:rsid w:val="00BE54A0"/>
    <w:rsid w:val="00C231CB"/>
    <w:rsid w:val="00C26EE2"/>
    <w:rsid w:val="00C632DC"/>
    <w:rsid w:val="00C6478B"/>
    <w:rsid w:val="00C81439"/>
    <w:rsid w:val="00CA078D"/>
    <w:rsid w:val="00CA6FEF"/>
    <w:rsid w:val="00CB0DCC"/>
    <w:rsid w:val="00CB0F37"/>
    <w:rsid w:val="00CB500D"/>
    <w:rsid w:val="00CB644A"/>
    <w:rsid w:val="00CC2BC6"/>
    <w:rsid w:val="00CC2F28"/>
    <w:rsid w:val="00CE08AE"/>
    <w:rsid w:val="00CE2586"/>
    <w:rsid w:val="00D01A30"/>
    <w:rsid w:val="00D156D1"/>
    <w:rsid w:val="00D404B7"/>
    <w:rsid w:val="00D57ECF"/>
    <w:rsid w:val="00D65749"/>
    <w:rsid w:val="00D66690"/>
    <w:rsid w:val="00D809E5"/>
    <w:rsid w:val="00D81948"/>
    <w:rsid w:val="00D83B72"/>
    <w:rsid w:val="00D93C0F"/>
    <w:rsid w:val="00D9501F"/>
    <w:rsid w:val="00DB47DE"/>
    <w:rsid w:val="00DB50D5"/>
    <w:rsid w:val="00DF3DA3"/>
    <w:rsid w:val="00E06A00"/>
    <w:rsid w:val="00E22B99"/>
    <w:rsid w:val="00E258D9"/>
    <w:rsid w:val="00E37B70"/>
    <w:rsid w:val="00E439CA"/>
    <w:rsid w:val="00E50017"/>
    <w:rsid w:val="00E5219B"/>
    <w:rsid w:val="00E53866"/>
    <w:rsid w:val="00E824FB"/>
    <w:rsid w:val="00E95464"/>
    <w:rsid w:val="00EA198F"/>
    <w:rsid w:val="00EC6DFB"/>
    <w:rsid w:val="00EF0BCB"/>
    <w:rsid w:val="00EF0E74"/>
    <w:rsid w:val="00F00E8A"/>
    <w:rsid w:val="00F05D28"/>
    <w:rsid w:val="00F121C4"/>
    <w:rsid w:val="00F33650"/>
    <w:rsid w:val="00F35E7D"/>
    <w:rsid w:val="00F473CB"/>
    <w:rsid w:val="00F50245"/>
    <w:rsid w:val="00F55243"/>
    <w:rsid w:val="00F63DDA"/>
    <w:rsid w:val="00F70858"/>
    <w:rsid w:val="00F7397F"/>
    <w:rsid w:val="00F75949"/>
    <w:rsid w:val="00F75CF4"/>
    <w:rsid w:val="00F941F0"/>
    <w:rsid w:val="00FA1EE2"/>
    <w:rsid w:val="00FF0B98"/>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8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paragraph" w:customStyle="1" w:styleId="Sansinterligne2">
    <w:name w:val="Sans interligne2"/>
    <w:uiPriority w:val="1"/>
    <w:rsid w:val="00CB500D"/>
    <w:rPr>
      <w:rFonts w:ascii="Times New Roman" w:eastAsia="Times New Roman" w:hAnsi="Times New Roman"/>
      <w:sz w:val="24"/>
      <w:szCs w:val="24"/>
    </w:rPr>
  </w:style>
  <w:style w:type="table" w:customStyle="1" w:styleId="TableGrid1">
    <w:name w:val="Table Grid1"/>
    <w:basedOn w:val="TableNormal"/>
    <w:next w:val="TableGrid"/>
    <w:uiPriority w:val="59"/>
    <w:rsid w:val="00A00D5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5908B4"/>
    <w:pPr>
      <w:spacing w:after="120"/>
      <w:ind w:left="567" w:hanging="567"/>
    </w:pPr>
    <w:rPr>
      <w:rFonts w:ascii="Arial" w:eastAsia="Times New Roman" w:hAnsi="Arial" w:cs="Arial"/>
      <w:snapToGrid w:val="0"/>
      <w:sz w:val="22"/>
      <w:szCs w:val="22"/>
      <w:lang w:val="en-GB" w:eastAsia="en-US"/>
    </w:rPr>
  </w:style>
  <w:style w:type="character" w:styleId="Hyperlink">
    <w:name w:val="Hyperlink"/>
    <w:aliases w:val=" Car Car3 Char, Car Car3 Char Char Char Char"/>
    <w:link w:val="CarCar3"/>
    <w:unhideWhenUsed/>
    <w:rsid w:val="005908B4"/>
    <w:rPr>
      <w:color w:val="0000FF"/>
      <w:u w:val="single"/>
    </w:rPr>
  </w:style>
  <w:style w:type="paragraph" w:styleId="FootnoteText">
    <w:name w:val="footnote text"/>
    <w:basedOn w:val="Normal"/>
    <w:link w:val="FootnoteTextChar"/>
    <w:uiPriority w:val="99"/>
    <w:semiHidden/>
    <w:unhideWhenUsed/>
    <w:rsid w:val="005908B4"/>
    <w:pPr>
      <w:spacing w:after="0"/>
    </w:pPr>
    <w:rPr>
      <w:sz w:val="20"/>
      <w:szCs w:val="20"/>
      <w:lang w:val="fr-FR"/>
    </w:rPr>
  </w:style>
  <w:style w:type="character" w:customStyle="1" w:styleId="FootnoteTextChar">
    <w:name w:val="Footnote Text Char"/>
    <w:basedOn w:val="DefaultParagraphFont"/>
    <w:link w:val="FootnoteText"/>
    <w:uiPriority w:val="99"/>
    <w:semiHidden/>
    <w:rsid w:val="005908B4"/>
    <w:rPr>
      <w:rFonts w:ascii="Times New Roman" w:eastAsia="Times New Roman" w:hAnsi="Times New Roman"/>
    </w:rPr>
  </w:style>
  <w:style w:type="character" w:styleId="FootnoteReference">
    <w:name w:val="footnote reference"/>
    <w:basedOn w:val="DefaultParagraphFont"/>
    <w:uiPriority w:val="99"/>
    <w:semiHidden/>
    <w:unhideWhenUsed/>
    <w:rsid w:val="005908B4"/>
    <w:rPr>
      <w:vertAlign w:val="superscript"/>
    </w:rPr>
  </w:style>
  <w:style w:type="paragraph" w:customStyle="1" w:styleId="GAPara">
    <w:name w:val="GA Para"/>
    <w:qFormat/>
    <w:rsid w:val="005908B4"/>
    <w:pPr>
      <w:spacing w:after="120"/>
      <w:ind w:left="1287" w:hanging="360"/>
    </w:pPr>
    <w:rPr>
      <w:rFonts w:ascii="Arial" w:eastAsia="Times New Roman" w:hAnsi="Arial" w:cs="Arial"/>
      <w:snapToGrid w:val="0"/>
      <w:sz w:val="22"/>
      <w:szCs w:val="22"/>
      <w:lang w:val="en-GB" w:eastAsia="en-US"/>
    </w:rPr>
  </w:style>
  <w:style w:type="paragraph" w:styleId="ListParagraph">
    <w:name w:val="List Paragraph"/>
    <w:basedOn w:val="Normal"/>
    <w:qFormat/>
    <w:rsid w:val="005908B4"/>
    <w:pPr>
      <w:ind w:left="720"/>
      <w:contextualSpacing/>
    </w:pPr>
  </w:style>
  <w:style w:type="paragraph" w:styleId="Date">
    <w:name w:val="Date"/>
    <w:basedOn w:val="Normal"/>
    <w:next w:val="Normal"/>
    <w:link w:val="DateChar"/>
    <w:rsid w:val="007D6437"/>
  </w:style>
  <w:style w:type="character" w:customStyle="1" w:styleId="DateChar">
    <w:name w:val="Date Char"/>
    <w:basedOn w:val="DefaultParagraphFont"/>
    <w:link w:val="Date"/>
    <w:rsid w:val="007D6437"/>
    <w:rPr>
      <w:rFonts w:ascii="Times New Roman" w:eastAsia="Times New Roman" w:hAnsi="Times New Roman"/>
      <w:sz w:val="22"/>
      <w:szCs w:val="24"/>
      <w:lang w:val="en-GB"/>
    </w:rPr>
  </w:style>
  <w:style w:type="paragraph" w:customStyle="1" w:styleId="CarCar3">
    <w:name w:val="Car Car3"/>
    <w:aliases w:val=" Car Car3 Char Char"/>
    <w:basedOn w:val="Normal"/>
    <w:link w:val="Hyperlink"/>
    <w:rsid w:val="00CE08AE"/>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sz w:val="20"/>
      <w:szCs w:val="20"/>
      <w:u w:val="single"/>
      <w:lang w:val="fr-FR"/>
    </w:rPr>
  </w:style>
  <w:style w:type="character" w:styleId="UnresolvedMention">
    <w:name w:val="Unresolved Mention"/>
    <w:basedOn w:val="DefaultParagraphFont"/>
    <w:uiPriority w:val="99"/>
    <w:semiHidden/>
    <w:unhideWhenUsed/>
    <w:rsid w:val="00FA1EE2"/>
    <w:rPr>
      <w:color w:val="605E5C"/>
      <w:shd w:val="clear" w:color="auto" w:fill="E1DFDD"/>
    </w:rPr>
  </w:style>
  <w:style w:type="character" w:styleId="FollowedHyperlink">
    <w:name w:val="FollowedHyperlink"/>
    <w:basedOn w:val="DefaultParagraphFont"/>
    <w:semiHidden/>
    <w:unhideWhenUsed/>
    <w:rsid w:val="006F1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1-16.COM-14-EN.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unesco.org/en/Decisions/16.COM/14" TargetMode="External"/><Relationship Id="rId4" Type="http://schemas.openxmlformats.org/officeDocument/2006/relationships/settings" Target="settings.xml"/><Relationship Id="rId9" Type="http://schemas.openxmlformats.org/officeDocument/2006/relationships/hyperlink" Target="https://ich.unesco.org/en/Decisions/16.COM/14"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4AB9-B113-4AA1-A5C3-19BF1C62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3056</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2022-04-05T14:35:00Z</dcterms:created>
  <dcterms:modified xsi:type="dcterms:W3CDTF">2022-04-13T20:21:00Z</dcterms:modified>
</cp:coreProperties>
</file>