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2B41D" w14:textId="54D5D40B" w:rsidR="002938F2" w:rsidRPr="00323D95" w:rsidRDefault="002938F2" w:rsidP="00AE1B18">
      <w:pPr>
        <w:spacing w:before="1440"/>
        <w:jc w:val="center"/>
        <w:rPr>
          <w:rFonts w:ascii="Arial" w:hAnsi="Arial" w:cs="Arial"/>
          <w:b/>
          <w:szCs w:val="22"/>
        </w:rPr>
      </w:pPr>
      <w:r>
        <w:rPr>
          <w:rFonts w:ascii="Arial" w:hAnsi="Arial"/>
          <w:b/>
        </w:rPr>
        <w:t>CONVENTION POUR LA SAUVEGARDE DU</w:t>
      </w:r>
      <w:r>
        <w:rPr>
          <w:rFonts w:ascii="Arial" w:hAnsi="Arial"/>
          <w:b/>
        </w:rPr>
        <w:br/>
        <w:t>PATRIMOINE CULTUREL IMMATÉRIEL</w:t>
      </w:r>
    </w:p>
    <w:p w14:paraId="76F6C679" w14:textId="06B2CA03" w:rsidR="00503E5D" w:rsidRPr="00503E5D" w:rsidRDefault="00F75CF4" w:rsidP="00503E5D">
      <w:pPr>
        <w:spacing w:before="840" w:after="0"/>
        <w:jc w:val="center"/>
        <w:rPr>
          <w:rFonts w:ascii="Arial" w:hAnsi="Arial"/>
          <w:b/>
        </w:rPr>
      </w:pPr>
      <w:r>
        <w:rPr>
          <w:rFonts w:ascii="Arial" w:hAnsi="Arial"/>
          <w:b/>
        </w:rPr>
        <w:t xml:space="preserve">Groupe de travail intergouvernemental </w:t>
      </w:r>
      <w:r w:rsidR="00B014E6">
        <w:rPr>
          <w:rFonts w:ascii="Arial" w:hAnsi="Arial"/>
          <w:b/>
        </w:rPr>
        <w:t>à composition non limitée</w:t>
      </w:r>
      <w:r>
        <w:rPr>
          <w:rFonts w:ascii="Arial" w:hAnsi="Arial"/>
          <w:b/>
        </w:rPr>
        <w:br/>
        <w:t>dans le cadre de la réflexion globale sur les mécanismes d’inscription sur les listes</w:t>
      </w:r>
      <w:r w:rsidR="00503E5D">
        <w:rPr>
          <w:rFonts w:ascii="Arial" w:hAnsi="Arial"/>
          <w:b/>
        </w:rPr>
        <w:br/>
        <w:t>de la Convention de 2003</w:t>
      </w:r>
    </w:p>
    <w:p w14:paraId="7244590D" w14:textId="5120E479" w:rsidR="00601DD6" w:rsidRPr="00323D95" w:rsidRDefault="00CB500D" w:rsidP="00F75CF4">
      <w:pPr>
        <w:spacing w:before="840" w:after="0"/>
        <w:jc w:val="center"/>
        <w:rPr>
          <w:rFonts w:ascii="Arial" w:eastAsiaTheme="minorEastAsia" w:hAnsi="Arial" w:cs="Arial"/>
          <w:b/>
          <w:szCs w:val="22"/>
        </w:rPr>
      </w:pPr>
      <w:r>
        <w:rPr>
          <w:rFonts w:ascii="Arial" w:hAnsi="Arial"/>
          <w:b/>
        </w:rPr>
        <w:t>En ligne</w:t>
      </w:r>
    </w:p>
    <w:p w14:paraId="43194899" w14:textId="3761126B" w:rsidR="007E4E37" w:rsidRDefault="004700F2" w:rsidP="004E056C">
      <w:pPr>
        <w:spacing w:after="0"/>
        <w:jc w:val="center"/>
        <w:rPr>
          <w:rFonts w:ascii="Arial" w:hAnsi="Arial"/>
          <w:b/>
        </w:rPr>
      </w:pPr>
      <w:r>
        <w:rPr>
          <w:rFonts w:ascii="Arial" w:hAnsi="Arial"/>
          <w:b/>
        </w:rPr>
        <w:t xml:space="preserve">8 au </w:t>
      </w:r>
      <w:r w:rsidR="00A41C25">
        <w:rPr>
          <w:rFonts w:ascii="Arial" w:hAnsi="Arial"/>
          <w:b/>
        </w:rPr>
        <w:t>9</w:t>
      </w:r>
      <w:r>
        <w:rPr>
          <w:rFonts w:ascii="Arial" w:hAnsi="Arial"/>
          <w:b/>
        </w:rPr>
        <w:t> juillet 2021</w:t>
      </w:r>
      <w:r w:rsidR="00A41C25">
        <w:rPr>
          <w:rFonts w:ascii="Arial" w:hAnsi="Arial"/>
          <w:b/>
        </w:rPr>
        <w:t xml:space="preserve"> (Partie I)</w:t>
      </w:r>
    </w:p>
    <w:p w14:paraId="01B981F5" w14:textId="66808DC9" w:rsidR="00A41C25" w:rsidRPr="00323D95" w:rsidRDefault="00A41C25" w:rsidP="004E056C">
      <w:pPr>
        <w:spacing w:after="0"/>
        <w:jc w:val="center"/>
        <w:rPr>
          <w:rFonts w:ascii="Arial" w:eastAsiaTheme="minorEastAsia" w:hAnsi="Arial" w:cs="Arial"/>
          <w:b/>
          <w:szCs w:val="22"/>
        </w:rPr>
      </w:pPr>
      <w:r>
        <w:rPr>
          <w:rFonts w:ascii="Arial" w:hAnsi="Arial"/>
          <w:b/>
        </w:rPr>
        <w:t>9 et 10 septembre 2021 (Partie II)</w:t>
      </w:r>
    </w:p>
    <w:p w14:paraId="202C5426" w14:textId="32ECF486" w:rsidR="00CB500D" w:rsidRPr="0045625C" w:rsidRDefault="00CB500D" w:rsidP="00404082">
      <w:pPr>
        <w:pStyle w:val="Sansinterligne2"/>
        <w:tabs>
          <w:tab w:val="center" w:pos="4819"/>
          <w:tab w:val="left" w:pos="8050"/>
        </w:tabs>
        <w:spacing w:before="720"/>
        <w:jc w:val="center"/>
        <w:rPr>
          <w:rFonts w:ascii="Arial" w:hAnsi="Arial" w:cs="Arial"/>
          <w:b/>
          <w:sz w:val="22"/>
          <w:szCs w:val="22"/>
        </w:rPr>
      </w:pPr>
      <w:r>
        <w:rPr>
          <w:rFonts w:ascii="Arial" w:hAnsi="Arial"/>
          <w:b/>
          <w:sz w:val="22"/>
          <w:u w:val="single"/>
        </w:rPr>
        <w:t>Point 2 de l’ordre du jour</w:t>
      </w:r>
      <w:r>
        <w:rPr>
          <w:rFonts w:ascii="Arial" w:hAnsi="Arial"/>
          <w:b/>
          <w:sz w:val="22"/>
        </w:rPr>
        <w:t> :</w:t>
      </w:r>
    </w:p>
    <w:p w14:paraId="6D45854C" w14:textId="6BB8BD8A" w:rsidR="00251C9B" w:rsidRPr="002E79D3" w:rsidRDefault="000C4A01" w:rsidP="00C62AC0">
      <w:pPr>
        <w:pStyle w:val="Sansinterligne2"/>
        <w:spacing w:after="960"/>
        <w:jc w:val="center"/>
        <w:rPr>
          <w:rFonts w:ascii="Arial" w:hAnsi="Arial" w:cs="Arial"/>
          <w:b/>
          <w:sz w:val="22"/>
          <w:szCs w:val="22"/>
        </w:rPr>
      </w:pPr>
      <w:r>
        <w:rPr>
          <w:rFonts w:ascii="Arial" w:hAnsi="Arial"/>
          <w:b/>
          <w:sz w:val="22"/>
        </w:rPr>
        <w:t>Réflexion globale sur les mécanismes d’inscription sur les listes de la Convention de 2003 :</w:t>
      </w:r>
      <w:r>
        <w:rPr>
          <w:rFonts w:ascii="Arial" w:hAnsi="Arial"/>
          <w:b/>
          <w:sz w:val="22"/>
        </w:rPr>
        <w:br/>
        <w:t>Progrès à ce jour</w:t>
      </w:r>
      <w:r w:rsidR="00947F97">
        <w:rPr>
          <w:rFonts w:ascii="Arial" w:hAnsi="Arial"/>
          <w:b/>
          <w:sz w:val="22"/>
        </w:rPr>
        <w:t xml:space="preserve"> et objectifs</w:t>
      </w:r>
      <w:r w:rsidR="00B30324">
        <w:rPr>
          <w:rFonts w:ascii="Arial" w:hAnsi="Arial"/>
          <w:b/>
          <w:sz w:val="22"/>
        </w:rPr>
        <w:t xml:space="preserve"> de la réunion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CB500D" w:rsidRPr="00323D95" w14:paraId="11E38FB5" w14:textId="77777777" w:rsidTr="00D67886">
        <w:trPr>
          <w:jc w:val="center"/>
        </w:trPr>
        <w:tc>
          <w:tcPr>
            <w:tcW w:w="5670" w:type="dxa"/>
            <w:vAlign w:val="center"/>
          </w:tcPr>
          <w:p w14:paraId="3AB020B5" w14:textId="29F3ACF9" w:rsidR="00CB500D" w:rsidRPr="00323D95" w:rsidRDefault="00251C9B" w:rsidP="00F822AF">
            <w:pPr>
              <w:pStyle w:val="Sansinterligne2"/>
              <w:spacing w:before="200" w:after="200"/>
              <w:jc w:val="both"/>
              <w:rPr>
                <w:rFonts w:ascii="Arial" w:hAnsi="Arial" w:cs="Arial"/>
                <w:sz w:val="22"/>
                <w:szCs w:val="22"/>
              </w:rPr>
            </w:pPr>
            <w:r>
              <w:rPr>
                <w:rFonts w:ascii="Arial" w:hAnsi="Arial"/>
                <w:sz w:val="22"/>
              </w:rPr>
              <w:t xml:space="preserve">En 2018, le Comité a lancé une réflexion globale sur les mécanismes d’inscription sur les listes de la Convention de 2003, </w:t>
            </w:r>
            <w:r w:rsidR="00947F97">
              <w:rPr>
                <w:rFonts w:ascii="Arial" w:hAnsi="Arial"/>
                <w:sz w:val="22"/>
              </w:rPr>
              <w:t>afin</w:t>
            </w:r>
            <w:r>
              <w:rPr>
                <w:rFonts w:ascii="Arial" w:hAnsi="Arial"/>
                <w:sz w:val="22"/>
              </w:rPr>
              <w:t xml:space="preserve"> d’aborder une série d’importantes questions identifiées après dix années de mise en œuvre (décisions </w:t>
            </w:r>
            <w:hyperlink r:id="rId8" w:history="1">
              <w:r>
                <w:rPr>
                  <w:rStyle w:val="Lienhypertexte"/>
                  <w:rFonts w:ascii="Arial" w:hAnsi="Arial"/>
                  <w:sz w:val="22"/>
                </w:rPr>
                <w:t>13.COM 6</w:t>
              </w:r>
            </w:hyperlink>
            <w:r>
              <w:rPr>
                <w:rFonts w:ascii="Arial" w:hAnsi="Arial"/>
                <w:sz w:val="22"/>
              </w:rPr>
              <w:t xml:space="preserve"> et </w:t>
            </w:r>
            <w:hyperlink r:id="rId9" w:history="1">
              <w:r>
                <w:rPr>
                  <w:rStyle w:val="Lienhypertexte"/>
                  <w:rFonts w:ascii="Arial" w:hAnsi="Arial"/>
                  <w:sz w:val="22"/>
                </w:rPr>
                <w:t>13.COM 10</w:t>
              </w:r>
            </w:hyperlink>
            <w:r>
              <w:rPr>
                <w:rFonts w:ascii="Arial" w:hAnsi="Arial"/>
                <w:sz w:val="22"/>
              </w:rPr>
              <w:t xml:space="preserve">). Le présent document établit une synthèse de ce processus de réflexion </w:t>
            </w:r>
            <w:r w:rsidR="00ED0EB0">
              <w:rPr>
                <w:rFonts w:ascii="Arial" w:hAnsi="Arial"/>
                <w:sz w:val="22"/>
              </w:rPr>
              <w:t>qui</w:t>
            </w:r>
            <w:r>
              <w:rPr>
                <w:rFonts w:ascii="Arial" w:hAnsi="Arial"/>
                <w:sz w:val="22"/>
              </w:rPr>
              <w:t xml:space="preserve"> impliqu</w:t>
            </w:r>
            <w:r w:rsidR="00ED0EB0">
              <w:rPr>
                <w:rFonts w:ascii="Arial" w:hAnsi="Arial"/>
                <w:sz w:val="22"/>
              </w:rPr>
              <w:t>e</w:t>
            </w:r>
            <w:r>
              <w:rPr>
                <w:rFonts w:ascii="Arial" w:hAnsi="Arial"/>
                <w:sz w:val="22"/>
              </w:rPr>
              <w:t xml:space="preserve"> un groupe de travail intergouvernemental </w:t>
            </w:r>
            <w:r w:rsidR="00947F97">
              <w:rPr>
                <w:rFonts w:ascii="Arial" w:hAnsi="Arial"/>
                <w:sz w:val="22"/>
              </w:rPr>
              <w:t>à composition non limitée</w:t>
            </w:r>
            <w:r w:rsidR="00913A0A">
              <w:rPr>
                <w:rFonts w:ascii="Arial" w:hAnsi="Arial"/>
                <w:sz w:val="22"/>
              </w:rPr>
              <w:t>,</w:t>
            </w:r>
            <w:r w:rsidR="00947F97">
              <w:rPr>
                <w:rFonts w:ascii="Arial" w:hAnsi="Arial"/>
                <w:sz w:val="22"/>
              </w:rPr>
              <w:t xml:space="preserve"> </w:t>
            </w:r>
            <w:r>
              <w:rPr>
                <w:rFonts w:ascii="Arial" w:hAnsi="Arial"/>
                <w:sz w:val="22"/>
              </w:rPr>
              <w:t>dans le cadre des consultations et discussions inclusives</w:t>
            </w:r>
            <w:r w:rsidR="005A72B5">
              <w:rPr>
                <w:rFonts w:ascii="Arial" w:hAnsi="Arial"/>
                <w:sz w:val="22"/>
              </w:rPr>
              <w:t>,</w:t>
            </w:r>
            <w:r>
              <w:rPr>
                <w:rFonts w:ascii="Arial" w:hAnsi="Arial"/>
                <w:sz w:val="22"/>
              </w:rPr>
              <w:t xml:space="preserve"> et souligne les objectifs et méthodes de travail </w:t>
            </w:r>
            <w:r w:rsidR="00947F97">
              <w:rPr>
                <w:rFonts w:ascii="Arial" w:hAnsi="Arial"/>
                <w:sz w:val="22"/>
              </w:rPr>
              <w:t xml:space="preserve">proposés pour </w:t>
            </w:r>
            <w:r>
              <w:rPr>
                <w:rFonts w:ascii="Arial" w:hAnsi="Arial"/>
                <w:sz w:val="22"/>
              </w:rPr>
              <w:t>la présente réunion.</w:t>
            </w:r>
          </w:p>
        </w:tc>
      </w:tr>
    </w:tbl>
    <w:p w14:paraId="36881D20" w14:textId="77777777" w:rsidR="002E79D3" w:rsidRDefault="002E79D3">
      <w:pPr>
        <w:spacing w:after="0"/>
        <w:rPr>
          <w:rFonts w:ascii="Arial" w:hAnsi="Arial" w:cs="Arial"/>
          <w:b/>
          <w:snapToGrid w:val="0"/>
          <w:szCs w:val="22"/>
        </w:rPr>
      </w:pPr>
      <w:bookmarkStart w:id="0" w:name="_Hlk73109400"/>
      <w:r>
        <w:br w:type="page"/>
      </w:r>
    </w:p>
    <w:p w14:paraId="3BD3E268" w14:textId="4D6F010D" w:rsidR="00E668F9" w:rsidRPr="00323D95" w:rsidRDefault="00E668F9" w:rsidP="002E79D3">
      <w:pPr>
        <w:pStyle w:val="GAPara"/>
        <w:numPr>
          <w:ilvl w:val="0"/>
          <w:numId w:val="11"/>
        </w:numPr>
        <w:spacing w:before="360"/>
        <w:ind w:left="567" w:hanging="567"/>
        <w:jc w:val="both"/>
      </w:pPr>
      <w:r>
        <w:rPr>
          <w:b/>
        </w:rPr>
        <w:lastRenderedPageBreak/>
        <w:t>Contexte</w:t>
      </w:r>
    </w:p>
    <w:p w14:paraId="4AA17E9C" w14:textId="0B421F27" w:rsidR="00E668F9" w:rsidRPr="00323D95" w:rsidRDefault="00E668F9" w:rsidP="00F9678E">
      <w:pPr>
        <w:pStyle w:val="1GAPara"/>
        <w:numPr>
          <w:ilvl w:val="0"/>
          <w:numId w:val="10"/>
        </w:numPr>
        <w:ind w:left="567" w:hanging="567"/>
        <w:jc w:val="both"/>
      </w:pPr>
      <w:r>
        <w:t>Le système d’inscription sur les listes de la Convention de 2003 est devenu opérationnel en 2009</w:t>
      </w:r>
      <w:r w:rsidR="002C2E6B">
        <w:t>,</w:t>
      </w:r>
      <w:r>
        <w:t xml:space="preserve"> avec </w:t>
      </w:r>
      <w:r w:rsidR="000279A5">
        <w:t>la première série</w:t>
      </w:r>
      <w:r>
        <w:t xml:space="preserve"> d’inscriptions sur les deux Listes et </w:t>
      </w:r>
      <w:r w:rsidR="000279A5">
        <w:t>le</w:t>
      </w:r>
      <w:r>
        <w:t xml:space="preserve"> Registre</w:t>
      </w:r>
      <w:r w:rsidR="002C2E6B">
        <w:t xml:space="preserve"> tel que respectivement</w:t>
      </w:r>
      <w:r w:rsidR="000279A5">
        <w:t xml:space="preserve"> établis</w:t>
      </w:r>
      <w:r>
        <w:t xml:space="preserve"> aux articles 16, 17 et 18 de la Convention et expliqués plus en détail dans les Directives opérationnelles. À l’heure actuelle, 492 éléments (répartis dans 128 pays) sont inscrits sur la Liste représentative du patrimoine culturel immatériel de l’humanité (ou « Liste représentative »), 67 éléments (répartis dans 35 pays) sont inscrits sur la Liste du patrimoine culturel immatériel de l’humanité nécessitant une sauvegarde urgente (la « Liste de sauvegarde urgente »), et 25 programmes, projets et activités sont inclus dans le Registre des meilleures pratiques de sauvegarde (le « Registre »).</w:t>
      </w:r>
      <w:r w:rsidR="000279A5">
        <w:t xml:space="preserve"> En 2008, quatre-vingts éléments proclamés « Chefs-d’œuvre du patrimoine oral et immatériel de l’humanité » ont été intégrés dans la Liste représentative conformément à l’article 31 de la Convention.</w:t>
      </w:r>
    </w:p>
    <w:p w14:paraId="3082F473" w14:textId="39DEF62E" w:rsidR="00E668F9" w:rsidRPr="00323D95" w:rsidRDefault="00E668F9" w:rsidP="006B1967">
      <w:pPr>
        <w:pStyle w:val="COMPara"/>
        <w:numPr>
          <w:ilvl w:val="0"/>
          <w:numId w:val="8"/>
        </w:numPr>
        <w:ind w:left="567" w:hanging="567"/>
        <w:jc w:val="both"/>
      </w:pPr>
      <w:r>
        <w:t>Le</w:t>
      </w:r>
      <w:r w:rsidR="00B30324">
        <w:t>s</w:t>
      </w:r>
      <w:r>
        <w:t xml:space="preserve"> </w:t>
      </w:r>
      <w:r w:rsidR="00B30324">
        <w:t xml:space="preserve">mécanismes </w:t>
      </w:r>
      <w:r>
        <w:t>d’inscription sur les listes vise</w:t>
      </w:r>
      <w:r w:rsidR="00B30324">
        <w:t>nt</w:t>
      </w:r>
      <w:r>
        <w:t xml:space="preserve"> à </w:t>
      </w:r>
      <w:r w:rsidR="00B30324">
        <w:t xml:space="preserve">soutenir la sauvegarde, à </w:t>
      </w:r>
      <w:r>
        <w:t xml:space="preserve">mobiliser la solidarité internationale et à sensibiliser les autorités et les communautés du monde entier à la diversité et l’importance du patrimoine vivant, et </w:t>
      </w:r>
      <w:r w:rsidR="00B30324">
        <w:t xml:space="preserve">à </w:t>
      </w:r>
      <w:r>
        <w:t xml:space="preserve">la nécessité </w:t>
      </w:r>
      <w:r w:rsidR="00B30324">
        <w:t>de le</w:t>
      </w:r>
      <w:r>
        <w:t xml:space="preserve"> sauvegarde</w:t>
      </w:r>
      <w:r w:rsidR="00B30324">
        <w:t>r</w:t>
      </w:r>
      <w:r>
        <w:t xml:space="preserve">. Après </w:t>
      </w:r>
      <w:r w:rsidR="00B30324">
        <w:t xml:space="preserve">plus de </w:t>
      </w:r>
      <w:r>
        <w:t xml:space="preserve">dix années de mise en œuvre, le système a contribué de manière positive à </w:t>
      </w:r>
      <w:r w:rsidR="00B30324">
        <w:t>améliorer</w:t>
      </w:r>
      <w:r>
        <w:t xml:space="preserve"> la visibilité de la Convention et du patrimoine culturel immatériel, et se trouve désormais sous l’œil attentif des États parties, des communautés et du grand public. </w:t>
      </w:r>
      <w:r w:rsidR="00B30324">
        <w:t>Toutefois, d</w:t>
      </w:r>
      <w:r>
        <w:t xml:space="preserve">ans le même temps, diverses parties </w:t>
      </w:r>
      <w:r w:rsidR="00B30324">
        <w:t xml:space="preserve">prenantes </w:t>
      </w:r>
      <w:r>
        <w:t xml:space="preserve">ont identifié </w:t>
      </w:r>
      <w:r w:rsidR="00B30324">
        <w:t xml:space="preserve">de nombreuses </w:t>
      </w:r>
      <w:r>
        <w:t xml:space="preserve">questions complexes et interconnectées </w:t>
      </w:r>
      <w:r w:rsidR="00B30324">
        <w:t xml:space="preserve">relatives à </w:t>
      </w:r>
      <w:r>
        <w:t>ces trois mécanismes.</w:t>
      </w:r>
    </w:p>
    <w:p w14:paraId="6519EE80" w14:textId="54D33F58" w:rsidR="001D2163" w:rsidRPr="00323D95" w:rsidRDefault="00E668F9" w:rsidP="00E668F9">
      <w:pPr>
        <w:pStyle w:val="COMPara"/>
        <w:numPr>
          <w:ilvl w:val="0"/>
          <w:numId w:val="8"/>
        </w:numPr>
        <w:ind w:left="567" w:hanging="567"/>
        <w:jc w:val="both"/>
      </w:pPr>
      <w:r>
        <w:t xml:space="preserve">La nécessité d’une réflexion visant à améliorer le système d’inscription sur les listes a été </w:t>
      </w:r>
      <w:r w:rsidR="00E8455A">
        <w:t xml:space="preserve">exprimée </w:t>
      </w:r>
      <w:r>
        <w:t xml:space="preserve">pour la première fois par le Comité en 2017, à l’occasion de l’examen d’une demande </w:t>
      </w:r>
      <w:r w:rsidR="00E8455A">
        <w:t xml:space="preserve">soumise par le Viet Nam </w:t>
      </w:r>
      <w:r>
        <w:t>de transf</w:t>
      </w:r>
      <w:r w:rsidR="00E8455A">
        <w:t>érer</w:t>
      </w:r>
      <w:r>
        <w:t xml:space="preserve"> un élément de la Liste de sauvegarde urgente à la Liste représentative (</w:t>
      </w:r>
      <w:hyperlink r:id="rId10" w:history="1">
        <w:r>
          <w:rPr>
            <w:rStyle w:val="Lienhypertexte"/>
          </w:rPr>
          <w:t>décision 12.COM 14</w:t>
        </w:r>
      </w:hyperlink>
      <w:r>
        <w:t xml:space="preserve">). </w:t>
      </w:r>
      <w:r w:rsidR="00E8455A">
        <w:t>A cette occasion</w:t>
      </w:r>
      <w:r>
        <w:t xml:space="preserve">, le Comité a décidé de créer un groupe de travail intergouvernemental </w:t>
      </w:r>
      <w:r w:rsidR="00E8455A">
        <w:t xml:space="preserve">à composition non limitée </w:t>
      </w:r>
      <w:r>
        <w:t xml:space="preserve">(ci-après dénommé le « groupe de travail ») afin de réfléchir notamment aux procédures de retrait et de transfert d’un élément, à la nature et aux objectifs des Listes et du Registre, ainsi qu’à la pertinence des </w:t>
      </w:r>
      <w:r w:rsidR="00E8455A">
        <w:t xml:space="preserve">différents </w:t>
      </w:r>
      <w:r>
        <w:t xml:space="preserve">critères correspondant à chacun des </w:t>
      </w:r>
      <w:r w:rsidR="00E8455A">
        <w:t xml:space="preserve">trois </w:t>
      </w:r>
      <w:r>
        <w:t xml:space="preserve">mécanismes. Grâce à la contribution supplémentaire volontaire du gouvernement </w:t>
      </w:r>
      <w:r w:rsidR="00E8455A">
        <w:t xml:space="preserve">du Japon </w:t>
      </w:r>
      <w:r>
        <w:t>au Fonds pour la sauvegarde du patrimoine culturel immatériel en soutien à cette initiative, le Comité a décidé de lancer un processus de réflexion globale (</w:t>
      </w:r>
      <w:hyperlink r:id="rId11" w:history="1">
        <w:r>
          <w:rPr>
            <w:rStyle w:val="Lienhypertexte"/>
          </w:rPr>
          <w:t>décisions 13.COM 6</w:t>
        </w:r>
      </w:hyperlink>
      <w:r>
        <w:t xml:space="preserve"> et </w:t>
      </w:r>
      <w:hyperlink r:id="rId12" w:history="1">
        <w:r>
          <w:rPr>
            <w:rStyle w:val="Lienhypertexte"/>
          </w:rPr>
          <w:t>13.COM 10</w:t>
        </w:r>
      </w:hyperlink>
      <w:r>
        <w:t>) lors de sa treizième session en 2018.</w:t>
      </w:r>
    </w:p>
    <w:p w14:paraId="2AE8A816" w14:textId="72E7967E" w:rsidR="00E668F9" w:rsidRPr="00323D95" w:rsidRDefault="007472D8" w:rsidP="00E668F9">
      <w:pPr>
        <w:pStyle w:val="COMPara"/>
        <w:numPr>
          <w:ilvl w:val="0"/>
          <w:numId w:val="8"/>
        </w:numPr>
        <w:ind w:left="567" w:hanging="567"/>
        <w:jc w:val="both"/>
      </w:pPr>
      <w:r>
        <w:t xml:space="preserve">Des informations et documents de référence à jour concernant le processus de réflexion globale sont disponibles sur la page web de la Convention de 2003 : </w:t>
      </w:r>
      <w:hyperlink r:id="rId13" w:history="1">
        <w:r>
          <w:rPr>
            <w:rStyle w:val="Lienhypertexte"/>
          </w:rPr>
          <w:t>https://ich.unesco.org/fr/reflexion-globale-sur-les-mecanismes-dinscription-sur-les-listes-01164</w:t>
        </w:r>
      </w:hyperlink>
      <w:r>
        <w:t>.</w:t>
      </w:r>
    </w:p>
    <w:p w14:paraId="30FB195D" w14:textId="5D4DF080" w:rsidR="00E668F9" w:rsidRPr="00323D95" w:rsidRDefault="00E668F9" w:rsidP="00C62AC0">
      <w:pPr>
        <w:pStyle w:val="GAPara"/>
        <w:numPr>
          <w:ilvl w:val="0"/>
          <w:numId w:val="11"/>
        </w:numPr>
        <w:spacing w:before="360"/>
        <w:ind w:left="567" w:hanging="567"/>
        <w:jc w:val="both"/>
        <w:rPr>
          <w:b/>
        </w:rPr>
      </w:pPr>
      <w:r>
        <w:rPr>
          <w:b/>
        </w:rPr>
        <w:t>Le processus de réflexion : thèmes et chronologie</w:t>
      </w:r>
    </w:p>
    <w:p w14:paraId="4B7B8051" w14:textId="1D0DF65B" w:rsidR="00325BC7" w:rsidRPr="00323D95" w:rsidRDefault="00325BC7" w:rsidP="00C62AC0">
      <w:pPr>
        <w:pStyle w:val="COMPara"/>
        <w:numPr>
          <w:ilvl w:val="0"/>
          <w:numId w:val="8"/>
        </w:numPr>
        <w:spacing w:after="240"/>
        <w:ind w:left="567" w:hanging="567"/>
        <w:jc w:val="both"/>
      </w:pPr>
      <w:r>
        <w:t xml:space="preserve">De nombreuses questions </w:t>
      </w:r>
      <w:r w:rsidR="00E8455A">
        <w:t xml:space="preserve">soulevées </w:t>
      </w:r>
      <w:r>
        <w:t xml:space="preserve">concernant le système d’inscription sur les listes sont interconnectées et ne peuvent </w:t>
      </w:r>
      <w:r w:rsidR="00E8455A">
        <w:t xml:space="preserve">donc </w:t>
      </w:r>
      <w:r>
        <w:t xml:space="preserve">être </w:t>
      </w:r>
      <w:r w:rsidR="00E8455A">
        <w:t xml:space="preserve">considérées </w:t>
      </w:r>
      <w:r>
        <w:t xml:space="preserve">de manière isolée. </w:t>
      </w:r>
      <w:r w:rsidR="00E8455A">
        <w:t>Cela ayant été pris en compte et</w:t>
      </w:r>
      <w:r>
        <w:t xml:space="preserve"> afin d’avancer dans le processus de réflexion, les différentes questions </w:t>
      </w:r>
      <w:r w:rsidR="00E8455A">
        <w:t xml:space="preserve">soulevées lors des sessions du Comité, </w:t>
      </w:r>
      <w:r>
        <w:t xml:space="preserve">ont été </w:t>
      </w:r>
      <w:r w:rsidR="00E8455A">
        <w:t xml:space="preserve">regroupées </w:t>
      </w:r>
      <w:r>
        <w:t xml:space="preserve">en quatre thèmes énumérés ci-dessous, comme </w:t>
      </w:r>
      <w:r w:rsidR="00E8455A">
        <w:t>détaillé</w:t>
      </w:r>
      <w:r>
        <w:t xml:space="preserve"> dans le document de travail présenté au cours de la quatorzième session du Comité en 2019 (</w:t>
      </w:r>
      <w:hyperlink r:id="rId14" w:history="1">
        <w:r>
          <w:rPr>
            <w:rStyle w:val="Lienhypertexte"/>
          </w:rPr>
          <w:t>document LHE/19/14.COM/14</w:t>
        </w:r>
      </w:hyperlink>
      <w:r>
        <w:rPr>
          <w:rStyle w:val="Lienhypertexte"/>
        </w:rPr>
        <w:t>)</w:t>
      </w:r>
      <w:r>
        <w:t xml:space="preserve">. </w:t>
      </w:r>
      <w:r w:rsidR="00F06F30">
        <w:t>Il est proposé que l</w:t>
      </w:r>
      <w:r>
        <w:t xml:space="preserve">a discussion du groupe de travail </w:t>
      </w:r>
      <w:r w:rsidR="00E8455A">
        <w:t xml:space="preserve">s’articule </w:t>
      </w:r>
      <w:r>
        <w:t xml:space="preserve">également </w:t>
      </w:r>
      <w:r w:rsidR="00F06F30">
        <w:t xml:space="preserve">autour de </w:t>
      </w:r>
      <w:r>
        <w:t>ces quatre thèmes.</w:t>
      </w:r>
    </w:p>
    <w:tbl>
      <w:tblPr>
        <w:tblStyle w:val="Grilledutableau"/>
        <w:tblW w:w="0" w:type="auto"/>
        <w:tblInd w:w="567" w:type="dxa"/>
        <w:tblLook w:val="04A0" w:firstRow="1" w:lastRow="0" w:firstColumn="1" w:lastColumn="0" w:noHBand="0" w:noVBand="1"/>
      </w:tblPr>
      <w:tblGrid>
        <w:gridCol w:w="9061"/>
      </w:tblGrid>
      <w:tr w:rsidR="00EB5D77" w:rsidRPr="00323D95" w14:paraId="643EA1A1" w14:textId="77777777" w:rsidTr="00C62AC0">
        <w:tc>
          <w:tcPr>
            <w:tcW w:w="9628" w:type="dxa"/>
            <w:shd w:val="clear" w:color="auto" w:fill="F2F2F2" w:themeFill="background1" w:themeFillShade="F2"/>
          </w:tcPr>
          <w:p w14:paraId="0C4F6950" w14:textId="38E08F1F" w:rsidR="00EB5D77" w:rsidRPr="00323D95" w:rsidRDefault="00EB5D77" w:rsidP="00C62AC0">
            <w:pPr>
              <w:pStyle w:val="1GAPara"/>
              <w:numPr>
                <w:ilvl w:val="0"/>
                <w:numId w:val="0"/>
              </w:numPr>
              <w:spacing w:before="120"/>
              <w:ind w:left="720"/>
            </w:pPr>
            <w:r>
              <w:t>Thème A : Approche globale des mécanismes d’inscription sur les listes</w:t>
            </w:r>
          </w:p>
          <w:p w14:paraId="5D87CB6C" w14:textId="19DF7D58" w:rsidR="00EB5D77" w:rsidRPr="00323D95" w:rsidRDefault="00EB5D77" w:rsidP="00C62AC0">
            <w:pPr>
              <w:pStyle w:val="1GAPara"/>
              <w:numPr>
                <w:ilvl w:val="0"/>
                <w:numId w:val="0"/>
              </w:numPr>
              <w:spacing w:before="120"/>
              <w:ind w:left="720"/>
            </w:pPr>
            <w:r>
              <w:t>Thème B : Questions relatives aux critères d’inscription</w:t>
            </w:r>
          </w:p>
          <w:p w14:paraId="3D93D244" w14:textId="2DD84DB8" w:rsidR="00EB5D77" w:rsidRPr="00323D95" w:rsidRDefault="00EB5D77" w:rsidP="00C62AC0">
            <w:pPr>
              <w:pStyle w:val="1GAPara"/>
              <w:numPr>
                <w:ilvl w:val="0"/>
                <w:numId w:val="0"/>
              </w:numPr>
              <w:spacing w:before="120"/>
              <w:ind w:left="720"/>
            </w:pPr>
            <w:r>
              <w:t>Thème C : Questions relatives au suivi des éléments inscrits</w:t>
            </w:r>
          </w:p>
          <w:p w14:paraId="47AD73C2" w14:textId="5E2A60E3" w:rsidR="00EB5D77" w:rsidRPr="00323D95" w:rsidRDefault="00EB5D77" w:rsidP="00C62AC0">
            <w:pPr>
              <w:pStyle w:val="1GAPara"/>
              <w:numPr>
                <w:ilvl w:val="0"/>
                <w:numId w:val="0"/>
              </w:numPr>
              <w:spacing w:before="120"/>
              <w:ind w:left="720"/>
            </w:pPr>
            <w:r>
              <w:t>Thème D : Méthodologie d’évaluation des candidatures</w:t>
            </w:r>
          </w:p>
        </w:tc>
      </w:tr>
    </w:tbl>
    <w:p w14:paraId="4E486927" w14:textId="17F8E441" w:rsidR="00A50DA1" w:rsidRPr="00323D95" w:rsidRDefault="00F06F30" w:rsidP="00C62AC0">
      <w:pPr>
        <w:pStyle w:val="COMPara"/>
        <w:numPr>
          <w:ilvl w:val="0"/>
          <w:numId w:val="8"/>
        </w:numPr>
        <w:spacing w:before="240"/>
        <w:ind w:left="567" w:hanging="567"/>
        <w:jc w:val="both"/>
      </w:pPr>
      <w:r>
        <w:t>En outre</w:t>
      </w:r>
      <w:r w:rsidR="00E35410">
        <w:t xml:space="preserve">, le Comité a demandé, à l’occasion de différentes sessions, </w:t>
      </w:r>
      <w:r>
        <w:t>que certaines questions spécifiques soient abordées</w:t>
      </w:r>
      <w:r w:rsidR="00E35410">
        <w:t xml:space="preserve"> dans le cadre de la réflexion globale, comme </w:t>
      </w:r>
      <w:r>
        <w:t>résumé</w:t>
      </w:r>
      <w:r w:rsidR="00E35410">
        <w:t xml:space="preserve"> dans l’</w:t>
      </w:r>
      <w:r>
        <w:t>a</w:t>
      </w:r>
      <w:r w:rsidR="00E35410">
        <w:t xml:space="preserve">nnexe. Parmi les sujets abordés figurent la révision du critère R.2, la procédure de retrait et </w:t>
      </w:r>
      <w:r w:rsidR="00E35410">
        <w:lastRenderedPageBreak/>
        <w:t>de transfert d</w:t>
      </w:r>
      <w:r>
        <w:t xml:space="preserve">es </w:t>
      </w:r>
      <w:r w:rsidR="00E35410">
        <w:t xml:space="preserve">éléments, le suivi des éléments inscrits, les plafonds </w:t>
      </w:r>
      <w:r>
        <w:t xml:space="preserve">annuels </w:t>
      </w:r>
      <w:r w:rsidR="00E35410">
        <w:t>de candidatures, la préparation de</w:t>
      </w:r>
      <w:r>
        <w:t>s</w:t>
      </w:r>
      <w:r w:rsidR="00E35410">
        <w:t xml:space="preserve"> candidatures multinationales </w:t>
      </w:r>
      <w:r>
        <w:t>ainsi que</w:t>
      </w:r>
      <w:r w:rsidR="00E35410">
        <w:t xml:space="preserve"> la procédure </w:t>
      </w:r>
      <w:r>
        <w:t>d’élargissement de ces dernières</w:t>
      </w:r>
      <w:r w:rsidR="00E35410">
        <w:t xml:space="preserve">, </w:t>
      </w:r>
      <w:r>
        <w:t xml:space="preserve">et la manière dont </w:t>
      </w:r>
      <w:r w:rsidR="00E35410">
        <w:t xml:space="preserve">la sauvegarde du patrimoine </w:t>
      </w:r>
      <w:r w:rsidR="002C2E6B">
        <w:t xml:space="preserve">vivant </w:t>
      </w:r>
      <w:r>
        <w:t xml:space="preserve">contribue </w:t>
      </w:r>
      <w:r w:rsidR="00E35410">
        <w:t xml:space="preserve">au développement durable (voir </w:t>
      </w:r>
      <w:r w:rsidR="00E35410" w:rsidRPr="00C81194">
        <w:t>paragraphe 1</w:t>
      </w:r>
      <w:r w:rsidR="00A41C25" w:rsidRPr="00C81194">
        <w:t>7</w:t>
      </w:r>
      <w:r w:rsidR="00E35410" w:rsidRPr="00C81194">
        <w:t>).</w:t>
      </w:r>
    </w:p>
    <w:p w14:paraId="1C4423EE" w14:textId="78D5B155" w:rsidR="0075552D" w:rsidRPr="00323D95" w:rsidRDefault="001373F5" w:rsidP="008060EE">
      <w:pPr>
        <w:pStyle w:val="COMPara"/>
        <w:keepNext/>
        <w:numPr>
          <w:ilvl w:val="0"/>
          <w:numId w:val="8"/>
        </w:numPr>
        <w:ind w:left="567" w:hanging="567"/>
        <w:jc w:val="both"/>
      </w:pPr>
      <w:r>
        <w:t xml:space="preserve">La chronologie du processus de réflexion globale est </w:t>
      </w:r>
      <w:r w:rsidR="00F06F30">
        <w:t xml:space="preserve">résumée </w:t>
      </w:r>
      <w:r>
        <w:t>ci-dessous.</w:t>
      </w:r>
    </w:p>
    <w:tbl>
      <w:tblPr>
        <w:tblStyle w:val="Grilledutableau"/>
        <w:tblW w:w="0" w:type="auto"/>
        <w:tblInd w:w="567" w:type="dxa"/>
        <w:tblLook w:val="04A0" w:firstRow="1" w:lastRow="0" w:firstColumn="1" w:lastColumn="0" w:noHBand="0" w:noVBand="1"/>
      </w:tblPr>
      <w:tblGrid>
        <w:gridCol w:w="2547"/>
        <w:gridCol w:w="6514"/>
      </w:tblGrid>
      <w:tr w:rsidR="001373F5" w:rsidRPr="00323D95" w14:paraId="7E469E98" w14:textId="77777777" w:rsidTr="00C62AC0">
        <w:tc>
          <w:tcPr>
            <w:tcW w:w="2547" w:type="dxa"/>
            <w:shd w:val="clear" w:color="auto" w:fill="F2F2F2" w:themeFill="background1" w:themeFillShade="F2"/>
          </w:tcPr>
          <w:p w14:paraId="19DFE441" w14:textId="03833CFB" w:rsidR="001373F5" w:rsidRPr="00323D95" w:rsidRDefault="001373F5" w:rsidP="008060EE">
            <w:pPr>
              <w:pStyle w:val="COMPara"/>
              <w:keepNext/>
              <w:spacing w:after="0"/>
              <w:ind w:left="0" w:firstLine="0"/>
              <w:jc w:val="both"/>
              <w:rPr>
                <w:b/>
                <w:bCs/>
                <w:sz w:val="20"/>
                <w:szCs w:val="20"/>
              </w:rPr>
            </w:pPr>
            <w:r>
              <w:rPr>
                <w:b/>
                <w:sz w:val="20"/>
              </w:rPr>
              <w:t>Dates :</w:t>
            </w:r>
          </w:p>
        </w:tc>
        <w:tc>
          <w:tcPr>
            <w:tcW w:w="6514" w:type="dxa"/>
            <w:shd w:val="clear" w:color="auto" w:fill="F2F2F2" w:themeFill="background1" w:themeFillShade="F2"/>
          </w:tcPr>
          <w:p w14:paraId="3D443F8B" w14:textId="3900F0C2" w:rsidR="001373F5" w:rsidRPr="00323D95" w:rsidRDefault="00F06F30" w:rsidP="008060EE">
            <w:pPr>
              <w:pStyle w:val="COMPara"/>
              <w:keepNext/>
              <w:spacing w:after="0"/>
              <w:ind w:left="0" w:firstLine="0"/>
              <w:jc w:val="both"/>
              <w:rPr>
                <w:b/>
                <w:bCs/>
                <w:sz w:val="20"/>
                <w:szCs w:val="20"/>
              </w:rPr>
            </w:pPr>
            <w:r>
              <w:rPr>
                <w:b/>
                <w:sz w:val="20"/>
              </w:rPr>
              <w:t xml:space="preserve">Étapes </w:t>
            </w:r>
            <w:r w:rsidR="001373F5">
              <w:rPr>
                <w:b/>
                <w:sz w:val="20"/>
              </w:rPr>
              <w:t>clés</w:t>
            </w:r>
          </w:p>
        </w:tc>
      </w:tr>
      <w:tr w:rsidR="00805C1B" w:rsidRPr="00323D95" w14:paraId="522F8451" w14:textId="77777777" w:rsidTr="004944E6">
        <w:tc>
          <w:tcPr>
            <w:tcW w:w="2547" w:type="dxa"/>
          </w:tcPr>
          <w:p w14:paraId="07A8363A" w14:textId="77777777" w:rsidR="00805C1B" w:rsidRPr="00323D95" w:rsidRDefault="00805C1B" w:rsidP="004944E6">
            <w:pPr>
              <w:pStyle w:val="COMPara"/>
              <w:spacing w:after="0"/>
              <w:ind w:left="0" w:firstLine="0"/>
              <w:rPr>
                <w:sz w:val="20"/>
                <w:szCs w:val="20"/>
              </w:rPr>
            </w:pPr>
            <w:r>
              <w:rPr>
                <w:sz w:val="20"/>
              </w:rPr>
              <w:t>4 au 9 décembre 2017</w:t>
            </w:r>
          </w:p>
          <w:p w14:paraId="5A77F51A" w14:textId="587649CA" w:rsidR="00805C1B" w:rsidRPr="00323D95" w:rsidRDefault="00805C1B" w:rsidP="004944E6">
            <w:pPr>
              <w:pStyle w:val="COMPara"/>
              <w:spacing w:after="0"/>
              <w:ind w:left="0" w:firstLine="0"/>
              <w:rPr>
                <w:sz w:val="20"/>
                <w:szCs w:val="20"/>
              </w:rPr>
            </w:pPr>
            <w:r>
              <w:rPr>
                <w:sz w:val="20"/>
              </w:rPr>
              <w:t xml:space="preserve">Île de </w:t>
            </w:r>
            <w:proofErr w:type="spellStart"/>
            <w:r>
              <w:rPr>
                <w:sz w:val="20"/>
              </w:rPr>
              <w:t>Jeju</w:t>
            </w:r>
            <w:proofErr w:type="spellEnd"/>
            <w:r>
              <w:rPr>
                <w:sz w:val="20"/>
              </w:rPr>
              <w:t>, République de Corée</w:t>
            </w:r>
          </w:p>
        </w:tc>
        <w:tc>
          <w:tcPr>
            <w:tcW w:w="6514" w:type="dxa"/>
          </w:tcPr>
          <w:p w14:paraId="56425900" w14:textId="77777777" w:rsidR="00805C1B" w:rsidRPr="00323D95" w:rsidRDefault="00805C1B" w:rsidP="004944E6">
            <w:pPr>
              <w:pStyle w:val="COMPara"/>
              <w:ind w:left="0" w:firstLine="0"/>
              <w:jc w:val="both"/>
              <w:rPr>
                <w:b/>
                <w:bCs/>
                <w:sz w:val="20"/>
                <w:szCs w:val="20"/>
              </w:rPr>
            </w:pPr>
            <w:r>
              <w:rPr>
                <w:b/>
                <w:sz w:val="20"/>
              </w:rPr>
              <w:t>Douzième session du Comité intergouvernemental</w:t>
            </w:r>
          </w:p>
          <w:p w14:paraId="4702D198" w14:textId="36CBCE12" w:rsidR="00805C1B" w:rsidRPr="00323D95" w:rsidRDefault="00805C1B" w:rsidP="004944E6">
            <w:pPr>
              <w:pStyle w:val="COMPara"/>
              <w:ind w:left="0" w:firstLine="0"/>
              <w:jc w:val="both"/>
              <w:rPr>
                <w:sz w:val="20"/>
                <w:szCs w:val="20"/>
              </w:rPr>
            </w:pPr>
            <w:r>
              <w:rPr>
                <w:sz w:val="20"/>
              </w:rPr>
              <w:t>Point 14 : Réflexion sur le transfert d’un élément d’une Liste à l’autre et le retrait d’un élément d’une Liste</w:t>
            </w:r>
          </w:p>
        </w:tc>
      </w:tr>
      <w:tr w:rsidR="00E67E3D" w:rsidRPr="00323D95" w14:paraId="4ED88DA6" w14:textId="77777777" w:rsidTr="004944E6">
        <w:tc>
          <w:tcPr>
            <w:tcW w:w="2547" w:type="dxa"/>
          </w:tcPr>
          <w:p w14:paraId="3177022B" w14:textId="4247C907" w:rsidR="00E67E3D" w:rsidRPr="00323D95" w:rsidRDefault="0048398C" w:rsidP="004944E6">
            <w:pPr>
              <w:pStyle w:val="COMPara"/>
              <w:spacing w:after="0"/>
              <w:ind w:left="0" w:firstLine="0"/>
              <w:rPr>
                <w:sz w:val="20"/>
                <w:szCs w:val="20"/>
              </w:rPr>
            </w:pPr>
            <w:r>
              <w:rPr>
                <w:sz w:val="20"/>
              </w:rPr>
              <w:t>26 novembre 2018 au 1</w:t>
            </w:r>
            <w:r>
              <w:rPr>
                <w:sz w:val="20"/>
                <w:vertAlign w:val="superscript"/>
              </w:rPr>
              <w:t>er</w:t>
            </w:r>
            <w:r>
              <w:rPr>
                <w:sz w:val="20"/>
              </w:rPr>
              <w:t> décembre 2018</w:t>
            </w:r>
          </w:p>
          <w:p w14:paraId="4A285D9E" w14:textId="7046566C" w:rsidR="0048398C" w:rsidRPr="00323D95" w:rsidRDefault="0048398C" w:rsidP="004944E6">
            <w:pPr>
              <w:pStyle w:val="COMPara"/>
              <w:spacing w:after="0"/>
              <w:ind w:left="0" w:firstLine="0"/>
              <w:rPr>
                <w:sz w:val="20"/>
                <w:szCs w:val="20"/>
              </w:rPr>
            </w:pPr>
            <w:r>
              <w:rPr>
                <w:sz w:val="20"/>
              </w:rPr>
              <w:t>Port Louis, République de Maurice</w:t>
            </w:r>
          </w:p>
        </w:tc>
        <w:tc>
          <w:tcPr>
            <w:tcW w:w="6514" w:type="dxa"/>
          </w:tcPr>
          <w:p w14:paraId="14720671" w14:textId="77777777" w:rsidR="00E67E3D" w:rsidRPr="00323D95" w:rsidRDefault="00E67E3D" w:rsidP="004944E6">
            <w:pPr>
              <w:pStyle w:val="COMPara"/>
              <w:ind w:left="0" w:firstLine="0"/>
              <w:jc w:val="both"/>
              <w:rPr>
                <w:b/>
                <w:bCs/>
                <w:sz w:val="20"/>
                <w:szCs w:val="20"/>
              </w:rPr>
            </w:pPr>
            <w:r>
              <w:rPr>
                <w:b/>
                <w:sz w:val="20"/>
              </w:rPr>
              <w:t>Treizième session du Comité intergouvernemental</w:t>
            </w:r>
          </w:p>
          <w:p w14:paraId="17D96FB9" w14:textId="280BA37B" w:rsidR="00E67E3D" w:rsidRPr="00323D95" w:rsidRDefault="0048398C" w:rsidP="004944E6">
            <w:pPr>
              <w:pStyle w:val="COMPara"/>
              <w:ind w:left="0" w:firstLine="0"/>
              <w:jc w:val="both"/>
              <w:rPr>
                <w:sz w:val="20"/>
                <w:szCs w:val="20"/>
              </w:rPr>
            </w:pPr>
            <w:r>
              <w:rPr>
                <w:sz w:val="20"/>
              </w:rPr>
              <w:t>Point 6 : Fonds du patrimoine culturel immatériel : contributions supplémentaires volontaires et autres questions</w:t>
            </w:r>
          </w:p>
          <w:p w14:paraId="099C5E41" w14:textId="3F9AFF98" w:rsidR="0048398C" w:rsidRPr="00323D95" w:rsidRDefault="0048398C" w:rsidP="004944E6">
            <w:pPr>
              <w:pStyle w:val="COMPara"/>
              <w:ind w:left="0" w:firstLine="0"/>
              <w:jc w:val="both"/>
              <w:rPr>
                <w:sz w:val="20"/>
                <w:szCs w:val="20"/>
              </w:rPr>
            </w:pPr>
            <w:r>
              <w:rPr>
                <w:sz w:val="20"/>
              </w:rPr>
              <w:t>Point 10 : Rapport de l’Organe d’évaluation sur ses travaux en 2018</w:t>
            </w:r>
          </w:p>
        </w:tc>
      </w:tr>
      <w:tr w:rsidR="001373F5" w:rsidRPr="00323D95" w14:paraId="08C1961E" w14:textId="77777777" w:rsidTr="00C62AC0">
        <w:tc>
          <w:tcPr>
            <w:tcW w:w="2547" w:type="dxa"/>
          </w:tcPr>
          <w:p w14:paraId="03F6E2CC" w14:textId="77777777" w:rsidR="001373F5" w:rsidRPr="00323D95" w:rsidRDefault="001373F5" w:rsidP="00C62AC0">
            <w:pPr>
              <w:pStyle w:val="COMPara"/>
              <w:spacing w:after="0"/>
              <w:ind w:left="0" w:firstLine="0"/>
              <w:rPr>
                <w:sz w:val="20"/>
                <w:szCs w:val="20"/>
              </w:rPr>
            </w:pPr>
            <w:r>
              <w:rPr>
                <w:sz w:val="20"/>
              </w:rPr>
              <w:t>9 au 14 décembre 2019</w:t>
            </w:r>
          </w:p>
          <w:p w14:paraId="763F2B05" w14:textId="5A9E5504" w:rsidR="001373F5" w:rsidRPr="00323D95" w:rsidRDefault="001373F5" w:rsidP="00C62AC0">
            <w:pPr>
              <w:pStyle w:val="COMPara"/>
              <w:spacing w:after="0"/>
              <w:ind w:left="0" w:firstLine="0"/>
              <w:rPr>
                <w:sz w:val="20"/>
                <w:szCs w:val="20"/>
              </w:rPr>
            </w:pPr>
            <w:r>
              <w:rPr>
                <w:sz w:val="20"/>
              </w:rPr>
              <w:t>Bogota, République de Colombie</w:t>
            </w:r>
          </w:p>
        </w:tc>
        <w:tc>
          <w:tcPr>
            <w:tcW w:w="6514" w:type="dxa"/>
          </w:tcPr>
          <w:p w14:paraId="4F939912" w14:textId="77777777" w:rsidR="001373F5" w:rsidRPr="00323D95" w:rsidRDefault="001373F5" w:rsidP="00C62AC0">
            <w:pPr>
              <w:pStyle w:val="COMPara"/>
              <w:ind w:left="0" w:firstLine="0"/>
              <w:jc w:val="both"/>
              <w:rPr>
                <w:b/>
                <w:bCs/>
                <w:sz w:val="20"/>
                <w:szCs w:val="20"/>
              </w:rPr>
            </w:pPr>
            <w:r>
              <w:rPr>
                <w:b/>
                <w:sz w:val="20"/>
              </w:rPr>
              <w:t>Quatorzième session du Comité intergouvernemental</w:t>
            </w:r>
          </w:p>
          <w:p w14:paraId="70625E1E" w14:textId="74210516" w:rsidR="001373F5" w:rsidRPr="00323D95" w:rsidRDefault="001373F5" w:rsidP="00C62AC0">
            <w:pPr>
              <w:pStyle w:val="COMPara"/>
              <w:spacing w:after="0"/>
              <w:ind w:left="0" w:firstLine="0"/>
              <w:jc w:val="both"/>
              <w:rPr>
                <w:sz w:val="20"/>
                <w:szCs w:val="20"/>
              </w:rPr>
            </w:pPr>
            <w:r>
              <w:rPr>
                <w:sz w:val="20"/>
              </w:rPr>
              <w:t xml:space="preserve">Point 14 : Réflexion sur les mécanismes </w:t>
            </w:r>
            <w:r w:rsidR="002C2E6B">
              <w:rPr>
                <w:sz w:val="20"/>
              </w:rPr>
              <w:t>d</w:t>
            </w:r>
            <w:r>
              <w:rPr>
                <w:sz w:val="20"/>
              </w:rPr>
              <w:t>’inscription sur les listes de la Convention</w:t>
            </w:r>
          </w:p>
        </w:tc>
      </w:tr>
      <w:tr w:rsidR="001373F5" w:rsidRPr="00323D95" w14:paraId="72078671" w14:textId="77777777" w:rsidTr="00C62AC0">
        <w:tc>
          <w:tcPr>
            <w:tcW w:w="2547" w:type="dxa"/>
          </w:tcPr>
          <w:p w14:paraId="3CC48B5B" w14:textId="2B0295BE" w:rsidR="001373F5" w:rsidRPr="00323D95" w:rsidRDefault="001373F5" w:rsidP="00C62AC0">
            <w:pPr>
              <w:pStyle w:val="COMPara"/>
              <w:spacing w:after="0"/>
              <w:ind w:left="0" w:firstLine="0"/>
              <w:rPr>
                <w:sz w:val="20"/>
                <w:szCs w:val="20"/>
              </w:rPr>
            </w:pPr>
            <w:r>
              <w:rPr>
                <w:sz w:val="20"/>
              </w:rPr>
              <w:t>8 au 10 septembre 2020</w:t>
            </w:r>
          </w:p>
          <w:p w14:paraId="05A8C210" w14:textId="5F78601A" w:rsidR="001373F5" w:rsidRPr="00323D95" w:rsidRDefault="001373F5" w:rsidP="00C00ED2">
            <w:pPr>
              <w:pStyle w:val="COMPara"/>
              <w:spacing w:after="0"/>
              <w:ind w:left="0" w:firstLine="0"/>
              <w:rPr>
                <w:sz w:val="20"/>
                <w:szCs w:val="20"/>
              </w:rPr>
            </w:pPr>
            <w:r>
              <w:rPr>
                <w:sz w:val="20"/>
              </w:rPr>
              <w:t>Paris, siège de l’UNESCO</w:t>
            </w:r>
          </w:p>
        </w:tc>
        <w:tc>
          <w:tcPr>
            <w:tcW w:w="6514" w:type="dxa"/>
          </w:tcPr>
          <w:p w14:paraId="18F5DAA4" w14:textId="77777777" w:rsidR="001373F5" w:rsidRPr="00323D95" w:rsidRDefault="001373F5" w:rsidP="00C62AC0">
            <w:pPr>
              <w:pStyle w:val="COMPara"/>
              <w:ind w:left="0" w:firstLine="0"/>
              <w:jc w:val="both"/>
              <w:rPr>
                <w:b/>
                <w:bCs/>
                <w:sz w:val="20"/>
                <w:szCs w:val="20"/>
              </w:rPr>
            </w:pPr>
            <w:r>
              <w:rPr>
                <w:b/>
                <w:sz w:val="20"/>
              </w:rPr>
              <w:t>Huitième session de l’Assemblée générale des États parties</w:t>
            </w:r>
          </w:p>
          <w:p w14:paraId="3E0C6395" w14:textId="1D4BF254" w:rsidR="001373F5" w:rsidRPr="00323D95" w:rsidRDefault="001373F5" w:rsidP="00C62AC0">
            <w:pPr>
              <w:pStyle w:val="COMPara"/>
              <w:ind w:left="0" w:firstLine="0"/>
              <w:jc w:val="both"/>
              <w:rPr>
                <w:sz w:val="20"/>
                <w:szCs w:val="20"/>
              </w:rPr>
            </w:pPr>
            <w:r>
              <w:rPr>
                <w:sz w:val="20"/>
              </w:rPr>
              <w:t xml:space="preserve">Point 10 : </w:t>
            </w:r>
            <w:r w:rsidR="002C2E6B">
              <w:rPr>
                <w:sz w:val="20"/>
              </w:rPr>
              <w:t>« </w:t>
            </w:r>
            <w:r w:rsidR="0007234A">
              <w:rPr>
                <w:sz w:val="20"/>
              </w:rPr>
              <w:t>Récolte précoce</w:t>
            </w:r>
            <w:r w:rsidR="002C2E6B">
              <w:rPr>
                <w:sz w:val="20"/>
              </w:rPr>
              <w:t> »</w:t>
            </w:r>
            <w:r>
              <w:rPr>
                <w:sz w:val="20"/>
              </w:rPr>
              <w:t xml:space="preserve"> : </w:t>
            </w:r>
            <w:r w:rsidR="00F06F30">
              <w:rPr>
                <w:sz w:val="20"/>
              </w:rPr>
              <w:t>amendements aux</w:t>
            </w:r>
            <w:r>
              <w:rPr>
                <w:sz w:val="20"/>
              </w:rPr>
              <w:t xml:space="preserve"> Directives opérationnelles </w:t>
            </w:r>
            <w:r w:rsidR="00F06F30">
              <w:rPr>
                <w:sz w:val="20"/>
              </w:rPr>
              <w:t>pour inclure un processus de dialog</w:t>
            </w:r>
            <w:r w:rsidR="0007234A">
              <w:rPr>
                <w:sz w:val="20"/>
              </w:rPr>
              <w:t xml:space="preserve">ue dans l’évaluation des candidatures </w:t>
            </w:r>
          </w:p>
          <w:p w14:paraId="36298607" w14:textId="2104EC47" w:rsidR="001373F5" w:rsidRPr="00323D95" w:rsidRDefault="001373F5">
            <w:pPr>
              <w:pStyle w:val="COMPara"/>
              <w:ind w:left="0" w:firstLine="0"/>
              <w:jc w:val="both"/>
              <w:rPr>
                <w:sz w:val="20"/>
                <w:szCs w:val="20"/>
              </w:rPr>
            </w:pPr>
            <w:r>
              <w:rPr>
                <w:sz w:val="20"/>
              </w:rPr>
              <w:t xml:space="preserve">Point 11 : </w:t>
            </w:r>
            <w:r w:rsidR="0007234A">
              <w:rPr>
                <w:sz w:val="20"/>
              </w:rPr>
              <w:t xml:space="preserve">Point sur </w:t>
            </w:r>
            <w:r>
              <w:rPr>
                <w:sz w:val="20"/>
              </w:rPr>
              <w:t xml:space="preserve">la réflexion </w:t>
            </w:r>
            <w:r w:rsidR="0007234A">
              <w:rPr>
                <w:sz w:val="20"/>
              </w:rPr>
              <w:t xml:space="preserve">portant </w:t>
            </w:r>
            <w:r>
              <w:rPr>
                <w:sz w:val="20"/>
              </w:rPr>
              <w:t>sur les mécanismes d’inscription sur les Listes de la Convention</w:t>
            </w:r>
          </w:p>
        </w:tc>
      </w:tr>
      <w:tr w:rsidR="001373F5" w:rsidRPr="00323D95" w14:paraId="7B936BCC" w14:textId="77777777" w:rsidTr="00C62AC0">
        <w:tc>
          <w:tcPr>
            <w:tcW w:w="2547" w:type="dxa"/>
          </w:tcPr>
          <w:p w14:paraId="3CB0EB0D" w14:textId="77777777" w:rsidR="001373F5" w:rsidRPr="00323D95" w:rsidRDefault="001373F5" w:rsidP="00C62AC0">
            <w:pPr>
              <w:pStyle w:val="COMPara"/>
              <w:spacing w:after="0"/>
              <w:ind w:left="0" w:firstLine="0"/>
              <w:jc w:val="both"/>
              <w:rPr>
                <w:sz w:val="20"/>
                <w:szCs w:val="20"/>
              </w:rPr>
            </w:pPr>
            <w:r>
              <w:rPr>
                <w:sz w:val="20"/>
              </w:rPr>
              <w:t>14 au 19 décembre 2020</w:t>
            </w:r>
          </w:p>
          <w:p w14:paraId="25BD9D54" w14:textId="6F40B2E9" w:rsidR="0034060E" w:rsidRPr="00323D95" w:rsidRDefault="0034060E" w:rsidP="00C62AC0">
            <w:pPr>
              <w:pStyle w:val="COMPara"/>
              <w:spacing w:after="0"/>
              <w:ind w:left="0" w:firstLine="0"/>
              <w:jc w:val="both"/>
              <w:rPr>
                <w:sz w:val="20"/>
                <w:szCs w:val="20"/>
              </w:rPr>
            </w:pPr>
            <w:r>
              <w:rPr>
                <w:sz w:val="20"/>
              </w:rPr>
              <w:t>En ligne</w:t>
            </w:r>
            <w:r w:rsidR="00A41C25">
              <w:rPr>
                <w:sz w:val="20"/>
              </w:rPr>
              <w:t xml:space="preserve"> (Jamaïque et Paris, Siège de l’UNESCO)</w:t>
            </w:r>
          </w:p>
        </w:tc>
        <w:tc>
          <w:tcPr>
            <w:tcW w:w="6514" w:type="dxa"/>
          </w:tcPr>
          <w:p w14:paraId="36C3F25F" w14:textId="0DE5CC8A" w:rsidR="001373F5" w:rsidRPr="00323D95" w:rsidRDefault="001373F5" w:rsidP="00C00ED2">
            <w:pPr>
              <w:pStyle w:val="COMPara"/>
              <w:ind w:left="0" w:firstLine="0"/>
              <w:jc w:val="both"/>
              <w:rPr>
                <w:b/>
                <w:bCs/>
                <w:sz w:val="20"/>
                <w:szCs w:val="20"/>
              </w:rPr>
            </w:pPr>
            <w:r>
              <w:rPr>
                <w:b/>
                <w:sz w:val="20"/>
              </w:rPr>
              <w:t>Quinzième session du Comité intergouvernemental</w:t>
            </w:r>
          </w:p>
          <w:p w14:paraId="76497827" w14:textId="3B60DC07" w:rsidR="001373F5" w:rsidRPr="00323D95" w:rsidRDefault="001373F5" w:rsidP="00C62AC0">
            <w:pPr>
              <w:pStyle w:val="COMPara"/>
              <w:spacing w:after="0"/>
              <w:ind w:left="0" w:firstLine="0"/>
              <w:jc w:val="both"/>
              <w:rPr>
                <w:sz w:val="20"/>
                <w:szCs w:val="20"/>
              </w:rPr>
            </w:pPr>
            <w:r>
              <w:rPr>
                <w:sz w:val="20"/>
              </w:rPr>
              <w:t>Point 9 : Nombre de dossiers soumis pour les cycles 2020 et 2021 et nombre de dossiers pouvant être traités pour les cycles 2022 et 2023</w:t>
            </w:r>
          </w:p>
        </w:tc>
      </w:tr>
      <w:tr w:rsidR="001373F5" w:rsidRPr="00323D95" w14:paraId="15863CBE" w14:textId="77777777" w:rsidTr="00C62AC0">
        <w:tc>
          <w:tcPr>
            <w:tcW w:w="2547" w:type="dxa"/>
          </w:tcPr>
          <w:p w14:paraId="619B6638" w14:textId="618B7DF3" w:rsidR="001373F5" w:rsidRPr="00323D95" w:rsidRDefault="004944E6" w:rsidP="00C62AC0">
            <w:pPr>
              <w:pStyle w:val="COMPara"/>
              <w:spacing w:after="0"/>
              <w:ind w:left="0" w:firstLine="0"/>
              <w:jc w:val="both"/>
              <w:rPr>
                <w:sz w:val="20"/>
                <w:szCs w:val="20"/>
              </w:rPr>
            </w:pPr>
            <w:r>
              <w:rPr>
                <w:sz w:val="20"/>
              </w:rPr>
              <w:t>Mars et avril 2021</w:t>
            </w:r>
          </w:p>
        </w:tc>
        <w:tc>
          <w:tcPr>
            <w:tcW w:w="6514" w:type="dxa"/>
          </w:tcPr>
          <w:p w14:paraId="21AD6EF4" w14:textId="4BAE7122" w:rsidR="001373F5" w:rsidRPr="00323D95" w:rsidRDefault="004944E6" w:rsidP="00C62AC0">
            <w:pPr>
              <w:pStyle w:val="COMPara"/>
              <w:spacing w:after="0"/>
              <w:ind w:left="0" w:firstLine="0"/>
              <w:jc w:val="both"/>
              <w:rPr>
                <w:sz w:val="20"/>
                <w:szCs w:val="20"/>
              </w:rPr>
            </w:pPr>
            <w:r>
              <w:rPr>
                <w:sz w:val="20"/>
              </w:rPr>
              <w:t>Enquête en ligne pour les experts</w:t>
            </w:r>
          </w:p>
        </w:tc>
      </w:tr>
      <w:tr w:rsidR="001373F5" w:rsidRPr="00323D95" w14:paraId="615CC548" w14:textId="77777777" w:rsidTr="00C62AC0">
        <w:tc>
          <w:tcPr>
            <w:tcW w:w="2547" w:type="dxa"/>
          </w:tcPr>
          <w:p w14:paraId="264EE992" w14:textId="77777777" w:rsidR="001373F5" w:rsidRPr="00323D95" w:rsidRDefault="004944E6" w:rsidP="004944E6">
            <w:pPr>
              <w:pStyle w:val="COMPara"/>
              <w:spacing w:after="0"/>
              <w:ind w:left="0" w:firstLine="0"/>
              <w:jc w:val="both"/>
              <w:rPr>
                <w:sz w:val="20"/>
                <w:szCs w:val="20"/>
              </w:rPr>
            </w:pPr>
            <w:r>
              <w:rPr>
                <w:sz w:val="20"/>
              </w:rPr>
              <w:t>7, 26 et 27 mai 2021</w:t>
            </w:r>
          </w:p>
          <w:p w14:paraId="59D4FE0B" w14:textId="54BF7527" w:rsidR="004944E6" w:rsidRPr="00323D95" w:rsidRDefault="004944E6" w:rsidP="00C62AC0">
            <w:pPr>
              <w:pStyle w:val="COMPara"/>
              <w:spacing w:after="0"/>
              <w:ind w:left="0" w:firstLine="0"/>
              <w:jc w:val="both"/>
              <w:rPr>
                <w:sz w:val="20"/>
                <w:szCs w:val="20"/>
              </w:rPr>
            </w:pPr>
            <w:r>
              <w:rPr>
                <w:sz w:val="20"/>
              </w:rPr>
              <w:t>En ligne</w:t>
            </w:r>
          </w:p>
        </w:tc>
        <w:tc>
          <w:tcPr>
            <w:tcW w:w="6514" w:type="dxa"/>
          </w:tcPr>
          <w:p w14:paraId="5B22CE9A" w14:textId="47A58BF2" w:rsidR="001373F5" w:rsidRPr="00323D95" w:rsidRDefault="004944E6" w:rsidP="00C62AC0">
            <w:pPr>
              <w:pStyle w:val="COMPara"/>
              <w:spacing w:after="0"/>
              <w:ind w:left="0" w:firstLine="0"/>
              <w:jc w:val="both"/>
              <w:rPr>
                <w:b/>
                <w:bCs/>
                <w:sz w:val="20"/>
                <w:szCs w:val="20"/>
              </w:rPr>
            </w:pPr>
            <w:r>
              <w:rPr>
                <w:b/>
                <w:sz w:val="20"/>
              </w:rPr>
              <w:t>Réunion d’experts (catégorie VI)</w:t>
            </w:r>
          </w:p>
        </w:tc>
      </w:tr>
      <w:tr w:rsidR="001373F5" w:rsidRPr="00323D95" w14:paraId="42935A95" w14:textId="77777777" w:rsidTr="00C62AC0">
        <w:tc>
          <w:tcPr>
            <w:tcW w:w="2547" w:type="dxa"/>
          </w:tcPr>
          <w:p w14:paraId="692DC069" w14:textId="0D6CA60B" w:rsidR="001373F5" w:rsidRDefault="004944E6" w:rsidP="004944E6">
            <w:pPr>
              <w:pStyle w:val="COMPara"/>
              <w:spacing w:after="0"/>
              <w:ind w:left="0" w:firstLine="0"/>
              <w:jc w:val="both"/>
              <w:rPr>
                <w:sz w:val="20"/>
              </w:rPr>
            </w:pPr>
            <w:r>
              <w:rPr>
                <w:sz w:val="20"/>
              </w:rPr>
              <w:t xml:space="preserve">8 </w:t>
            </w:r>
            <w:r w:rsidR="00A41C25">
              <w:rPr>
                <w:sz w:val="20"/>
              </w:rPr>
              <w:t>et</w:t>
            </w:r>
            <w:r>
              <w:rPr>
                <w:sz w:val="20"/>
              </w:rPr>
              <w:t xml:space="preserve"> </w:t>
            </w:r>
            <w:r w:rsidR="00A41C25">
              <w:rPr>
                <w:sz w:val="20"/>
              </w:rPr>
              <w:t>9 </w:t>
            </w:r>
            <w:r>
              <w:rPr>
                <w:sz w:val="20"/>
              </w:rPr>
              <w:t>juillet 2021</w:t>
            </w:r>
          </w:p>
          <w:p w14:paraId="6A7C8B07" w14:textId="08678D76" w:rsidR="00A41C25" w:rsidRPr="00323D95" w:rsidRDefault="00A41C25" w:rsidP="004944E6">
            <w:pPr>
              <w:pStyle w:val="COMPara"/>
              <w:spacing w:after="0"/>
              <w:ind w:left="0" w:firstLine="0"/>
              <w:jc w:val="both"/>
              <w:rPr>
                <w:sz w:val="20"/>
                <w:szCs w:val="20"/>
              </w:rPr>
            </w:pPr>
            <w:r>
              <w:rPr>
                <w:sz w:val="20"/>
              </w:rPr>
              <w:t>9 et 10 septembre 2021</w:t>
            </w:r>
          </w:p>
          <w:p w14:paraId="3F09451B" w14:textId="0A0B2A95" w:rsidR="004944E6" w:rsidRPr="00323D95" w:rsidRDefault="004944E6" w:rsidP="00C62AC0">
            <w:pPr>
              <w:pStyle w:val="COMPara"/>
              <w:spacing w:after="0"/>
              <w:ind w:left="0" w:firstLine="0"/>
              <w:jc w:val="both"/>
              <w:rPr>
                <w:sz w:val="20"/>
                <w:szCs w:val="20"/>
              </w:rPr>
            </w:pPr>
            <w:r>
              <w:rPr>
                <w:sz w:val="20"/>
              </w:rPr>
              <w:t>En ligne</w:t>
            </w:r>
          </w:p>
        </w:tc>
        <w:tc>
          <w:tcPr>
            <w:tcW w:w="6514" w:type="dxa"/>
          </w:tcPr>
          <w:p w14:paraId="61ACF080" w14:textId="1C2AA4DA" w:rsidR="001373F5" w:rsidRPr="00323D95" w:rsidRDefault="004944E6" w:rsidP="00C62AC0">
            <w:pPr>
              <w:pStyle w:val="COMPara"/>
              <w:spacing w:after="0"/>
              <w:ind w:left="0" w:firstLine="0"/>
              <w:jc w:val="both"/>
              <w:rPr>
                <w:b/>
                <w:bCs/>
                <w:sz w:val="20"/>
                <w:szCs w:val="20"/>
              </w:rPr>
            </w:pPr>
            <w:r>
              <w:rPr>
                <w:b/>
                <w:sz w:val="20"/>
              </w:rPr>
              <w:t xml:space="preserve">Réunion du groupe de travail intergouvernemental </w:t>
            </w:r>
            <w:r w:rsidR="00F06F30">
              <w:rPr>
                <w:b/>
                <w:sz w:val="20"/>
              </w:rPr>
              <w:t>à composition non limitée</w:t>
            </w:r>
          </w:p>
        </w:tc>
      </w:tr>
      <w:tr w:rsidR="004944E6" w:rsidRPr="00323D95" w14:paraId="35F2E014" w14:textId="77777777" w:rsidTr="004944E6">
        <w:tc>
          <w:tcPr>
            <w:tcW w:w="2547" w:type="dxa"/>
          </w:tcPr>
          <w:p w14:paraId="7B358612" w14:textId="77777777" w:rsidR="004944E6" w:rsidRPr="00323D95" w:rsidRDefault="004944E6" w:rsidP="004944E6">
            <w:pPr>
              <w:pStyle w:val="COMPara"/>
              <w:spacing w:after="0"/>
              <w:ind w:left="0" w:firstLine="0"/>
              <w:jc w:val="both"/>
              <w:rPr>
                <w:sz w:val="20"/>
                <w:szCs w:val="20"/>
              </w:rPr>
            </w:pPr>
            <w:r>
              <w:rPr>
                <w:sz w:val="20"/>
              </w:rPr>
              <w:t>13 au 18 décembre 2021</w:t>
            </w:r>
          </w:p>
          <w:p w14:paraId="0697EA2B" w14:textId="146262DB" w:rsidR="004944E6" w:rsidRPr="00323D95" w:rsidRDefault="004944E6" w:rsidP="004944E6">
            <w:pPr>
              <w:pStyle w:val="COMPara"/>
              <w:spacing w:after="0"/>
              <w:ind w:left="0" w:firstLine="0"/>
              <w:jc w:val="both"/>
              <w:rPr>
                <w:sz w:val="20"/>
                <w:szCs w:val="20"/>
              </w:rPr>
            </w:pPr>
            <w:r>
              <w:rPr>
                <w:sz w:val="20"/>
              </w:rPr>
              <w:t>Colombo, Sri Lanka</w:t>
            </w:r>
          </w:p>
        </w:tc>
        <w:tc>
          <w:tcPr>
            <w:tcW w:w="6514" w:type="dxa"/>
          </w:tcPr>
          <w:p w14:paraId="0CFF3723" w14:textId="6CE3FEB3" w:rsidR="004944E6" w:rsidRPr="00323D95" w:rsidRDefault="004944E6" w:rsidP="004944E6">
            <w:pPr>
              <w:pStyle w:val="COMPara"/>
              <w:spacing w:after="0"/>
              <w:ind w:left="0" w:firstLine="0"/>
              <w:jc w:val="both"/>
              <w:rPr>
                <w:b/>
                <w:bCs/>
                <w:sz w:val="20"/>
                <w:szCs w:val="20"/>
              </w:rPr>
            </w:pPr>
            <w:r>
              <w:rPr>
                <w:b/>
                <w:sz w:val="20"/>
              </w:rPr>
              <w:t>Seizième session du Comité intergouvernemental</w:t>
            </w:r>
          </w:p>
        </w:tc>
      </w:tr>
      <w:tr w:rsidR="004944E6" w:rsidRPr="00323D95" w14:paraId="704DBD25" w14:textId="77777777" w:rsidTr="004944E6">
        <w:tc>
          <w:tcPr>
            <w:tcW w:w="2547" w:type="dxa"/>
          </w:tcPr>
          <w:p w14:paraId="0C8A77F6" w14:textId="3F6BAC11" w:rsidR="004944E6" w:rsidRPr="00323D95" w:rsidRDefault="00D240E8" w:rsidP="0034060E">
            <w:pPr>
              <w:pStyle w:val="COMPara"/>
              <w:spacing w:after="0"/>
              <w:ind w:left="0" w:firstLine="0"/>
              <w:rPr>
                <w:sz w:val="20"/>
                <w:szCs w:val="20"/>
              </w:rPr>
            </w:pPr>
            <w:r>
              <w:rPr>
                <w:sz w:val="20"/>
              </w:rPr>
              <w:t>Mi-2022</w:t>
            </w:r>
          </w:p>
          <w:p w14:paraId="37729C9F" w14:textId="3728D19D" w:rsidR="0034060E" w:rsidRPr="00323D95" w:rsidRDefault="0034060E" w:rsidP="0034060E">
            <w:pPr>
              <w:pStyle w:val="COMPara"/>
              <w:spacing w:after="0"/>
              <w:ind w:left="0" w:firstLine="0"/>
              <w:rPr>
                <w:sz w:val="20"/>
                <w:szCs w:val="20"/>
              </w:rPr>
            </w:pPr>
            <w:r>
              <w:rPr>
                <w:sz w:val="20"/>
              </w:rPr>
              <w:t>Paris, siège de l’UNESCO</w:t>
            </w:r>
          </w:p>
        </w:tc>
        <w:tc>
          <w:tcPr>
            <w:tcW w:w="6514" w:type="dxa"/>
          </w:tcPr>
          <w:p w14:paraId="42EF4598" w14:textId="20B4EB62" w:rsidR="004944E6" w:rsidRPr="00323D95" w:rsidRDefault="00D240E8" w:rsidP="004944E6">
            <w:pPr>
              <w:pStyle w:val="COMPara"/>
              <w:spacing w:after="0"/>
              <w:ind w:left="0" w:firstLine="0"/>
              <w:jc w:val="both"/>
              <w:rPr>
                <w:b/>
                <w:bCs/>
                <w:sz w:val="20"/>
                <w:szCs w:val="20"/>
              </w:rPr>
            </w:pPr>
            <w:r>
              <w:rPr>
                <w:b/>
                <w:sz w:val="20"/>
              </w:rPr>
              <w:t>Neuvième session de l’Assemblée générale des États parties</w:t>
            </w:r>
          </w:p>
        </w:tc>
      </w:tr>
    </w:tbl>
    <w:p w14:paraId="5185F5C5" w14:textId="4C4C2B7A" w:rsidR="00B46B82" w:rsidRDefault="00E17562" w:rsidP="00C62AC0">
      <w:pPr>
        <w:pStyle w:val="COMPara"/>
        <w:numPr>
          <w:ilvl w:val="0"/>
          <w:numId w:val="8"/>
        </w:numPr>
        <w:spacing w:before="120"/>
        <w:ind w:left="567" w:hanging="567"/>
        <w:jc w:val="both"/>
      </w:pPr>
      <w:r>
        <w:t xml:space="preserve">Le processus de réflexion </w:t>
      </w:r>
      <w:r w:rsidR="00333913">
        <w:t>inclut</w:t>
      </w:r>
      <w:r>
        <w:t xml:space="preserve"> plusieurs sessions du Comité et de l’Assemblée générale, ainsi </w:t>
      </w:r>
      <w:r w:rsidR="00333913">
        <w:t>qu</w:t>
      </w:r>
      <w:r>
        <w:t xml:space="preserve">’une consultation d’experts </w:t>
      </w:r>
      <w:r w:rsidR="001D14A0">
        <w:t>par le biais d’</w:t>
      </w:r>
      <w:r>
        <w:t>une enquête et une réunion de catégorie VI (voir ci-dessous). De</w:t>
      </w:r>
      <w:r w:rsidR="002C2E6B">
        <w:t>s</w:t>
      </w:r>
      <w:r>
        <w:t xml:space="preserve"> efforts ont été entrepris en vue de rendre le processus aussi inclusif que possible, afin de bénéficier du point de vue et de l’expérience d’un groupe d’experts varié et géographiquement représentatif, mais aussi de répondre à la demande de l’Assemblée générale (</w:t>
      </w:r>
      <w:hyperlink r:id="rId15" w:history="1">
        <w:r>
          <w:rPr>
            <w:rStyle w:val="Lienhypertexte"/>
          </w:rPr>
          <w:t>résolution 8.GA 11</w:t>
        </w:r>
      </w:hyperlink>
      <w:r>
        <w:t xml:space="preserve">) visant à encourager </w:t>
      </w:r>
      <w:r w:rsidR="001D14A0">
        <w:t xml:space="preserve">une large </w:t>
      </w:r>
      <w:r>
        <w:t xml:space="preserve">participation </w:t>
      </w:r>
      <w:r w:rsidR="001D14A0">
        <w:t xml:space="preserve">des </w:t>
      </w:r>
      <w:r>
        <w:t xml:space="preserve">experts </w:t>
      </w:r>
      <w:r w:rsidR="001D14A0">
        <w:t>au</w:t>
      </w:r>
      <w:r>
        <w:t xml:space="preserve"> processus de consultation.</w:t>
      </w:r>
    </w:p>
    <w:p w14:paraId="025A6BFF" w14:textId="6E1D1519" w:rsidR="001D14A0" w:rsidRPr="00323D95" w:rsidRDefault="001D14A0" w:rsidP="00C62AC0">
      <w:pPr>
        <w:pStyle w:val="COMPara"/>
        <w:numPr>
          <w:ilvl w:val="0"/>
          <w:numId w:val="8"/>
        </w:numPr>
        <w:spacing w:before="120"/>
        <w:ind w:left="567" w:hanging="567"/>
        <w:jc w:val="both"/>
      </w:pPr>
      <w:r>
        <w:t xml:space="preserve">Le calendrier </w:t>
      </w:r>
      <w:r w:rsidR="002C2E6B">
        <w:t>initial</w:t>
      </w:r>
      <w:r>
        <w:t xml:space="preserve"> de la réflexion tel que présenté à la quatorzième session du Comité en 2019 (document </w:t>
      </w:r>
      <w:hyperlink r:id="rId16" w:history="1">
        <w:r w:rsidRPr="00761C2D">
          <w:rPr>
            <w:rStyle w:val="Lienhypertexte"/>
          </w:rPr>
          <w:t>ITH/19/14.COM/14</w:t>
        </w:r>
      </w:hyperlink>
      <w:r>
        <w:t xml:space="preserve"> and </w:t>
      </w:r>
      <w:hyperlink r:id="rId17" w:history="1">
        <w:r w:rsidRPr="00613E96">
          <w:rPr>
            <w:rStyle w:val="Lienhypertexte"/>
          </w:rPr>
          <w:t>D</w:t>
        </w:r>
        <w:r>
          <w:rPr>
            <w:rStyle w:val="Lienhypertexte"/>
          </w:rPr>
          <w:t>é</w:t>
        </w:r>
        <w:r w:rsidRPr="00613E96">
          <w:rPr>
            <w:rStyle w:val="Lienhypertexte"/>
          </w:rPr>
          <w:t>cision 14.COM 14</w:t>
        </w:r>
      </w:hyperlink>
      <w:r>
        <w:t>) a dû être ajusté en raison de la pandémie de la COVID-19 et des restrictions de voyage qui en ont découlé. Une réunion d’experts initialement prévue en présentiel en 2020 a été remplacée par une consultation en deux étapes</w:t>
      </w:r>
      <w:r w:rsidR="006B234F">
        <w:t>,</w:t>
      </w:r>
      <w:r>
        <w:t xml:space="preserve"> comprenant une enquête en ligne et une réunion en ligne en 2021 (voir ci-dessous). Le plan révisé a été présent</w:t>
      </w:r>
      <w:r w:rsidR="006B234F">
        <w:t>é</w:t>
      </w:r>
      <w:r>
        <w:t xml:space="preserve"> à la huitième session de l’Assemblée générale en 2020 (</w:t>
      </w:r>
      <w:hyperlink r:id="rId18" w:history="1">
        <w:r w:rsidRPr="00323D95">
          <w:rPr>
            <w:rStyle w:val="Lienhypertexte"/>
          </w:rPr>
          <w:t>R</w:t>
        </w:r>
        <w:r>
          <w:rPr>
            <w:rStyle w:val="Lienhypertexte"/>
          </w:rPr>
          <w:t>é</w:t>
        </w:r>
        <w:r w:rsidRPr="00323D95">
          <w:rPr>
            <w:rStyle w:val="Lienhypertexte"/>
          </w:rPr>
          <w:t>solution 8.GA 11</w:t>
        </w:r>
      </w:hyperlink>
      <w:r>
        <w:t>)</w:t>
      </w:r>
      <w:r w:rsidR="006E32E1">
        <w:t>.</w:t>
      </w:r>
      <w:r>
        <w:t xml:space="preserve"> </w:t>
      </w:r>
      <w:r w:rsidR="006E32E1">
        <w:t xml:space="preserve">A cette époque, il était prévu d’essayer de convoquer une réunion en présentiel du groupe de travail en juillet 2021. Toutefois, en raison de la pandémie en cours et des restrictions de voyage, </w:t>
      </w:r>
      <w:r>
        <w:t xml:space="preserve">la présente réunion a </w:t>
      </w:r>
      <w:r w:rsidR="006E32E1">
        <w:t>également dû être</w:t>
      </w:r>
      <w:r>
        <w:t xml:space="preserve"> convoquée en ligne.</w:t>
      </w:r>
    </w:p>
    <w:p w14:paraId="1BF882A5" w14:textId="251B461C" w:rsidR="00FD4226" w:rsidRPr="00323D95" w:rsidRDefault="00FD4226" w:rsidP="00C00ED2">
      <w:pPr>
        <w:pStyle w:val="GAPara"/>
        <w:numPr>
          <w:ilvl w:val="0"/>
          <w:numId w:val="11"/>
        </w:numPr>
        <w:spacing w:before="360"/>
        <w:ind w:left="567" w:hanging="567"/>
        <w:jc w:val="both"/>
        <w:rPr>
          <w:b/>
        </w:rPr>
      </w:pPr>
      <w:r>
        <w:rPr>
          <w:b/>
        </w:rPr>
        <w:lastRenderedPageBreak/>
        <w:t>Progrès à ce jour</w:t>
      </w:r>
    </w:p>
    <w:p w14:paraId="468A53D1" w14:textId="379CF34F" w:rsidR="00FD4226" w:rsidRPr="00323D95" w:rsidRDefault="006B234F" w:rsidP="00B34306">
      <w:pPr>
        <w:pStyle w:val="COMPara"/>
        <w:numPr>
          <w:ilvl w:val="0"/>
          <w:numId w:val="8"/>
        </w:numPr>
        <w:ind w:left="567" w:hanging="567"/>
        <w:jc w:val="both"/>
      </w:pPr>
      <w:r>
        <w:rPr>
          <w:b/>
        </w:rPr>
        <w:t>Processus de dialogue</w:t>
      </w:r>
      <w:r w:rsidR="001D2163">
        <w:t xml:space="preserve"> : Les premières discussions intergouvernementales ont déjà </w:t>
      </w:r>
      <w:r w:rsidR="005F6FBE">
        <w:t>abouti au</w:t>
      </w:r>
      <w:r w:rsidR="001D2163">
        <w:t xml:space="preserve"> premier résultat concret dans le cadre de la réflexion, </w:t>
      </w:r>
      <w:r>
        <w:t>également appelé</w:t>
      </w:r>
      <w:r w:rsidR="001D2163">
        <w:t xml:space="preserve"> « </w:t>
      </w:r>
      <w:r>
        <w:t>récol</w:t>
      </w:r>
      <w:r w:rsidR="00C563AC">
        <w:t>t</w:t>
      </w:r>
      <w:r>
        <w:t>e précoce</w:t>
      </w:r>
      <w:r w:rsidR="001D2163">
        <w:t xml:space="preserve"> ». Il </w:t>
      </w:r>
      <w:r>
        <w:t xml:space="preserve">s’agit de </w:t>
      </w:r>
      <w:r w:rsidR="001D2163">
        <w:t xml:space="preserve">l’inclusion d’un </w:t>
      </w:r>
      <w:r>
        <w:t xml:space="preserve">processus de </w:t>
      </w:r>
      <w:r w:rsidR="001D2163">
        <w:t xml:space="preserve">dialogue dans l’examen des candidatures. Ce processus permet </w:t>
      </w:r>
      <w:r>
        <w:t xml:space="preserve">d’établir </w:t>
      </w:r>
      <w:r w:rsidR="001D2163">
        <w:t xml:space="preserve">un dialogue entre l’Organe d’évaluation et les États </w:t>
      </w:r>
      <w:r>
        <w:t>soumissionnaires</w:t>
      </w:r>
      <w:r w:rsidR="001D2163">
        <w:t xml:space="preserve"> afin de clarifier les </w:t>
      </w:r>
      <w:r>
        <w:t xml:space="preserve">problèmes </w:t>
      </w:r>
      <w:r w:rsidR="001D2163">
        <w:t xml:space="preserve">mineurs identifiés dans les dossiers de candidature </w:t>
      </w:r>
      <w:r>
        <w:t>par le biais d’</w:t>
      </w:r>
      <w:r w:rsidR="001D2163">
        <w:t xml:space="preserve">un simple </w:t>
      </w:r>
      <w:r>
        <w:t xml:space="preserve">processus </w:t>
      </w:r>
      <w:r w:rsidR="001D2163">
        <w:t>de question</w:t>
      </w:r>
      <w:r>
        <w:t>s</w:t>
      </w:r>
      <w:r w:rsidR="001D2163">
        <w:t>-réponse</w:t>
      </w:r>
      <w:r>
        <w:t>s</w:t>
      </w:r>
      <w:r w:rsidR="001D2163">
        <w:t xml:space="preserve"> (</w:t>
      </w:r>
      <w:hyperlink r:id="rId19" w:history="1">
        <w:r w:rsidR="001D2163">
          <w:rPr>
            <w:rStyle w:val="Lienhypertexte"/>
            <w:rFonts w:asciiTheme="minorBidi" w:hAnsiTheme="minorBidi"/>
          </w:rPr>
          <w:t>décision 13.COM 10</w:t>
        </w:r>
      </w:hyperlink>
      <w:r w:rsidR="001D2163">
        <w:t xml:space="preserve">). Sur la base de l’expérience positive </w:t>
      </w:r>
      <w:r>
        <w:t xml:space="preserve">acquise </w:t>
      </w:r>
      <w:r w:rsidR="001D2163">
        <w:t xml:space="preserve">au cours du cycle 2019, </w:t>
      </w:r>
      <w:r>
        <w:t xml:space="preserve">lorsque </w:t>
      </w:r>
      <w:r w:rsidR="001D2163">
        <w:t xml:space="preserve">cette possibilité a été intégrée </w:t>
      </w:r>
      <w:r>
        <w:t>à titre</w:t>
      </w:r>
      <w:r w:rsidR="001D2163">
        <w:t xml:space="preserve"> expérimental, la huitième session de l’Assemblée générale des États parties à la Convention de 2003, tenue en septembre 2020, a révisé les Directives opérationnelles afin de formaliser ce processus de</w:t>
      </w:r>
      <w:r w:rsidR="001D2163">
        <w:rPr>
          <w:rFonts w:asciiTheme="minorBidi" w:hAnsiTheme="minorBidi"/>
        </w:rPr>
        <w:t xml:space="preserve"> dialogue (</w:t>
      </w:r>
      <w:hyperlink r:id="rId20" w:history="1">
        <w:r w:rsidR="001D2163">
          <w:rPr>
            <w:rStyle w:val="Lienhypertexte"/>
            <w:rFonts w:asciiTheme="minorBidi" w:hAnsiTheme="minorBidi"/>
          </w:rPr>
          <w:t>résolution 8.GA 10</w:t>
        </w:r>
      </w:hyperlink>
      <w:r w:rsidR="001D2163">
        <w:rPr>
          <w:rFonts w:asciiTheme="minorBidi" w:hAnsiTheme="minorBidi"/>
        </w:rPr>
        <w:t>).</w:t>
      </w:r>
    </w:p>
    <w:p w14:paraId="36E7A5E3" w14:textId="7C02175B" w:rsidR="00817A85" w:rsidRPr="00323D95" w:rsidRDefault="00817A85" w:rsidP="00BC7E7F">
      <w:pPr>
        <w:pStyle w:val="COMPara"/>
        <w:numPr>
          <w:ilvl w:val="0"/>
          <w:numId w:val="8"/>
        </w:numPr>
        <w:ind w:left="567" w:hanging="567"/>
        <w:jc w:val="both"/>
      </w:pPr>
      <w:r>
        <w:rPr>
          <w:b/>
        </w:rPr>
        <w:t>Consultation d’experts</w:t>
      </w:r>
      <w:r>
        <w:t xml:space="preserve"> : </w:t>
      </w:r>
      <w:r w:rsidR="00C563AC">
        <w:t>Conformément</w:t>
      </w:r>
      <w:r>
        <w:t xml:space="preserve"> </w:t>
      </w:r>
      <w:r w:rsidR="005F6FBE">
        <w:t>au calendrier</w:t>
      </w:r>
      <w:r>
        <w:t xml:space="preserve"> relati</w:t>
      </w:r>
      <w:r w:rsidR="005F6FBE">
        <w:t>f</w:t>
      </w:r>
      <w:r>
        <w:t xml:space="preserve"> à la réflexion, le Secrétariat de la Convention de 2003 a entrepris une consultation d’experts en deux étapes au cours du premier semestre 2021. Il </w:t>
      </w:r>
      <w:r w:rsidR="005F6FBE">
        <w:t>s’agissait</w:t>
      </w:r>
      <w:r>
        <w:t xml:space="preserve"> d’une enquête et d’une réunion d’experts de catégorie VI :</w:t>
      </w:r>
    </w:p>
    <w:p w14:paraId="6B75C5CA" w14:textId="746CAC5D" w:rsidR="00BC7E7F" w:rsidRPr="00323D95" w:rsidRDefault="007432C0" w:rsidP="00C62AC0">
      <w:pPr>
        <w:pStyle w:val="COMPara"/>
        <w:ind w:firstLine="0"/>
        <w:jc w:val="both"/>
      </w:pPr>
      <w:r>
        <w:rPr>
          <w:b/>
        </w:rPr>
        <w:t xml:space="preserve">a. Enquête </w:t>
      </w:r>
      <w:r w:rsidR="005F6FBE">
        <w:rPr>
          <w:b/>
        </w:rPr>
        <w:t>auprès des experts</w:t>
      </w:r>
      <w:r w:rsidR="005F6FBE">
        <w:t> </w:t>
      </w:r>
      <w:r>
        <w:t xml:space="preserve">: Pour la première étape de la consultation d’experts, le Secrétariat a invité 201 experts à participer à une enquête </w:t>
      </w:r>
      <w:r w:rsidR="005F6FBE">
        <w:t xml:space="preserve">(54 réponses reçues) </w:t>
      </w:r>
      <w:r>
        <w:t xml:space="preserve">entre le 26 mars et le 11 avril 2021, afin </w:t>
      </w:r>
      <w:r w:rsidR="005F6FBE">
        <w:t xml:space="preserve">de recueillir </w:t>
      </w:r>
      <w:r>
        <w:t>leur</w:t>
      </w:r>
      <w:r w:rsidR="005F6FBE">
        <w:t>s</w:t>
      </w:r>
      <w:r>
        <w:t xml:space="preserve"> point</w:t>
      </w:r>
      <w:r w:rsidR="005F6FBE">
        <w:t>s</w:t>
      </w:r>
      <w:r>
        <w:t xml:space="preserve"> de vue </w:t>
      </w:r>
      <w:r w:rsidR="005F6FBE">
        <w:t xml:space="preserve">sur </w:t>
      </w:r>
      <w:r>
        <w:t xml:space="preserve">les principaux </w:t>
      </w:r>
      <w:r w:rsidR="005F6FBE">
        <w:t xml:space="preserve">défis </w:t>
      </w:r>
      <w:r>
        <w:t xml:space="preserve">identifiés </w:t>
      </w:r>
      <w:r w:rsidR="005F6FBE">
        <w:t>à ce jour</w:t>
      </w:r>
      <w:r>
        <w:t xml:space="preserve"> concernant les mécanismes d’inscription sur les listes, et les approches possibles permettant de les résoudre. Les questions de l’enquête étaient en lien étroit avec les quatre thèmes de réflexion (voir les questions de l’enquête en </w:t>
      </w:r>
      <w:hyperlink r:id="rId21" w:history="1">
        <w:r>
          <w:rPr>
            <w:rStyle w:val="Lienhypertexte"/>
          </w:rPr>
          <w:t>anglais</w:t>
        </w:r>
      </w:hyperlink>
      <w:r>
        <w:t>/</w:t>
      </w:r>
      <w:hyperlink r:id="rId22" w:history="1">
        <w:r>
          <w:rPr>
            <w:rStyle w:val="Lienhypertexte"/>
          </w:rPr>
          <w:t>français</w:t>
        </w:r>
      </w:hyperlink>
      <w:r>
        <w:t xml:space="preserve">). Cette participation comprenait des experts nommés par les États parties </w:t>
      </w:r>
      <w:proofErr w:type="gramStart"/>
      <w:r>
        <w:t>suite à un</w:t>
      </w:r>
      <w:proofErr w:type="gramEnd"/>
      <w:r>
        <w:t xml:space="preserve"> appel à cet égard, des membres anciens et actuels de l’Organe d’évaluation (157 au total, y compris des anciens membres de l’Organe subsidiaire et de l’Organe consultatif), et des experts identifiés par le Secrétariat, notamment des représentants du Forum des ONG. Les détails de l’enquête, y compris la méthode de sélection des experts et ses résultats préliminaires, figurent dans le document </w:t>
      </w:r>
      <w:hyperlink r:id="rId23" w:history="1">
        <w:r>
          <w:rPr>
            <w:rStyle w:val="Lienhypertexte"/>
          </w:rPr>
          <w:t>LHE/21/EXP/5</w:t>
        </w:r>
      </w:hyperlink>
      <w:r>
        <w:t xml:space="preserve"> de la réunion d’experts de catégorie VI (voir également la </w:t>
      </w:r>
      <w:hyperlink r:id="rId24" w:history="1">
        <w:r>
          <w:rPr>
            <w:rStyle w:val="Lienhypertexte"/>
          </w:rPr>
          <w:t>compilation</w:t>
        </w:r>
      </w:hyperlink>
      <w:r>
        <w:t xml:space="preserve"> des réponses).</w:t>
      </w:r>
    </w:p>
    <w:p w14:paraId="21134684" w14:textId="21DBD2CB" w:rsidR="00817A85" w:rsidRPr="00323D95" w:rsidRDefault="006F7862" w:rsidP="00C62AC0">
      <w:pPr>
        <w:pStyle w:val="1GAPara"/>
        <w:numPr>
          <w:ilvl w:val="0"/>
          <w:numId w:val="0"/>
        </w:numPr>
        <w:ind w:left="567"/>
        <w:jc w:val="both"/>
        <w:rPr>
          <w:color w:val="000000"/>
          <w:shd w:val="clear" w:color="auto" w:fill="FFFFFF"/>
        </w:rPr>
      </w:pPr>
      <w:r>
        <w:rPr>
          <w:b/>
        </w:rPr>
        <w:t>b. Réunion d’experts</w:t>
      </w:r>
      <w:r>
        <w:t xml:space="preserve"> : Pour la seconde étape de la consultation d’experts, une réunion d’experts en ligne a été organisée sur une période de six jours non consécutifs en mai 2021 (voir </w:t>
      </w:r>
      <w:hyperlink r:id="rId25" w:history="1">
        <w:r>
          <w:rPr>
            <w:rStyle w:val="Lienhypertexte"/>
          </w:rPr>
          <w:t>https://ich.unesco.org/fr/reunion-dexperts-en-ligne-categorie-vi-01165</w:t>
        </w:r>
      </w:hyperlink>
      <w:r>
        <w:t xml:space="preserve"> pour consulter l’ordre du jour et </w:t>
      </w:r>
      <w:r w:rsidR="0050430B">
        <w:t>le calendrier</w:t>
      </w:r>
      <w:r>
        <w:t>, la liste des participants et le document de référence). Trente-quatre experts y ont participé</w:t>
      </w:r>
      <w:r w:rsidR="0050430B">
        <w:t xml:space="preserve"> et ont</w:t>
      </w:r>
      <w:r>
        <w:t xml:space="preserve"> été </w:t>
      </w:r>
      <w:r w:rsidR="0050430B">
        <w:t>sélectionnés</w:t>
      </w:r>
      <w:r>
        <w:t xml:space="preserve"> en tenant compte de leur profil</w:t>
      </w:r>
      <w:r w:rsidR="0050430B">
        <w:t xml:space="preserve"> et</w:t>
      </w:r>
      <w:r>
        <w:t xml:space="preserve"> de </w:t>
      </w:r>
      <w:proofErr w:type="gramStart"/>
      <w:r>
        <w:t>leur expérience</w:t>
      </w:r>
      <w:r w:rsidR="0050430B">
        <w:t xml:space="preserve"> spécifiques</w:t>
      </w:r>
      <w:proofErr w:type="gramEnd"/>
      <w:r>
        <w:t xml:space="preserve">, et d’une égalité en termes de genre et de </w:t>
      </w:r>
      <w:r w:rsidR="0050430B">
        <w:t xml:space="preserve">représentation </w:t>
      </w:r>
      <w:r>
        <w:t>géographique.</w:t>
      </w:r>
    </w:p>
    <w:p w14:paraId="5682FAC4" w14:textId="78887C3A" w:rsidR="00DE7675" w:rsidRPr="00323D95" w:rsidRDefault="00863018" w:rsidP="006F7862">
      <w:pPr>
        <w:pStyle w:val="1GAPara"/>
        <w:numPr>
          <w:ilvl w:val="0"/>
          <w:numId w:val="0"/>
        </w:numPr>
        <w:ind w:left="567"/>
        <w:jc w:val="both"/>
      </w:pPr>
      <w:r>
        <w:t xml:space="preserve">Les experts ont </w:t>
      </w:r>
      <w:r w:rsidR="0050430B">
        <w:t xml:space="preserve">fait le point sur </w:t>
      </w:r>
      <w:r>
        <w:t xml:space="preserve">deux documents </w:t>
      </w:r>
      <w:r w:rsidR="0050430B">
        <w:t xml:space="preserve">établis </w:t>
      </w:r>
      <w:r>
        <w:t xml:space="preserve">spécifiquement pour leur réunion et </w:t>
      </w:r>
      <w:r w:rsidR="002C2E6B">
        <w:t xml:space="preserve">qui sont également </w:t>
      </w:r>
      <w:r>
        <w:t>pertinents dans le cadre de la présente réunion du groupe de travail. Le premier document, rédigé par M. </w:t>
      </w:r>
      <w:proofErr w:type="spellStart"/>
      <w:r>
        <w:t>Rieks</w:t>
      </w:r>
      <w:proofErr w:type="spellEnd"/>
      <w:r>
        <w:t xml:space="preserve"> </w:t>
      </w:r>
      <w:proofErr w:type="spellStart"/>
      <w:r>
        <w:t>Smeets</w:t>
      </w:r>
      <w:proofErr w:type="spellEnd"/>
      <w:r>
        <w:t xml:space="preserve">,  </w:t>
      </w:r>
      <w:r w:rsidR="0050430B">
        <w:t xml:space="preserve">fournit une vue d’ensemble </w:t>
      </w:r>
      <w:r>
        <w:t>historique</w:t>
      </w:r>
      <w:r w:rsidR="0050430B">
        <w:t xml:space="preserve"> retraçant la manière dont les aspects</w:t>
      </w:r>
      <w:r>
        <w:t xml:space="preserve"> des mécanismes d’inscription sur les listes</w:t>
      </w:r>
      <w:r w:rsidR="0050430B">
        <w:t xml:space="preserve"> ont été développés à travers la préparation</w:t>
      </w:r>
      <w:r>
        <w:t xml:space="preserve"> du texte de la Convention de 2003 et de ses Directives opérationnelles (document </w:t>
      </w:r>
      <w:hyperlink r:id="rId26" w:history="1">
        <w:r>
          <w:rPr>
            <w:rStyle w:val="Lienhypertexte"/>
          </w:rPr>
          <w:t>LHE/21/EXP/3</w:t>
        </w:r>
      </w:hyperlink>
      <w:r>
        <w:t xml:space="preserve">). Le second, </w:t>
      </w:r>
      <w:r w:rsidR="0050430B">
        <w:t xml:space="preserve">rédigé </w:t>
      </w:r>
      <w:r>
        <w:t xml:space="preserve">par Mme Eva </w:t>
      </w:r>
      <w:proofErr w:type="spellStart"/>
      <w:r>
        <w:t>Kuminková</w:t>
      </w:r>
      <w:proofErr w:type="spellEnd"/>
      <w:r>
        <w:t>, souligne les résultats d</w:t>
      </w:r>
      <w:r w:rsidR="0050430B">
        <w:t xml:space="preserve">es </w:t>
      </w:r>
      <w:r>
        <w:t>entretiens à petite échelle et d’une enquête en ligne effectués auprès de membres anciens et actuels de l’Organe d’évaluation, ainsi que l’analyse des rapports passés de l’Organe d’évaluation (document </w:t>
      </w:r>
      <w:hyperlink r:id="rId27" w:history="1">
        <w:r>
          <w:rPr>
            <w:rStyle w:val="Lienhypertexte"/>
          </w:rPr>
          <w:t>LHE/21/EXP/4</w:t>
        </w:r>
      </w:hyperlink>
      <w:r>
        <w:t>). Les résultats de l’enquête en ligne susmentionnée y sont également présentés.</w:t>
      </w:r>
    </w:p>
    <w:p w14:paraId="026C08E3" w14:textId="10C50CB9" w:rsidR="00803E43" w:rsidRDefault="00B34306" w:rsidP="00ED27E8">
      <w:pPr>
        <w:pStyle w:val="1GAPara"/>
        <w:numPr>
          <w:ilvl w:val="0"/>
          <w:numId w:val="0"/>
        </w:numPr>
        <w:ind w:left="567"/>
        <w:jc w:val="both"/>
        <w:rPr>
          <w:b/>
        </w:rPr>
      </w:pPr>
      <w:r>
        <w:t>Les e</w:t>
      </w:r>
      <w:r>
        <w:rPr>
          <w:color w:val="000000"/>
          <w:shd w:val="clear" w:color="auto" w:fill="FFFFFF"/>
        </w:rPr>
        <w:t>xperts ont été invités à travailler en session</w:t>
      </w:r>
      <w:r w:rsidR="00D1191F">
        <w:rPr>
          <w:color w:val="000000"/>
          <w:shd w:val="clear" w:color="auto" w:fill="FFFFFF"/>
        </w:rPr>
        <w:t>s</w:t>
      </w:r>
      <w:r>
        <w:rPr>
          <w:color w:val="000000"/>
          <w:shd w:val="clear" w:color="auto" w:fill="FFFFFF"/>
        </w:rPr>
        <w:t xml:space="preserve"> plénière</w:t>
      </w:r>
      <w:r w:rsidR="00D1191F">
        <w:rPr>
          <w:color w:val="000000"/>
          <w:shd w:val="clear" w:color="auto" w:fill="FFFFFF"/>
        </w:rPr>
        <w:t>s</w:t>
      </w:r>
      <w:r>
        <w:rPr>
          <w:color w:val="000000"/>
          <w:shd w:val="clear" w:color="auto" w:fill="FFFFFF"/>
        </w:rPr>
        <w:t xml:space="preserve"> et en trois groupes de discussion. </w:t>
      </w:r>
      <w:r w:rsidR="00A41C25">
        <w:rPr>
          <w:color w:val="000000"/>
          <w:shd w:val="clear" w:color="auto" w:fill="FFFFFF"/>
        </w:rPr>
        <w:t>Les</w:t>
      </w:r>
      <w:r>
        <w:rPr>
          <w:color w:val="000000"/>
          <w:shd w:val="clear" w:color="auto" w:fill="FFFFFF"/>
        </w:rPr>
        <w:t xml:space="preserve"> trois groupes </w:t>
      </w:r>
      <w:r w:rsidR="00A41C25">
        <w:rPr>
          <w:color w:val="000000"/>
          <w:shd w:val="clear" w:color="auto" w:fill="FFFFFF"/>
        </w:rPr>
        <w:t xml:space="preserve">ont été invités à </w:t>
      </w:r>
      <w:r>
        <w:rPr>
          <w:color w:val="000000"/>
          <w:shd w:val="clear" w:color="auto" w:fill="FFFFFF"/>
        </w:rPr>
        <w:t xml:space="preserve">discuter du thème A, puisqu’il concerne l’approche globale. Chaque groupe a également entamé une réflexion sur l’un des trois </w:t>
      </w:r>
      <w:r w:rsidR="00D1191F">
        <w:rPr>
          <w:color w:val="000000"/>
          <w:shd w:val="clear" w:color="auto" w:fill="FFFFFF"/>
        </w:rPr>
        <w:t xml:space="preserve">autres </w:t>
      </w:r>
      <w:r>
        <w:rPr>
          <w:color w:val="000000"/>
          <w:shd w:val="clear" w:color="auto" w:fill="FFFFFF"/>
        </w:rPr>
        <w:t xml:space="preserve">thèmes. </w:t>
      </w:r>
      <w:r>
        <w:t xml:space="preserve">Les discussions </w:t>
      </w:r>
      <w:r w:rsidR="00A41C25">
        <w:t>ont été vastes</w:t>
      </w:r>
      <w:r>
        <w:t xml:space="preserve"> et ont </w:t>
      </w:r>
      <w:r w:rsidR="00D1191F">
        <w:t xml:space="preserve">porté </w:t>
      </w:r>
      <w:r w:rsidR="00A41C25">
        <w:t xml:space="preserve">sur </w:t>
      </w:r>
      <w:r>
        <w:t xml:space="preserve">toutes les étapes </w:t>
      </w:r>
      <w:r w:rsidR="00D1191F">
        <w:t>du processus</w:t>
      </w:r>
      <w:r>
        <w:t xml:space="preserve"> d’inscription sur les listes et de suivi. Chacun des trois groupes de discussion a </w:t>
      </w:r>
      <w:r w:rsidR="00D1191F">
        <w:t xml:space="preserve">soumis </w:t>
      </w:r>
      <w:r>
        <w:t xml:space="preserve">un rapport détaillé </w:t>
      </w:r>
      <w:r w:rsidR="00D1191F">
        <w:t>à la</w:t>
      </w:r>
      <w:r>
        <w:t xml:space="preserve"> session plénière. Le rapport final </w:t>
      </w:r>
      <w:r w:rsidR="00A41C25" w:rsidRPr="008C30EA">
        <w:t>(</w:t>
      </w:r>
      <w:hyperlink r:id="rId28" w:history="1">
        <w:r w:rsidR="00A41C25" w:rsidRPr="008C30EA">
          <w:rPr>
            <w:rStyle w:val="Lienhypertexte"/>
          </w:rPr>
          <w:t>LHE/21/16.COM EXP/7</w:t>
        </w:r>
      </w:hyperlink>
      <w:r w:rsidR="00A41C25">
        <w:t xml:space="preserve">), et en particulier les rapports des groupes de discussion qu’il contient, </w:t>
      </w:r>
      <w:r>
        <w:t xml:space="preserve">reflète </w:t>
      </w:r>
      <w:r w:rsidR="00D1191F">
        <w:t xml:space="preserve">une série de propositions ou d’options envisagées par les experts qui ne constituent pas des solutions définitives ; la consultation des experts </w:t>
      </w:r>
      <w:r w:rsidR="00803E43">
        <w:t>n’avait</w:t>
      </w:r>
      <w:r w:rsidR="00D1191F">
        <w:t xml:space="preserve"> pas </w:t>
      </w:r>
      <w:r w:rsidR="00803E43">
        <w:t xml:space="preserve">pour objectif de les mettre tous d’accord </w:t>
      </w:r>
      <w:r w:rsidR="00D1191F">
        <w:t xml:space="preserve">sur </w:t>
      </w:r>
      <w:r w:rsidR="00803E43">
        <w:t>chacun des</w:t>
      </w:r>
      <w:r w:rsidR="00D1191F">
        <w:t xml:space="preserve"> points de la réflexion. Leurs positions peuvent néanmoins être résumées en </w:t>
      </w:r>
      <w:r>
        <w:t xml:space="preserve">quatre approches : </w:t>
      </w:r>
      <w:r>
        <w:rPr>
          <w:b/>
        </w:rPr>
        <w:t>(</w:t>
      </w:r>
      <w:r w:rsidR="00282679">
        <w:rPr>
          <w:b/>
        </w:rPr>
        <w:t>a</w:t>
      </w:r>
      <w:r>
        <w:rPr>
          <w:b/>
        </w:rPr>
        <w:t xml:space="preserve">) </w:t>
      </w:r>
      <w:r w:rsidR="002C2E6B">
        <w:rPr>
          <w:b/>
        </w:rPr>
        <w:t>ajustement</w:t>
      </w:r>
      <w:r w:rsidR="00282679">
        <w:rPr>
          <w:b/>
        </w:rPr>
        <w:t xml:space="preserve"> au plus précis</w:t>
      </w:r>
      <w:r w:rsidR="00D1191F">
        <w:rPr>
          <w:b/>
        </w:rPr>
        <w:t> </w:t>
      </w:r>
      <w:r>
        <w:rPr>
          <w:b/>
        </w:rPr>
        <w:t>; (</w:t>
      </w:r>
      <w:r w:rsidR="00282679">
        <w:rPr>
          <w:b/>
        </w:rPr>
        <w:t>b</w:t>
      </w:r>
      <w:r>
        <w:rPr>
          <w:b/>
        </w:rPr>
        <w:t>) repositionnement ; (</w:t>
      </w:r>
      <w:r w:rsidR="00282679">
        <w:rPr>
          <w:b/>
        </w:rPr>
        <w:t>c</w:t>
      </w:r>
      <w:r>
        <w:rPr>
          <w:b/>
        </w:rPr>
        <w:t xml:space="preserve">) </w:t>
      </w:r>
      <w:r w:rsidR="00282679">
        <w:rPr>
          <w:b/>
        </w:rPr>
        <w:t>contrôle plus strict, et (d) intégration maximale</w:t>
      </w:r>
      <w:r w:rsidR="00803E43">
        <w:rPr>
          <w:b/>
        </w:rPr>
        <w:t>.</w:t>
      </w:r>
      <w:r w:rsidR="00AD09DB">
        <w:rPr>
          <w:b/>
        </w:rPr>
        <w:t xml:space="preserve"> </w:t>
      </w:r>
      <w:r w:rsidR="00803E43">
        <w:lastRenderedPageBreak/>
        <w:t xml:space="preserve">La grande majorité des positions semblent relever soit </w:t>
      </w:r>
      <w:r w:rsidR="002C2E6B">
        <w:t>d’un</w:t>
      </w:r>
      <w:r w:rsidR="00803E43">
        <w:t xml:space="preserve"> </w:t>
      </w:r>
      <w:r w:rsidR="00282679">
        <w:t>a</w:t>
      </w:r>
      <w:r w:rsidR="00803E43">
        <w:t xml:space="preserve">) </w:t>
      </w:r>
      <w:r w:rsidR="002C2E6B">
        <w:t>ajustement</w:t>
      </w:r>
      <w:r w:rsidR="00486D50">
        <w:t xml:space="preserve"> au plus précis</w:t>
      </w:r>
      <w:r w:rsidR="00803E43">
        <w:t xml:space="preserve">, soit </w:t>
      </w:r>
      <w:r w:rsidR="002C2E6B">
        <w:t>d’un</w:t>
      </w:r>
      <w:r w:rsidR="00803E43">
        <w:t xml:space="preserve"> (</w:t>
      </w:r>
      <w:r w:rsidR="00282679">
        <w:t>b</w:t>
      </w:r>
      <w:r w:rsidR="00803E43">
        <w:t>) repositionnement</w:t>
      </w:r>
      <w:r w:rsidR="002C2E6B">
        <w:t> ;</w:t>
      </w:r>
      <w:r w:rsidR="00803E43">
        <w:t xml:space="preserve"> l’approche (</w:t>
      </w:r>
      <w:r w:rsidR="00282679">
        <w:t>c</w:t>
      </w:r>
      <w:r w:rsidR="00803E43">
        <w:t>) contrôle plus strict et l’approche (d)</w:t>
      </w:r>
      <w:r w:rsidR="002C2E6B">
        <w:t xml:space="preserve"> </w:t>
      </w:r>
      <w:r w:rsidR="00282679">
        <w:t>intégration</w:t>
      </w:r>
      <w:r w:rsidR="00803E43">
        <w:t xml:space="preserve"> maximale représentant des positions « </w:t>
      </w:r>
      <w:r w:rsidR="00ED27E8">
        <w:t>marginales</w:t>
      </w:r>
      <w:r w:rsidR="00803E43">
        <w:t xml:space="preserve"> ». Un vote rapide à main levée à la fin de la réunion a montré qu’il y avait </w:t>
      </w:r>
      <w:r w:rsidR="002C2E6B">
        <w:t>un équilibre entre les</w:t>
      </w:r>
      <w:r w:rsidR="00803E43">
        <w:t xml:space="preserve"> expert</w:t>
      </w:r>
      <w:r w:rsidR="00282679">
        <w:t>s</w:t>
      </w:r>
      <w:r w:rsidR="00803E43">
        <w:t xml:space="preserve"> </w:t>
      </w:r>
      <w:r w:rsidR="002C2E6B">
        <w:t xml:space="preserve">qui étaient </w:t>
      </w:r>
      <w:r w:rsidR="00803E43">
        <w:t xml:space="preserve">pour </w:t>
      </w:r>
      <w:r w:rsidR="00ED27E8">
        <w:t>« </w:t>
      </w:r>
      <w:r w:rsidR="00803E43">
        <w:t xml:space="preserve">un </w:t>
      </w:r>
      <w:r w:rsidR="002C2E6B">
        <w:t>ajustement au plus près</w:t>
      </w:r>
      <w:r w:rsidR="00803E43">
        <w:t xml:space="preserve"> » </w:t>
      </w:r>
      <w:r w:rsidR="002C2E6B">
        <w:t xml:space="preserve">et ceux qui étaient </w:t>
      </w:r>
      <w:r w:rsidR="00803E43">
        <w:t>pour « </w:t>
      </w:r>
      <w:r w:rsidR="00ED27E8">
        <w:t xml:space="preserve">un </w:t>
      </w:r>
      <w:r w:rsidR="00803E43">
        <w:t xml:space="preserve">repositionnement ». Les caractéristiques de chacune de ces approches, ainsi que les implications possibles sont décrites dans le document </w:t>
      </w:r>
      <w:hyperlink r:id="rId29" w:history="1">
        <w:r w:rsidR="00803E43" w:rsidRPr="008C30EA">
          <w:rPr>
            <w:rStyle w:val="Lienhypertexte"/>
          </w:rPr>
          <w:t>LHE/21/16.COM WG/</w:t>
        </w:r>
        <w:r w:rsidR="00486D50" w:rsidRPr="008C30EA">
          <w:rPr>
            <w:rStyle w:val="Lienhypertexte"/>
          </w:rPr>
          <w:t>3</w:t>
        </w:r>
      </w:hyperlink>
      <w:r w:rsidR="00803E43" w:rsidRPr="008C30EA">
        <w:t>.</w:t>
      </w:r>
    </w:p>
    <w:p w14:paraId="52B0F0A2" w14:textId="5ECE5277" w:rsidR="00AA1A7B" w:rsidRPr="00323D95" w:rsidRDefault="00EB7EF0" w:rsidP="00F34950">
      <w:pPr>
        <w:pStyle w:val="1GAPara"/>
        <w:numPr>
          <w:ilvl w:val="0"/>
          <w:numId w:val="11"/>
        </w:numPr>
        <w:jc w:val="both"/>
        <w:rPr>
          <w:b/>
        </w:rPr>
      </w:pPr>
      <w:r>
        <w:rPr>
          <w:b/>
        </w:rPr>
        <w:t>Objectifs et méthodes de travail de la présente réunion</w:t>
      </w:r>
    </w:p>
    <w:p w14:paraId="5F222823" w14:textId="050FCC34" w:rsidR="00320B39" w:rsidRDefault="000E7D76" w:rsidP="00A4166E">
      <w:pPr>
        <w:pStyle w:val="GAPara"/>
        <w:numPr>
          <w:ilvl w:val="0"/>
          <w:numId w:val="8"/>
        </w:numPr>
        <w:spacing w:before="120"/>
        <w:ind w:left="567" w:hanging="567"/>
        <w:jc w:val="both"/>
      </w:pPr>
      <w:r>
        <w:t xml:space="preserve">L’objectif principal du groupe de travail intergouvernemental </w:t>
      </w:r>
      <w:r w:rsidR="000455CD">
        <w:t xml:space="preserve">à composition non limitée </w:t>
      </w:r>
      <w:r>
        <w:t xml:space="preserve">sera </w:t>
      </w:r>
      <w:r w:rsidR="000455CD">
        <w:t xml:space="preserve">de parvenir à </w:t>
      </w:r>
      <w:r>
        <w:t xml:space="preserve">un consensus </w:t>
      </w:r>
      <w:r w:rsidR="000455CD">
        <w:t xml:space="preserve">sur </w:t>
      </w:r>
      <w:r>
        <w:t xml:space="preserve">l’approche globale visant </w:t>
      </w:r>
      <w:r w:rsidR="000455CD">
        <w:t xml:space="preserve">à améliorer le </w:t>
      </w:r>
      <w:r>
        <w:t xml:space="preserve">système d’inscription sur les listes de la Convention de 2003, et </w:t>
      </w:r>
      <w:r w:rsidR="000455CD">
        <w:t xml:space="preserve">de </w:t>
      </w:r>
      <w:r w:rsidR="002C2E6B">
        <w:t>se mettre d’accord sur un</w:t>
      </w:r>
      <w:r>
        <w:t xml:space="preserve"> ensemble de modifications nécessaires </w:t>
      </w:r>
      <w:r w:rsidR="002C2E6B">
        <w:t>afin de parvenir à l’objectif convenu</w:t>
      </w:r>
      <w:r>
        <w:t xml:space="preserve">. </w:t>
      </w:r>
      <w:r w:rsidR="002E44CF">
        <w:t>Compte tenu de la nature étendue des recommandations faites par les experts de la réunion de catégorie VI, la présente réunion du groupe de travail aura lieu en deux parties :</w:t>
      </w:r>
    </w:p>
    <w:p w14:paraId="29844FD6" w14:textId="77777777" w:rsidR="002E44CF" w:rsidRPr="00F34950" w:rsidRDefault="002E44CF" w:rsidP="008846C0">
      <w:pPr>
        <w:pStyle w:val="Paragraphedeliste"/>
        <w:numPr>
          <w:ilvl w:val="0"/>
          <w:numId w:val="29"/>
        </w:numPr>
        <w:spacing w:after="0"/>
        <w:ind w:left="1418" w:hanging="284"/>
        <w:contextualSpacing w:val="0"/>
        <w:jc w:val="both"/>
        <w:rPr>
          <w:rFonts w:ascii="Arial" w:hAnsi="Arial" w:cs="Arial"/>
          <w:snapToGrid w:val="0"/>
          <w:szCs w:val="22"/>
          <w:lang w:eastAsia="en-US"/>
        </w:rPr>
      </w:pPr>
      <w:r w:rsidRPr="00F34950">
        <w:rPr>
          <w:rFonts w:ascii="Arial" w:hAnsi="Arial" w:cs="Arial"/>
          <w:b/>
          <w:bCs/>
          <w:snapToGrid w:val="0"/>
          <w:szCs w:val="22"/>
          <w:lang w:eastAsia="en-US"/>
        </w:rPr>
        <w:t>Partie I</w:t>
      </w:r>
      <w:r w:rsidRPr="00F34950">
        <w:rPr>
          <w:rFonts w:ascii="Arial" w:hAnsi="Arial" w:cs="Arial"/>
          <w:snapToGrid w:val="0"/>
          <w:szCs w:val="22"/>
          <w:lang w:eastAsia="en-US"/>
        </w:rPr>
        <w:t xml:space="preserve"> (en ligne, une réunion de deux jours les 8 et 9 juillet 2021) : le groupe de travail discutera des recommandations de la réunion de catégorie VI afin de décider de la direction générale à prendre quant à la réforme du système d’inscription sur les listes de la Convention.</w:t>
      </w:r>
    </w:p>
    <w:p w14:paraId="5A5B3087" w14:textId="4A19A7EE" w:rsidR="002E44CF" w:rsidRPr="00F34950" w:rsidRDefault="002E44CF" w:rsidP="008846C0">
      <w:pPr>
        <w:pStyle w:val="Paragraphedeliste"/>
        <w:numPr>
          <w:ilvl w:val="0"/>
          <w:numId w:val="29"/>
        </w:numPr>
        <w:spacing w:before="240" w:after="0"/>
        <w:ind w:left="1418" w:hanging="284"/>
        <w:contextualSpacing w:val="0"/>
        <w:jc w:val="both"/>
        <w:rPr>
          <w:rFonts w:ascii="Arial" w:hAnsi="Arial" w:cs="Arial"/>
          <w:snapToGrid w:val="0"/>
          <w:szCs w:val="22"/>
          <w:lang w:eastAsia="en-US"/>
        </w:rPr>
      </w:pPr>
      <w:r w:rsidRPr="00F34950">
        <w:rPr>
          <w:rFonts w:ascii="Arial" w:hAnsi="Arial" w:cs="Arial"/>
          <w:b/>
          <w:bCs/>
          <w:snapToGrid w:val="0"/>
          <w:szCs w:val="22"/>
          <w:lang w:eastAsia="en-US"/>
        </w:rPr>
        <w:t>Partie II</w:t>
      </w:r>
      <w:r w:rsidRPr="00F34950">
        <w:rPr>
          <w:rFonts w:ascii="Arial" w:hAnsi="Arial" w:cs="Arial"/>
          <w:snapToGrid w:val="0"/>
          <w:szCs w:val="22"/>
          <w:lang w:eastAsia="en-US"/>
        </w:rPr>
        <w:t xml:space="preserve"> (en ligne, une réunion de deux jours les 9 et 10 septembre 2021) : sur la base de la réunion Partie I, le groupe de travail recommandera les changements spécifiques à apporter, conformément à la direction générale prise lors de la réunion Partie I.</w:t>
      </w:r>
    </w:p>
    <w:p w14:paraId="312CA7CC" w14:textId="4CD6E312" w:rsidR="00A4166E" w:rsidRDefault="002E44CF">
      <w:pPr>
        <w:pStyle w:val="GAPara"/>
        <w:numPr>
          <w:ilvl w:val="0"/>
          <w:numId w:val="8"/>
        </w:numPr>
        <w:spacing w:before="120"/>
        <w:ind w:left="567" w:hanging="567"/>
        <w:jc w:val="both"/>
      </w:pPr>
      <w:r>
        <w:t>Les recommandations du groupe de travail qui seront adoptées à la fin de la partie II de la réunion, permettront au Comité d’examiner les projets d’amendements aux Directives opérationnelles lors de sa seizième session (Colombo, Sri Lanka, du 13 au 18 décembre 2021). Si le Comité les approuve, les amendements pourront être présentés pour examen et éventuelle adoption par l’Assemblée générale lors de sa neuvième session mi-2022. Les recommandations du groupe de travail pourraient également conduire à la modification du Règlement intérieur du Comité intergouvernemental et à la révision des formulaires de candidature.</w:t>
      </w:r>
    </w:p>
    <w:p w14:paraId="7D8FDCBD" w14:textId="491EDED6" w:rsidR="002E44CF" w:rsidRPr="00323D95" w:rsidRDefault="002E44CF">
      <w:pPr>
        <w:pStyle w:val="GAPara"/>
        <w:numPr>
          <w:ilvl w:val="0"/>
          <w:numId w:val="8"/>
        </w:numPr>
        <w:spacing w:before="120"/>
        <w:ind w:left="567" w:hanging="567"/>
        <w:jc w:val="both"/>
      </w:pPr>
      <w:r>
        <w:t>Pour la réunion Partie I du groupe de travail (plus d’informations sur la Partie II seront fournies en temps voulu</w:t>
      </w:r>
      <w:r w:rsidR="00AC0572">
        <w:t xml:space="preserve"> afin de refléter les discussions qui auront lieu pendant la Partie I de la réunion), les participants se réuniron</w:t>
      </w:r>
      <w:r w:rsidR="002C2E6B">
        <w:t>t</w:t>
      </w:r>
      <w:r w:rsidR="00AC0572">
        <w:t xml:space="preserve"> chaque jour par le biais de la plateforme Zoom, avec quatre sessions de 90 minutes chacune. Veuillez voir le document </w:t>
      </w:r>
      <w:hyperlink r:id="rId30" w:history="1">
        <w:r w:rsidR="00AC0572" w:rsidRPr="008C30EA">
          <w:rPr>
            <w:rStyle w:val="Lienhypertexte"/>
          </w:rPr>
          <w:t>LHE/21/16.COM WG/1</w:t>
        </w:r>
      </w:hyperlink>
      <w:r w:rsidR="00AC0572">
        <w:t xml:space="preserve"> pour l’ordre du jour et le calendrier. Les États parties à la Convention de 2003 sont les principaux participants à la réunion, tandis que les États non parties à la Convention et les Organisations non gouvernementales accréditées pourraient participer en tant qu’observateurs</w:t>
      </w:r>
      <w:r w:rsidR="00AC0572" w:rsidRPr="00503E5D">
        <w:t xml:space="preserve"> (voir </w:t>
      </w:r>
      <w:hyperlink r:id="rId31" w:history="1">
        <w:r w:rsidR="00AC0572" w:rsidRPr="00503E5D">
          <w:rPr>
            <w:rStyle w:val="Lienhypertexte"/>
          </w:rPr>
          <w:t>la liste préliminaire des participants</w:t>
        </w:r>
      </w:hyperlink>
      <w:r w:rsidR="00AC0572" w:rsidRPr="00503E5D">
        <w:rPr>
          <w:u w:val="single"/>
        </w:rPr>
        <w:t xml:space="preserve">). </w:t>
      </w:r>
      <w:r w:rsidR="00AC0572" w:rsidRPr="00503E5D">
        <w:t xml:space="preserve">Les débats </w:t>
      </w:r>
      <w:r w:rsidR="00AC0572">
        <w:t xml:space="preserve">de la réunion sont ouverts au public et seront </w:t>
      </w:r>
      <w:r w:rsidR="00E3488C">
        <w:t>diffusés</w:t>
      </w:r>
      <w:r w:rsidR="00AC0572">
        <w:t xml:space="preserve"> </w:t>
      </w:r>
      <w:r w:rsidR="00E3488C">
        <w:t xml:space="preserve">sur le Web </w:t>
      </w:r>
      <w:r w:rsidR="00AC0572">
        <w:t>en temps réel sur le site de la Convention.</w:t>
      </w:r>
    </w:p>
    <w:p w14:paraId="00115B74" w14:textId="0B76189E" w:rsidR="0022638C" w:rsidRPr="00323D95" w:rsidRDefault="00656517" w:rsidP="00C62AC0">
      <w:pPr>
        <w:pStyle w:val="GAPara"/>
        <w:numPr>
          <w:ilvl w:val="0"/>
          <w:numId w:val="8"/>
        </w:numPr>
        <w:spacing w:before="120"/>
        <w:ind w:left="567" w:hanging="567"/>
        <w:jc w:val="both"/>
        <w:rPr>
          <w:rFonts w:eastAsiaTheme="minorEastAsia"/>
        </w:rPr>
      </w:pPr>
      <w:r>
        <w:t xml:space="preserve">Le premier jour, le groupe de travail commencera </w:t>
      </w:r>
      <w:r w:rsidR="000455CD">
        <w:t xml:space="preserve">ses travaux par l’élection </w:t>
      </w:r>
      <w:r w:rsidR="00AC0572">
        <w:t>du Bureau (</w:t>
      </w:r>
      <w:r>
        <w:t>un(e) Président(e)</w:t>
      </w:r>
      <w:r w:rsidR="00AC0572">
        <w:t xml:space="preserve"> et </w:t>
      </w:r>
      <w:r w:rsidR="00503E5D">
        <w:t>cinq</w:t>
      </w:r>
      <w:r w:rsidR="00AC0572">
        <w:t xml:space="preserve"> </w:t>
      </w:r>
      <w:r>
        <w:t>Vice-président</w:t>
      </w:r>
      <w:r w:rsidR="00AC0572">
        <w:t>s</w:t>
      </w:r>
      <w:r>
        <w:t>(e</w:t>
      </w:r>
      <w:r w:rsidR="00AC0572">
        <w:t>s</w:t>
      </w:r>
      <w:r>
        <w:t>)</w:t>
      </w:r>
      <w:r w:rsidR="0002116F">
        <w:t>,</w:t>
      </w:r>
      <w:r>
        <w:t xml:space="preserve"> un pour chacun des groupes électoraux</w:t>
      </w:r>
      <w:r w:rsidR="0002116F">
        <w:t xml:space="preserve"> restants</w:t>
      </w:r>
      <w:r>
        <w:t xml:space="preserve"> de l’UNESCO</w:t>
      </w:r>
      <w:r w:rsidR="00AC0572">
        <w:t>, qui feront également office de rapporteurs).</w:t>
      </w:r>
      <w:r>
        <w:t xml:space="preserve"> Le (ou la) Président(e) aura les mêmes </w:t>
      </w:r>
      <w:r w:rsidR="000455CD">
        <w:t xml:space="preserve">fonctions </w:t>
      </w:r>
      <w:r>
        <w:t>que ce</w:t>
      </w:r>
      <w:r w:rsidR="000455CD">
        <w:t>lles</w:t>
      </w:r>
      <w:r>
        <w:t xml:space="preserve"> du Président de l’Assemblée générale des États parties à la Convention de 2003. Le</w:t>
      </w:r>
      <w:r w:rsidR="00AC0572">
        <w:t>s</w:t>
      </w:r>
      <w:r>
        <w:t xml:space="preserve"> </w:t>
      </w:r>
      <w:r w:rsidR="00503E5D">
        <w:t xml:space="preserve">cinq </w:t>
      </w:r>
      <w:r>
        <w:t>Vice-président</w:t>
      </w:r>
      <w:r w:rsidR="00AC0572">
        <w:t>s</w:t>
      </w:r>
      <w:r>
        <w:t>(e</w:t>
      </w:r>
      <w:r w:rsidR="00AC0572">
        <w:t>s</w:t>
      </w:r>
      <w:r>
        <w:t xml:space="preserve">) assisteront le (ou la) Président(e) dans l’accomplissement de ses </w:t>
      </w:r>
      <w:r w:rsidR="000455CD">
        <w:t>fonctions</w:t>
      </w:r>
      <w:r>
        <w:t>.</w:t>
      </w:r>
    </w:p>
    <w:p w14:paraId="09310C2E" w14:textId="67466307" w:rsidR="00D250D5" w:rsidRPr="00323D95" w:rsidRDefault="00BD68F0">
      <w:pPr>
        <w:pStyle w:val="GAPara"/>
        <w:numPr>
          <w:ilvl w:val="0"/>
          <w:numId w:val="8"/>
        </w:numPr>
        <w:spacing w:before="120"/>
        <w:ind w:left="567" w:hanging="567"/>
        <w:jc w:val="both"/>
      </w:pPr>
      <w:r>
        <w:t>L</w:t>
      </w:r>
      <w:r w:rsidR="004F5403">
        <w:t xml:space="preserve">e groupe de travail </w:t>
      </w:r>
      <w:r>
        <w:t>discutera ensuite des principa</w:t>
      </w:r>
      <w:r w:rsidR="00B7054F">
        <w:t>ux</w:t>
      </w:r>
      <w:r>
        <w:t xml:space="preserve"> </w:t>
      </w:r>
      <w:r w:rsidR="00B7054F">
        <w:t xml:space="preserve">thèmes </w:t>
      </w:r>
      <w:r>
        <w:t xml:space="preserve">de réflexion et des approches possibles exposées dans le document de travail </w:t>
      </w:r>
      <w:hyperlink r:id="rId32" w:history="1">
        <w:r w:rsidRPr="008C30EA">
          <w:rPr>
            <w:rStyle w:val="Lienhypertexte"/>
          </w:rPr>
          <w:t>LHE/21/16.COM WG/3</w:t>
        </w:r>
      </w:hyperlink>
      <w:r>
        <w:t xml:space="preserve">, qui s’appuie sur les </w:t>
      </w:r>
      <w:r w:rsidR="004F5403">
        <w:t>recommandation</w:t>
      </w:r>
      <w:r>
        <w:t>s</w:t>
      </w:r>
      <w:r w:rsidR="004F5403">
        <w:t xml:space="preserve"> </w:t>
      </w:r>
      <w:r>
        <w:t xml:space="preserve">des réunions </w:t>
      </w:r>
      <w:r w:rsidR="004F5403">
        <w:t>des experts</w:t>
      </w:r>
      <w:r>
        <w:t xml:space="preserve"> de catégorie VI susmentionnées, ainsi que sur les travaux préparatoire</w:t>
      </w:r>
      <w:r w:rsidR="00B7054F">
        <w:t>s</w:t>
      </w:r>
      <w:r>
        <w:t xml:space="preserve"> et les commentaires des membres du Comité et des </w:t>
      </w:r>
      <w:r w:rsidR="00E3488C">
        <w:t>É</w:t>
      </w:r>
      <w:r>
        <w:t>tats parties lors des précédentes sessions des organes directeurs de la Convention.</w:t>
      </w:r>
      <w:r w:rsidR="004F5403">
        <w:t xml:space="preserve"> Ainsi, le groupe de travail sera en mesure d’aborder les questions </w:t>
      </w:r>
      <w:r w:rsidR="00B7054F">
        <w:t xml:space="preserve">connexes </w:t>
      </w:r>
      <w:r w:rsidR="004F5403">
        <w:t xml:space="preserve">soulevées par </w:t>
      </w:r>
      <w:r w:rsidR="00B7054F">
        <w:t xml:space="preserve">les quatre </w:t>
      </w:r>
      <w:r w:rsidR="004F5403">
        <w:t>thème</w:t>
      </w:r>
      <w:r w:rsidR="00B7054F">
        <w:t>s de réflexion.</w:t>
      </w:r>
    </w:p>
    <w:p w14:paraId="4D345522" w14:textId="43CD13F7" w:rsidR="00695786" w:rsidRPr="00323D95" w:rsidRDefault="009952ED" w:rsidP="00C62AC0">
      <w:pPr>
        <w:pStyle w:val="GAPara"/>
        <w:numPr>
          <w:ilvl w:val="0"/>
          <w:numId w:val="8"/>
        </w:numPr>
        <w:spacing w:before="120"/>
        <w:ind w:left="567" w:hanging="567"/>
        <w:jc w:val="both"/>
      </w:pPr>
      <w:r>
        <w:lastRenderedPageBreak/>
        <w:t xml:space="preserve">Ce faisant, il sera également important de répondre aux demandes spécifiques </w:t>
      </w:r>
      <w:r w:rsidR="00BD68F0">
        <w:t xml:space="preserve">formulées </w:t>
      </w:r>
      <w:r>
        <w:t xml:space="preserve">par le </w:t>
      </w:r>
      <w:r w:rsidRPr="00503E5D">
        <w:t>Comité (voir l’Annexe).</w:t>
      </w:r>
      <w:r>
        <w:t xml:space="preserve"> Par exemple, le groupe de travail pourra</w:t>
      </w:r>
      <w:r w:rsidR="00B7054F">
        <w:t xml:space="preserve"> principalement</w:t>
      </w:r>
      <w:r>
        <w:t xml:space="preserve"> </w:t>
      </w:r>
      <w:r w:rsidR="00BD68F0">
        <w:t>se concentrer</w:t>
      </w:r>
      <w:r>
        <w:t xml:space="preserve"> sur le critère R.2 lors de la session 4.b. De même, la discussion </w:t>
      </w:r>
      <w:r w:rsidR="006E0729">
        <w:t xml:space="preserve">dans le cadre </w:t>
      </w:r>
      <w:r>
        <w:t>de la session 4.c pourra</w:t>
      </w:r>
      <w:r w:rsidR="006E0729">
        <w:t>it</w:t>
      </w:r>
      <w:r>
        <w:t xml:space="preserve"> </w:t>
      </w:r>
      <w:r w:rsidR="00B7054F">
        <w:t xml:space="preserve">examiner plus particulièrement les procédures spécifiques au retrait ou au transfert des éléments d’une Liste à une autre, </w:t>
      </w:r>
      <w:r>
        <w:t xml:space="preserve">tandis que la session 4.d </w:t>
      </w:r>
      <w:r w:rsidR="00B7054F">
        <w:t>pourrait traiter de l’élargissement des candidatures multinationales</w:t>
      </w:r>
      <w:r>
        <w:t>.</w:t>
      </w:r>
    </w:p>
    <w:p w14:paraId="2B9C83AD" w14:textId="2F4464AB" w:rsidR="00450442" w:rsidRPr="00323D95" w:rsidRDefault="00B7054F">
      <w:pPr>
        <w:pStyle w:val="GAPara"/>
        <w:numPr>
          <w:ilvl w:val="0"/>
          <w:numId w:val="8"/>
        </w:numPr>
        <w:spacing w:before="120"/>
        <w:ind w:left="567" w:hanging="567"/>
        <w:jc w:val="both"/>
        <w:rPr>
          <w:rFonts w:eastAsiaTheme="minorEastAsia"/>
        </w:rPr>
      </w:pPr>
      <w:r>
        <w:t>Le Bureau se réunira en ligne au moins deux fois (pendant les créneaux horaires indiqués dans le calendrier). Ils échangeront également par voie électronique, si nécessaire, afin de préparer un projet de recommandations de la Partie I de la réunion du groupe de travail</w:t>
      </w:r>
      <w:r w:rsidR="00450442">
        <w:t>.</w:t>
      </w:r>
      <w:r>
        <w:t xml:space="preserve"> Il est prévu de distribuer ce projet aux délégués avant la troisième session du deuxième jour.</w:t>
      </w:r>
    </w:p>
    <w:bookmarkEnd w:id="0"/>
    <w:p w14:paraId="7C37AA39" w14:textId="77777777" w:rsidR="00E11FC4" w:rsidRPr="00323D95" w:rsidRDefault="00E11FC4">
      <w:pPr>
        <w:spacing w:after="0"/>
        <w:rPr>
          <w:rFonts w:ascii="Arial" w:hAnsi="Arial" w:cs="Arial"/>
          <w:snapToGrid w:val="0"/>
          <w:szCs w:val="22"/>
        </w:rPr>
      </w:pPr>
      <w:r>
        <w:br w:type="page"/>
      </w:r>
    </w:p>
    <w:p w14:paraId="2233C595" w14:textId="77777777" w:rsidR="00101CFD" w:rsidRPr="001363CC" w:rsidRDefault="00101CFD" w:rsidP="00503E5D">
      <w:pPr>
        <w:pStyle w:val="Annexe"/>
      </w:pPr>
      <w:r w:rsidRPr="001363CC">
        <w:lastRenderedPageBreak/>
        <w:t>Annexe : Décisions pertinentes des organes directeurs de la Convention par catégorie</w:t>
      </w:r>
    </w:p>
    <w:tbl>
      <w:tblPr>
        <w:tblStyle w:val="Grilledutableau"/>
        <w:tblW w:w="0" w:type="auto"/>
        <w:tblLook w:val="04A0" w:firstRow="1" w:lastRow="0" w:firstColumn="1" w:lastColumn="0" w:noHBand="0" w:noVBand="1"/>
      </w:tblPr>
      <w:tblGrid>
        <w:gridCol w:w="9062"/>
      </w:tblGrid>
      <w:tr w:rsidR="00101CFD" w:rsidRPr="001363CC" w14:paraId="38827E08" w14:textId="77777777" w:rsidTr="001839F4">
        <w:tc>
          <w:tcPr>
            <w:tcW w:w="9062" w:type="dxa"/>
            <w:shd w:val="clear" w:color="auto" w:fill="B6DDE8" w:themeFill="accent5" w:themeFillTint="66"/>
          </w:tcPr>
          <w:p w14:paraId="372F9C0D" w14:textId="5F2F95E2" w:rsidR="00101CFD" w:rsidRPr="0002504E" w:rsidRDefault="00D20EDA" w:rsidP="00101CFD">
            <w:pPr>
              <w:pStyle w:val="COMPara"/>
              <w:numPr>
                <w:ilvl w:val="0"/>
                <w:numId w:val="27"/>
              </w:numPr>
              <w:spacing w:before="120"/>
              <w:jc w:val="both"/>
              <w:rPr>
                <w:b/>
                <w:bCs/>
                <w:i/>
                <w:iCs/>
                <w:u w:val="single"/>
              </w:rPr>
            </w:pPr>
            <w:r>
              <w:t>A</w:t>
            </w:r>
            <w:r w:rsidR="00101CFD" w:rsidRPr="0002504E">
              <w:t>pproche globale des mécanismes d’inscription sur les listes</w:t>
            </w:r>
          </w:p>
        </w:tc>
      </w:tr>
      <w:tr w:rsidR="00101CFD" w:rsidRPr="001363CC" w14:paraId="64CB3FCB" w14:textId="77777777" w:rsidTr="001839F4">
        <w:tc>
          <w:tcPr>
            <w:tcW w:w="9062" w:type="dxa"/>
            <w:shd w:val="clear" w:color="auto" w:fill="auto"/>
          </w:tcPr>
          <w:p w14:paraId="0129D48C" w14:textId="77777777" w:rsidR="00101CFD" w:rsidRPr="001363CC" w:rsidRDefault="00101CFD" w:rsidP="00803E43">
            <w:pPr>
              <w:spacing w:before="240"/>
              <w:rPr>
                <w:rFonts w:ascii="Arial" w:hAnsi="Arial" w:cs="Arial"/>
                <w:b/>
                <w:bCs/>
                <w:i/>
                <w:iCs/>
                <w:u w:val="single"/>
              </w:rPr>
            </w:pPr>
            <w:r w:rsidRPr="001363CC">
              <w:rPr>
                <w:rFonts w:ascii="Arial" w:hAnsi="Arial" w:cs="Arial"/>
                <w:b/>
                <w:bCs/>
                <w:i/>
                <w:iCs/>
                <w:u w:val="single"/>
              </w:rPr>
              <w:t>Nature et objectifs des listes</w:t>
            </w:r>
          </w:p>
          <w:p w14:paraId="3CCBB7F5" w14:textId="77777777" w:rsidR="00101CFD" w:rsidRPr="0002504E" w:rsidRDefault="00101CFD" w:rsidP="00803E43">
            <w:pPr>
              <w:spacing w:before="240"/>
              <w:rPr>
                <w:rFonts w:ascii="Arial" w:hAnsi="Arial" w:cs="Arial"/>
                <w:b/>
                <w:bCs/>
                <w:i/>
                <w:iCs/>
              </w:rPr>
            </w:pPr>
            <w:r w:rsidRPr="001363CC">
              <w:rPr>
                <w:rFonts w:ascii="Arial" w:hAnsi="Arial" w:cs="Arial"/>
                <w:b/>
                <w:bCs/>
                <w:i/>
                <w:iCs/>
              </w:rPr>
              <w:t>Décision</w:t>
            </w:r>
            <w:r w:rsidRPr="0002504E">
              <w:rPr>
                <w:rFonts w:ascii="Arial" w:hAnsi="Arial" w:cs="Arial"/>
                <w:b/>
                <w:bCs/>
                <w:i/>
                <w:iCs/>
              </w:rPr>
              <w:t xml:space="preserve"> 13.COM 10 (paragraphe 10)</w:t>
            </w:r>
          </w:p>
          <w:p w14:paraId="6E5CF537" w14:textId="77777777" w:rsidR="00101CFD" w:rsidRPr="0002504E" w:rsidRDefault="00101CFD" w:rsidP="00803E43">
            <w:pPr>
              <w:spacing w:before="100" w:beforeAutospacing="1" w:after="75"/>
              <w:jc w:val="both"/>
              <w:rPr>
                <w:rFonts w:ascii="Arial" w:hAnsi="Arial" w:cs="Arial"/>
              </w:rPr>
            </w:pPr>
            <w:r w:rsidRPr="0002504E">
              <w:rPr>
                <w:rFonts w:ascii="Arial" w:hAnsi="Arial" w:cs="Arial"/>
                <w:u w:val="single"/>
              </w:rPr>
              <w:t>Rappelle</w:t>
            </w:r>
            <w:r w:rsidRPr="0002504E">
              <w:rPr>
                <w:rFonts w:ascii="Arial" w:hAnsi="Arial" w:cs="Arial"/>
              </w:rPr>
              <w:t> les décisions </w:t>
            </w:r>
            <w:hyperlink r:id="rId33" w:history="1">
              <w:r w:rsidRPr="0002504E">
                <w:rPr>
                  <w:rStyle w:val="Lienhypertexte"/>
                  <w:rFonts w:ascii="Arial" w:hAnsi="Arial" w:cs="Arial"/>
                </w:rPr>
                <w:t>12.COM 11</w:t>
              </w:r>
            </w:hyperlink>
            <w:r w:rsidRPr="0002504E">
              <w:rPr>
                <w:rFonts w:ascii="Arial" w:hAnsi="Arial" w:cs="Arial"/>
              </w:rPr>
              <w:t> et </w:t>
            </w:r>
            <w:hyperlink r:id="rId34" w:history="1">
              <w:r w:rsidRPr="0002504E">
                <w:rPr>
                  <w:rStyle w:val="Lienhypertexte"/>
                  <w:rFonts w:ascii="Arial" w:hAnsi="Arial" w:cs="Arial"/>
                </w:rPr>
                <w:t>12.COM 14</w:t>
              </w:r>
            </w:hyperlink>
            <w:r w:rsidRPr="0002504E">
              <w:rPr>
                <w:rFonts w:ascii="Arial" w:hAnsi="Arial" w:cs="Arial"/>
              </w:rPr>
              <w:t> et </w:t>
            </w:r>
            <w:r w:rsidRPr="0002504E">
              <w:rPr>
                <w:rFonts w:ascii="Arial" w:hAnsi="Arial" w:cs="Arial"/>
                <w:u w:val="single"/>
              </w:rPr>
              <w:t>salue</w:t>
            </w:r>
            <w:r w:rsidRPr="0002504E">
              <w:rPr>
                <w:rFonts w:ascii="Arial" w:hAnsi="Arial" w:cs="Arial"/>
              </w:rPr>
              <w:t> à cet égard la généreuse contribution volontaire supplémentaire au Fonds du patrimoine culturel immatériel de la part du gouvernement du Japon pour organiser une réunion préliminaire d’experts et soutenir l’organisation d’un groupe de travail intergouvernemental à composition non limitée ; ces deux réunions seront destinées à mener à bien une réflexion, entre autres, sur la nature et les objectifs des listes et du registre établis par la Convention et sur la pertinence des différents critères pour chacun de ces mécanismes, en particulier le critère R.2 en relation avec la nature et l’objectif de la Liste représentative du patrimoine culturel immatériel de l’humanité ;</w:t>
            </w:r>
          </w:p>
          <w:p w14:paraId="7F3821A8" w14:textId="77777777" w:rsidR="00101CFD" w:rsidRPr="0002504E" w:rsidRDefault="00101CFD" w:rsidP="00803E43">
            <w:pPr>
              <w:spacing w:before="240"/>
              <w:jc w:val="both"/>
              <w:rPr>
                <w:rFonts w:ascii="Arial" w:hAnsi="Arial" w:cs="Arial"/>
                <w:b/>
                <w:bCs/>
                <w:i/>
                <w:iCs/>
              </w:rPr>
            </w:pPr>
            <w:r w:rsidRPr="001363CC">
              <w:rPr>
                <w:rFonts w:ascii="Arial" w:hAnsi="Arial" w:cs="Arial"/>
                <w:b/>
                <w:bCs/>
                <w:i/>
                <w:iCs/>
              </w:rPr>
              <w:t>Décision</w:t>
            </w:r>
            <w:r w:rsidRPr="0002504E">
              <w:rPr>
                <w:rFonts w:ascii="Arial" w:hAnsi="Arial" w:cs="Arial"/>
                <w:b/>
                <w:bCs/>
                <w:i/>
                <w:iCs/>
              </w:rPr>
              <w:t xml:space="preserve"> 12.COM 14 (paragraphes 8 et 11)</w:t>
            </w:r>
          </w:p>
          <w:p w14:paraId="277032C7" w14:textId="77777777" w:rsidR="00101CFD" w:rsidRPr="0002504E" w:rsidRDefault="00101CFD" w:rsidP="00803E43">
            <w:pPr>
              <w:spacing w:before="100" w:beforeAutospacing="1" w:after="75"/>
              <w:jc w:val="both"/>
              <w:rPr>
                <w:rFonts w:ascii="Arial" w:hAnsi="Arial" w:cs="Arial"/>
              </w:rPr>
            </w:pPr>
            <w:r w:rsidRPr="0002504E">
              <w:rPr>
                <w:rFonts w:ascii="Arial" w:hAnsi="Arial" w:cs="Arial"/>
                <w:u w:val="single"/>
              </w:rPr>
              <w:t>Constate</w:t>
            </w:r>
            <w:r w:rsidRPr="0002504E">
              <w:rPr>
                <w:rFonts w:ascii="Arial" w:hAnsi="Arial" w:cs="Arial"/>
              </w:rPr>
              <w:t>, d’après les débats tenus à sa douzième session, que la question du transfert d’un élément d’une liste à l’autre et du retrait d’un élément d’une liste soulève des questions fondamentales liées à l’intention initiale et l’objectif de la Convention, ainsi qu’à ses mécanismes d’inscription ;</w:t>
            </w:r>
          </w:p>
          <w:p w14:paraId="1658C2CE" w14:textId="77777777" w:rsidR="00101CFD" w:rsidRPr="0002504E" w:rsidRDefault="00101CFD" w:rsidP="00803E43">
            <w:pPr>
              <w:spacing w:before="100" w:beforeAutospacing="1" w:after="75"/>
              <w:jc w:val="both"/>
              <w:rPr>
                <w:rFonts w:ascii="Arial" w:hAnsi="Arial" w:cs="Arial"/>
              </w:rPr>
            </w:pPr>
            <w:r w:rsidRPr="0002504E">
              <w:rPr>
                <w:rFonts w:ascii="Arial" w:hAnsi="Arial" w:cs="Arial"/>
                <w:u w:val="single"/>
              </w:rPr>
              <w:t>Décide</w:t>
            </w:r>
            <w:r w:rsidRPr="0002504E">
              <w:rPr>
                <w:rFonts w:ascii="Arial" w:hAnsi="Arial" w:cs="Arial"/>
              </w:rPr>
              <w:t> de convoquer un groupe de travail intergouvernemental à composition non limitée, devant se réunir avant la quatorzième session du Comité en 2019, afin de réfléchir, entre autres, aux procédures pour le retrait d’un élément d’une liste et le transfert d’une liste à l’autre, à la nature et aux objectifs des listes et du registre établis par la Convention et à la pertinence des différents critères pour chacun de ces mécanismes ; cette réunion serait organisée sous réserve que des contributions volontaires supplémentaires au Fonds du patrimoine culturel immatériel soient reçues en temps voulu et, dans tous les cas, au plus tard en janvier 2019, afin de couvrir tous les coûts d’organisation de la réunion ainsi que les coûts de participation de représentants de pays en développement qui sont parties à la Convention, qu’ils soient membres du Comité ou non, mais seulement pour les personnes qui sont des experts du patrimoine culturel immatériel ;</w:t>
            </w:r>
          </w:p>
          <w:p w14:paraId="66360963" w14:textId="77777777" w:rsidR="00101CFD" w:rsidRPr="0002504E" w:rsidRDefault="00101CFD" w:rsidP="00803E43">
            <w:pPr>
              <w:spacing w:before="240"/>
              <w:rPr>
                <w:rFonts w:ascii="Arial" w:hAnsi="Arial" w:cs="Arial"/>
                <w:b/>
                <w:bCs/>
                <w:i/>
                <w:iCs/>
                <w:u w:val="single"/>
              </w:rPr>
            </w:pPr>
            <w:r w:rsidRPr="0002504E">
              <w:rPr>
                <w:rFonts w:ascii="Arial" w:hAnsi="Arial" w:cs="Arial"/>
                <w:b/>
                <w:bCs/>
                <w:i/>
                <w:iCs/>
                <w:u w:val="single"/>
              </w:rPr>
              <w:t>Solutions pour simplifier le partage des mesures de sauvegarde</w:t>
            </w:r>
          </w:p>
          <w:p w14:paraId="42130FC7" w14:textId="77777777" w:rsidR="00101CFD" w:rsidRPr="0002504E" w:rsidRDefault="00101CFD" w:rsidP="00803E43">
            <w:pPr>
              <w:spacing w:before="120"/>
              <w:jc w:val="both"/>
              <w:rPr>
                <w:rFonts w:ascii="Arial" w:hAnsi="Arial" w:cs="Arial"/>
                <w:b/>
                <w:bCs/>
                <w:i/>
                <w:iCs/>
              </w:rPr>
            </w:pPr>
            <w:r w:rsidRPr="0002504E">
              <w:rPr>
                <w:rFonts w:ascii="Arial" w:hAnsi="Arial" w:cs="Arial"/>
                <w:b/>
                <w:bCs/>
                <w:i/>
                <w:iCs/>
              </w:rPr>
              <w:t>Décision 14.COM 5.b (paragraphe 6)</w:t>
            </w:r>
          </w:p>
          <w:p w14:paraId="705125F3" w14:textId="77777777" w:rsidR="00101CFD" w:rsidRPr="0002504E" w:rsidRDefault="00101CFD" w:rsidP="00803E43">
            <w:pPr>
              <w:spacing w:before="100" w:beforeAutospacing="1" w:after="75"/>
              <w:jc w:val="both"/>
              <w:rPr>
                <w:rFonts w:asciiTheme="minorBidi" w:hAnsiTheme="minorBidi"/>
              </w:rPr>
            </w:pPr>
            <w:r w:rsidRPr="0002504E">
              <w:rPr>
                <w:rFonts w:asciiTheme="minorBidi" w:hAnsiTheme="minorBidi"/>
                <w:u w:val="single"/>
              </w:rPr>
              <w:t>Salue</w:t>
            </w:r>
            <w:r w:rsidRPr="0002504E">
              <w:rPr>
                <w:rFonts w:asciiTheme="minorBidi" w:hAnsiTheme="minorBidi"/>
              </w:rPr>
              <w:t> les résultats de l’enquête sur les alternatives et les solutions disponibles pour simplifier le partage des pratiques de sauvegarde du patrimoine culturel immatériel et </w:t>
            </w:r>
            <w:r w:rsidRPr="0002504E">
              <w:rPr>
                <w:rFonts w:asciiTheme="minorBidi" w:hAnsiTheme="minorBidi"/>
                <w:u w:val="single"/>
              </w:rPr>
              <w:t>décide</w:t>
            </w:r>
            <w:r w:rsidRPr="0002504E">
              <w:rPr>
                <w:rFonts w:asciiTheme="minorBidi" w:hAnsiTheme="minorBidi"/>
              </w:rPr>
              <w:t> de tenir compte de ces résultats dans la réflexion globale en cours sur les mécanismes d’inscription sur les listes de la Convention ;</w:t>
            </w:r>
          </w:p>
          <w:p w14:paraId="7429C140" w14:textId="760BE08D" w:rsidR="00101CFD" w:rsidRPr="0002504E" w:rsidRDefault="00C93DB5" w:rsidP="00803E43">
            <w:pPr>
              <w:keepNext/>
              <w:spacing w:before="240"/>
              <w:rPr>
                <w:rFonts w:ascii="Arial" w:hAnsi="Arial" w:cs="Arial"/>
                <w:b/>
                <w:bCs/>
                <w:i/>
                <w:iCs/>
                <w:u w:val="single"/>
              </w:rPr>
            </w:pPr>
            <w:r>
              <w:rPr>
                <w:rFonts w:ascii="Arial" w:hAnsi="Arial" w:cs="Arial"/>
                <w:b/>
                <w:bCs/>
                <w:i/>
                <w:iCs/>
                <w:u w:val="single"/>
              </w:rPr>
              <w:t>Agenda</w:t>
            </w:r>
            <w:r w:rsidRPr="0002504E">
              <w:rPr>
                <w:rFonts w:ascii="Arial" w:hAnsi="Arial" w:cs="Arial"/>
                <w:b/>
                <w:bCs/>
                <w:i/>
                <w:iCs/>
                <w:u w:val="single"/>
              </w:rPr>
              <w:t xml:space="preserve"> </w:t>
            </w:r>
            <w:r w:rsidR="00101CFD" w:rsidRPr="0002504E">
              <w:rPr>
                <w:rFonts w:ascii="Arial" w:hAnsi="Arial" w:cs="Arial"/>
                <w:b/>
                <w:bCs/>
                <w:i/>
                <w:iCs/>
                <w:u w:val="single"/>
              </w:rPr>
              <w:t>2030 et développement durable</w:t>
            </w:r>
          </w:p>
          <w:p w14:paraId="00E7BCB3" w14:textId="77777777" w:rsidR="00101CFD" w:rsidRPr="0002504E" w:rsidRDefault="00101CFD" w:rsidP="00803E43">
            <w:pPr>
              <w:keepNext/>
              <w:spacing w:before="120"/>
              <w:jc w:val="both"/>
              <w:rPr>
                <w:rFonts w:ascii="Arial" w:hAnsi="Arial" w:cs="Arial"/>
                <w:b/>
                <w:bCs/>
                <w:i/>
                <w:iCs/>
              </w:rPr>
            </w:pPr>
            <w:r w:rsidRPr="0002504E">
              <w:rPr>
                <w:rFonts w:ascii="Arial" w:hAnsi="Arial" w:cs="Arial"/>
                <w:b/>
                <w:bCs/>
                <w:i/>
                <w:iCs/>
              </w:rPr>
              <w:t>Décision 15.COM 8 (paragraphe 9)</w:t>
            </w:r>
          </w:p>
          <w:p w14:paraId="553EC9A9" w14:textId="77777777" w:rsidR="00101CFD" w:rsidRPr="0002504E" w:rsidRDefault="00101CFD" w:rsidP="00803E43">
            <w:pPr>
              <w:jc w:val="both"/>
              <w:rPr>
                <w:rFonts w:ascii="Arial" w:hAnsi="Arial" w:cs="Arial"/>
              </w:rPr>
            </w:pPr>
            <w:r w:rsidRPr="0002504E">
              <w:rPr>
                <w:rFonts w:ascii="Arial" w:hAnsi="Arial" w:cs="Arial"/>
                <w:u w:val="single"/>
              </w:rPr>
              <w:t>Salue</w:t>
            </w:r>
            <w:r w:rsidRPr="0002504E">
              <w:rPr>
                <w:rFonts w:ascii="Arial" w:hAnsi="Arial" w:cs="Arial"/>
              </w:rPr>
              <w:t> l’augmentation du nombre d’éléments mettant en évidence les liens entre le patrimoine culturel immatériel et la durabilité environnementale, </w:t>
            </w:r>
            <w:r w:rsidRPr="0002504E">
              <w:rPr>
                <w:rFonts w:ascii="Arial" w:hAnsi="Arial" w:cs="Arial"/>
                <w:u w:val="single"/>
              </w:rPr>
              <w:t>souligne en outre</w:t>
            </w:r>
            <w:r w:rsidRPr="0002504E">
              <w:rPr>
                <w:rFonts w:ascii="Arial" w:hAnsi="Arial" w:cs="Arial"/>
              </w:rPr>
              <w:t> l’importance d’inclure plus systématiquement les contributions des éléments à la durabilité, conformément au Programme 2030 et ses objectifs de développement durable, dans les dossiers de candidature, et </w:t>
            </w:r>
            <w:r w:rsidRPr="0002504E">
              <w:rPr>
                <w:rFonts w:ascii="Arial" w:hAnsi="Arial" w:cs="Arial"/>
                <w:u w:val="single"/>
              </w:rPr>
              <w:t>demande</w:t>
            </w:r>
            <w:r w:rsidRPr="0002504E">
              <w:rPr>
                <w:rFonts w:ascii="Arial" w:hAnsi="Arial" w:cs="Arial"/>
              </w:rPr>
              <w:t> au Secrétariat de mener une réflexion sur ce sujet dans le cadre de la réflexion globale sur les mécanismes d’inscription et de la présenter au Comité pour considération lors de sa seizième session ;</w:t>
            </w:r>
          </w:p>
        </w:tc>
      </w:tr>
      <w:tr w:rsidR="00101CFD" w:rsidRPr="001363CC" w14:paraId="1DB9F469" w14:textId="77777777" w:rsidTr="001839F4">
        <w:tc>
          <w:tcPr>
            <w:tcW w:w="9062" w:type="dxa"/>
            <w:shd w:val="clear" w:color="auto" w:fill="FBD4B4" w:themeFill="accent6" w:themeFillTint="66"/>
          </w:tcPr>
          <w:p w14:paraId="645B4D86" w14:textId="77777777" w:rsidR="00101CFD" w:rsidRPr="0002504E" w:rsidRDefault="00101CFD" w:rsidP="00101CFD">
            <w:pPr>
              <w:pStyle w:val="COMPara"/>
              <w:numPr>
                <w:ilvl w:val="0"/>
                <w:numId w:val="27"/>
              </w:numPr>
              <w:spacing w:before="120"/>
              <w:jc w:val="both"/>
              <w:rPr>
                <w:b/>
                <w:bCs/>
                <w:i/>
                <w:iCs/>
                <w:u w:val="single"/>
              </w:rPr>
            </w:pPr>
            <w:r w:rsidRPr="0002504E">
              <w:lastRenderedPageBreak/>
              <w:t>Questions liées aux critères d’inscription</w:t>
            </w:r>
          </w:p>
        </w:tc>
      </w:tr>
      <w:tr w:rsidR="00101CFD" w:rsidRPr="001363CC" w14:paraId="53978AF9" w14:textId="77777777" w:rsidTr="001839F4">
        <w:tc>
          <w:tcPr>
            <w:tcW w:w="9062" w:type="dxa"/>
            <w:shd w:val="clear" w:color="auto" w:fill="auto"/>
          </w:tcPr>
          <w:p w14:paraId="01E214C0" w14:textId="77777777" w:rsidR="00101CFD" w:rsidRPr="001363CC" w:rsidRDefault="00101CFD" w:rsidP="00803E43">
            <w:pPr>
              <w:spacing w:before="240"/>
              <w:rPr>
                <w:rFonts w:ascii="Arial" w:hAnsi="Arial" w:cs="Arial"/>
                <w:b/>
                <w:bCs/>
                <w:i/>
                <w:iCs/>
                <w:u w:val="single"/>
              </w:rPr>
            </w:pPr>
            <w:r w:rsidRPr="001363CC">
              <w:rPr>
                <w:rFonts w:ascii="Arial" w:hAnsi="Arial" w:cs="Arial"/>
                <w:b/>
                <w:bCs/>
                <w:i/>
                <w:iCs/>
                <w:u w:val="single"/>
              </w:rPr>
              <w:t>Critère R.2</w:t>
            </w:r>
          </w:p>
          <w:p w14:paraId="5942AA7E" w14:textId="77777777" w:rsidR="00101CFD" w:rsidRPr="0002504E" w:rsidRDefault="00101CFD" w:rsidP="00803E43">
            <w:pPr>
              <w:spacing w:before="120"/>
              <w:jc w:val="both"/>
              <w:rPr>
                <w:rFonts w:ascii="Arial" w:hAnsi="Arial" w:cs="Arial"/>
                <w:b/>
                <w:bCs/>
                <w:i/>
                <w:iCs/>
              </w:rPr>
            </w:pPr>
            <w:r w:rsidRPr="0002504E">
              <w:rPr>
                <w:rFonts w:ascii="Arial" w:hAnsi="Arial" w:cs="Arial"/>
                <w:b/>
                <w:bCs/>
                <w:i/>
                <w:iCs/>
              </w:rPr>
              <w:t>Décision 14.COM 14 (paragraphe 12)</w:t>
            </w:r>
          </w:p>
          <w:p w14:paraId="6D938C13" w14:textId="77777777" w:rsidR="00101CFD" w:rsidRPr="0002504E" w:rsidRDefault="00101CFD" w:rsidP="00803E43">
            <w:pPr>
              <w:spacing w:before="100" w:beforeAutospacing="1" w:after="75"/>
              <w:jc w:val="both"/>
              <w:rPr>
                <w:rFonts w:ascii="Arial" w:hAnsi="Arial" w:cs="Arial"/>
              </w:rPr>
            </w:pPr>
            <w:r w:rsidRPr="0002504E">
              <w:rPr>
                <w:rFonts w:ascii="Arial" w:hAnsi="Arial" w:cs="Arial"/>
                <w:u w:val="single"/>
              </w:rPr>
              <w:t>Souligne également</w:t>
            </w:r>
            <w:r w:rsidRPr="0002504E">
              <w:rPr>
                <w:rFonts w:ascii="Arial" w:hAnsi="Arial" w:cs="Arial"/>
              </w:rPr>
              <w:t> le besoin d’examiner de possibles révisions du critère R.2, prenant en compte les défis récurrents rencontrés par les communautés, les États parties et l’Organe d’évaluation avec ce critère ;</w:t>
            </w:r>
          </w:p>
          <w:p w14:paraId="50719FC0" w14:textId="77777777" w:rsidR="00101CFD" w:rsidRPr="0002504E" w:rsidRDefault="00101CFD" w:rsidP="00803E43">
            <w:pPr>
              <w:spacing w:before="240"/>
              <w:jc w:val="both"/>
              <w:rPr>
                <w:rFonts w:ascii="Arial" w:hAnsi="Arial" w:cs="Arial"/>
              </w:rPr>
            </w:pPr>
            <w:r w:rsidRPr="001363CC">
              <w:rPr>
                <w:rFonts w:ascii="Arial" w:hAnsi="Arial" w:cs="Arial"/>
                <w:b/>
                <w:bCs/>
                <w:i/>
                <w:iCs/>
              </w:rPr>
              <w:t>Décision</w:t>
            </w:r>
            <w:r w:rsidRPr="0002504E">
              <w:rPr>
                <w:rFonts w:ascii="Arial" w:hAnsi="Arial" w:cs="Arial"/>
                <w:b/>
                <w:bCs/>
                <w:i/>
                <w:iCs/>
              </w:rPr>
              <w:t xml:space="preserve"> 14.COM 10 (paragraphe 9)</w:t>
            </w:r>
          </w:p>
          <w:p w14:paraId="320A637D" w14:textId="77777777" w:rsidR="00101CFD" w:rsidRPr="0002504E" w:rsidRDefault="00101CFD" w:rsidP="00803E43">
            <w:pPr>
              <w:spacing w:before="100" w:beforeAutospacing="1" w:after="75"/>
              <w:jc w:val="both"/>
              <w:rPr>
                <w:rFonts w:ascii="Arial" w:hAnsi="Arial" w:cs="Arial"/>
              </w:rPr>
            </w:pPr>
            <w:r w:rsidRPr="0002504E">
              <w:rPr>
                <w:rFonts w:ascii="Arial" w:hAnsi="Arial" w:cs="Arial"/>
                <w:snapToGrid w:val="0"/>
                <w:u w:val="single"/>
                <w:lang w:eastAsia="en-US"/>
              </w:rPr>
              <w:t>Reconnaît</w:t>
            </w:r>
            <w:r w:rsidRPr="0002504E">
              <w:rPr>
                <w:rFonts w:ascii="Arial" w:hAnsi="Arial" w:cs="Arial"/>
                <w:snapToGrid w:val="0"/>
                <w:lang w:eastAsia="en-US"/>
              </w:rPr>
              <w:t> les difficultés et les défis constants rencontrés par l’Organe d’évaluation dans l’évaluation du critère R.2, malgré les modifications apportées à la section 2 du formulaire ICH-02, et </w:t>
            </w:r>
            <w:r w:rsidRPr="00F34950">
              <w:rPr>
                <w:rFonts w:ascii="Arial" w:hAnsi="Arial" w:cs="Arial"/>
                <w:snapToGrid w:val="0"/>
                <w:u w:val="single"/>
                <w:lang w:eastAsia="en-US"/>
              </w:rPr>
              <w:t>réaffirme</w:t>
            </w:r>
            <w:r w:rsidRPr="0002504E">
              <w:rPr>
                <w:rFonts w:ascii="Arial" w:hAnsi="Arial" w:cs="Arial"/>
                <w:snapToGrid w:val="0"/>
                <w:lang w:eastAsia="en-US"/>
              </w:rPr>
              <w:t> la nécessité de revoir l’énoncé de ce critère par rapport aux objectifs de la Liste représentative du patrimoine culturel immatériel de l’humanité dans le contexte de la réflexion globale sur les mécanismes des listes ;</w:t>
            </w:r>
          </w:p>
        </w:tc>
      </w:tr>
      <w:tr w:rsidR="00101CFD" w:rsidRPr="001363CC" w14:paraId="6B6FE2FB" w14:textId="77777777" w:rsidTr="001839F4">
        <w:tc>
          <w:tcPr>
            <w:tcW w:w="9062" w:type="dxa"/>
            <w:shd w:val="clear" w:color="auto" w:fill="CCC0D9" w:themeFill="accent4" w:themeFillTint="66"/>
          </w:tcPr>
          <w:p w14:paraId="77BB671E" w14:textId="77777777" w:rsidR="00101CFD" w:rsidRPr="0002504E" w:rsidRDefault="00101CFD" w:rsidP="00101CFD">
            <w:pPr>
              <w:pStyle w:val="COMPara"/>
              <w:numPr>
                <w:ilvl w:val="0"/>
                <w:numId w:val="27"/>
              </w:numPr>
              <w:spacing w:before="120"/>
              <w:jc w:val="both"/>
            </w:pPr>
            <w:r w:rsidRPr="0002504E">
              <w:t>Questions liées au suivi des éléments inscrits</w:t>
            </w:r>
          </w:p>
        </w:tc>
      </w:tr>
      <w:tr w:rsidR="00101CFD" w:rsidRPr="001363CC" w14:paraId="5F3F7279" w14:textId="77777777" w:rsidTr="001839F4">
        <w:tc>
          <w:tcPr>
            <w:tcW w:w="9062" w:type="dxa"/>
            <w:shd w:val="clear" w:color="auto" w:fill="auto"/>
          </w:tcPr>
          <w:p w14:paraId="3E63A567" w14:textId="77777777" w:rsidR="00101CFD" w:rsidRPr="001363CC" w:rsidRDefault="00101CFD" w:rsidP="00803E43">
            <w:pPr>
              <w:spacing w:before="240"/>
              <w:rPr>
                <w:rFonts w:ascii="Arial" w:hAnsi="Arial" w:cs="Arial"/>
                <w:b/>
                <w:bCs/>
                <w:i/>
                <w:iCs/>
                <w:u w:val="single"/>
              </w:rPr>
            </w:pPr>
            <w:r w:rsidRPr="001363CC">
              <w:rPr>
                <w:rFonts w:ascii="Arial" w:hAnsi="Arial" w:cs="Arial"/>
                <w:b/>
                <w:bCs/>
                <w:i/>
                <w:iCs/>
                <w:u w:val="single"/>
              </w:rPr>
              <w:t>Mécanisme de suivi</w:t>
            </w:r>
          </w:p>
          <w:p w14:paraId="0FCD41C1" w14:textId="77777777" w:rsidR="00101CFD" w:rsidRPr="0002504E" w:rsidRDefault="00101CFD" w:rsidP="00803E43">
            <w:pPr>
              <w:spacing w:before="120"/>
              <w:jc w:val="both"/>
              <w:rPr>
                <w:rFonts w:ascii="Arial" w:hAnsi="Arial" w:cs="Arial"/>
                <w:b/>
                <w:bCs/>
                <w:i/>
                <w:iCs/>
              </w:rPr>
            </w:pPr>
            <w:r w:rsidRPr="0002504E">
              <w:rPr>
                <w:rFonts w:ascii="Arial" w:hAnsi="Arial" w:cs="Arial"/>
                <w:b/>
                <w:bCs/>
                <w:i/>
                <w:iCs/>
              </w:rPr>
              <w:t>Décision 13.COM 9 (paragraphes 5, 6 et 7)</w:t>
            </w:r>
          </w:p>
          <w:p w14:paraId="50603AB7" w14:textId="77777777" w:rsidR="00101CFD" w:rsidRPr="0002504E" w:rsidRDefault="00101CFD" w:rsidP="00803E43">
            <w:pPr>
              <w:spacing w:before="100" w:beforeAutospacing="1" w:after="75"/>
              <w:jc w:val="both"/>
              <w:rPr>
                <w:rFonts w:ascii="Arial" w:hAnsi="Arial" w:cs="Arial"/>
              </w:rPr>
            </w:pPr>
            <w:r w:rsidRPr="0002504E">
              <w:rPr>
                <w:rFonts w:ascii="Arial" w:hAnsi="Arial" w:cs="Arial"/>
                <w:u w:val="single"/>
              </w:rPr>
              <w:t>Reconnaît</w:t>
            </w:r>
            <w:r w:rsidRPr="0002504E">
              <w:rPr>
                <w:rFonts w:ascii="Arial" w:hAnsi="Arial" w:cs="Arial"/>
              </w:rPr>
              <w:t> la nécessité de réfléchir au suivi des éléments inscrits et aux moyens pour les communautés, groupes et, le cas échéant, individus concernés, et d’autres parties prenantes, de participer au suivi des éléments inscrits ;</w:t>
            </w:r>
          </w:p>
          <w:p w14:paraId="16B961C3" w14:textId="77777777" w:rsidR="00101CFD" w:rsidRPr="0002504E" w:rsidRDefault="00101CFD" w:rsidP="00803E43">
            <w:pPr>
              <w:spacing w:before="100" w:beforeAutospacing="1" w:after="75"/>
              <w:jc w:val="both"/>
              <w:rPr>
                <w:rFonts w:ascii="Arial" w:hAnsi="Arial" w:cs="Arial"/>
              </w:rPr>
            </w:pPr>
            <w:r w:rsidRPr="0002504E">
              <w:rPr>
                <w:rFonts w:ascii="Arial" w:hAnsi="Arial" w:cs="Arial"/>
                <w:u w:val="single"/>
              </w:rPr>
              <w:t>Reconnaît aussi</w:t>
            </w:r>
            <w:r w:rsidRPr="0002504E">
              <w:rPr>
                <w:rFonts w:ascii="Arial" w:hAnsi="Arial" w:cs="Arial"/>
              </w:rPr>
              <w:t> le lien entre le suivi des éléments inscrits et la réflexion en cours sur la nature et les objectifs des listes de la Convention, </w:t>
            </w:r>
            <w:r w:rsidRPr="0002504E">
              <w:rPr>
                <w:rFonts w:ascii="Arial" w:hAnsi="Arial" w:cs="Arial"/>
                <w:u w:val="single"/>
              </w:rPr>
              <w:t>rappelle</w:t>
            </w:r>
            <w:r w:rsidRPr="0002504E">
              <w:rPr>
                <w:rFonts w:ascii="Arial" w:hAnsi="Arial" w:cs="Arial"/>
              </w:rPr>
              <w:t> sa </w:t>
            </w:r>
            <w:hyperlink r:id="rId35" w:history="1">
              <w:r w:rsidRPr="0002504E">
                <w:rPr>
                  <w:rStyle w:val="Lienhypertexte"/>
                  <w:rFonts w:ascii="Arial" w:hAnsi="Arial" w:cs="Arial"/>
                </w:rPr>
                <w:t>décision 12.COM 14</w:t>
              </w:r>
            </w:hyperlink>
            <w:r w:rsidRPr="0002504E">
              <w:rPr>
                <w:rFonts w:ascii="Arial" w:hAnsi="Arial" w:cs="Arial"/>
              </w:rPr>
              <w:t> de réunir à ce sujet un groupe de travail intergouvernemental à composition non limitée et </w:t>
            </w:r>
            <w:r w:rsidRPr="0002504E">
              <w:rPr>
                <w:rFonts w:ascii="Arial" w:hAnsi="Arial" w:cs="Arial"/>
                <w:u w:val="single"/>
              </w:rPr>
              <w:t>salue</w:t>
            </w:r>
            <w:r w:rsidRPr="0002504E">
              <w:rPr>
                <w:rFonts w:ascii="Arial" w:hAnsi="Arial" w:cs="Arial"/>
              </w:rPr>
              <w:t> la généreuse contribution supplémentaire volontaire au Fonds du patrimoine culturel immatériel du gouvernement du Japon pour organiser une réunion préliminaire d’experts et soutenir l’organisation d’une réunion du groupe de travail intergouvernemental à composition non limitée susmentionné ;</w:t>
            </w:r>
          </w:p>
          <w:p w14:paraId="60E8432A" w14:textId="77777777" w:rsidR="00101CFD" w:rsidRPr="0002504E" w:rsidRDefault="00101CFD" w:rsidP="00803E43">
            <w:pPr>
              <w:spacing w:before="100" w:beforeAutospacing="1" w:after="75"/>
              <w:jc w:val="both"/>
              <w:rPr>
                <w:rFonts w:ascii="Arial" w:hAnsi="Arial" w:cs="Arial"/>
              </w:rPr>
            </w:pPr>
            <w:r w:rsidRPr="0002504E">
              <w:rPr>
                <w:rFonts w:ascii="Arial" w:hAnsi="Arial" w:cs="Arial"/>
                <w:u w:val="single"/>
              </w:rPr>
              <w:t>Décide</w:t>
            </w:r>
            <w:r w:rsidRPr="0002504E">
              <w:rPr>
                <w:rFonts w:ascii="Arial" w:hAnsi="Arial" w:cs="Arial"/>
              </w:rPr>
              <w:t> d’inclure dans le mandat de la réunion préliminaire d’experts et du groupe de travail intergouvernemental à composition non limitée susmentionnés une réflexion sur la création d’un mécanisme de suivi des éléments inscrits.</w:t>
            </w:r>
          </w:p>
          <w:p w14:paraId="49658D7B" w14:textId="77777777" w:rsidR="00101CFD" w:rsidRPr="001363CC" w:rsidRDefault="00101CFD" w:rsidP="00803E43">
            <w:pPr>
              <w:spacing w:before="120"/>
              <w:jc w:val="both"/>
              <w:rPr>
                <w:rFonts w:ascii="Arial" w:hAnsi="Arial" w:cs="Arial"/>
                <w:b/>
                <w:bCs/>
                <w:i/>
                <w:iCs/>
              </w:rPr>
            </w:pPr>
            <w:r w:rsidRPr="001363CC">
              <w:rPr>
                <w:rFonts w:ascii="Arial" w:hAnsi="Arial" w:cs="Arial"/>
                <w:b/>
                <w:bCs/>
                <w:i/>
                <w:iCs/>
              </w:rPr>
              <w:t>Décision 15.COM 7 (paragraphe 6)</w:t>
            </w:r>
          </w:p>
          <w:p w14:paraId="57F17EC0" w14:textId="77777777" w:rsidR="00101CFD" w:rsidRPr="0002504E" w:rsidRDefault="00101CFD" w:rsidP="00803E43">
            <w:pPr>
              <w:spacing w:before="100" w:beforeAutospacing="1" w:after="75"/>
              <w:jc w:val="both"/>
              <w:rPr>
                <w:rFonts w:ascii="Arial" w:hAnsi="Arial" w:cs="Arial"/>
              </w:rPr>
            </w:pPr>
            <w:r w:rsidRPr="001363CC">
              <w:rPr>
                <w:rFonts w:ascii="Arial" w:hAnsi="Arial" w:cs="Arial"/>
                <w:u w:val="single"/>
              </w:rPr>
              <w:t>Demande</w:t>
            </w:r>
            <w:r w:rsidRPr="0002504E">
              <w:rPr>
                <w:rFonts w:ascii="Arial" w:hAnsi="Arial" w:cs="Arial"/>
              </w:rPr>
              <w:t xml:space="preserve"> au Secrétariat d’inscrire à l’ordre du jour provisoire de sa prochaine session ordinaire un point concernant une éventuelle modification des Directives opérationnelles visant à empêcher l’évaluation de nouveaux dossiers de candidatures si les obligations de rapport concernant les éléments déjà inscrits n’ont pas été remplies par les États parties ;</w:t>
            </w:r>
          </w:p>
          <w:p w14:paraId="66986822" w14:textId="77777777" w:rsidR="00101CFD" w:rsidRPr="0002504E" w:rsidRDefault="00101CFD" w:rsidP="00803E43">
            <w:pPr>
              <w:spacing w:before="240" w:after="160" w:line="259" w:lineRule="auto"/>
              <w:rPr>
                <w:rFonts w:ascii="Arial" w:hAnsi="Arial" w:cs="Arial"/>
                <w:b/>
                <w:bCs/>
                <w:i/>
                <w:iCs/>
                <w:u w:val="single"/>
              </w:rPr>
            </w:pPr>
            <w:r w:rsidRPr="0002504E">
              <w:rPr>
                <w:rFonts w:ascii="Arial" w:hAnsi="Arial" w:cs="Arial"/>
                <w:b/>
                <w:bCs/>
                <w:i/>
                <w:iCs/>
                <w:u w:val="single"/>
              </w:rPr>
              <w:t>Transfert et retrait d’un élément</w:t>
            </w:r>
          </w:p>
          <w:p w14:paraId="7FDFDF20" w14:textId="77777777" w:rsidR="00101CFD" w:rsidRPr="0002504E" w:rsidRDefault="00101CFD" w:rsidP="00803E43">
            <w:pPr>
              <w:spacing w:before="120"/>
              <w:jc w:val="both"/>
              <w:rPr>
                <w:rFonts w:ascii="Arial" w:hAnsi="Arial" w:cs="Arial"/>
                <w:b/>
                <w:bCs/>
                <w:i/>
                <w:iCs/>
              </w:rPr>
            </w:pPr>
            <w:r w:rsidRPr="0002504E">
              <w:rPr>
                <w:rFonts w:ascii="Arial" w:hAnsi="Arial" w:cs="Arial"/>
                <w:b/>
                <w:bCs/>
                <w:i/>
                <w:iCs/>
              </w:rPr>
              <w:t>Résolution 8.GA 11(paragraphe 11)</w:t>
            </w:r>
          </w:p>
          <w:p w14:paraId="4A7FDBB7" w14:textId="77777777" w:rsidR="00101CFD" w:rsidRPr="0002504E" w:rsidRDefault="00101CFD" w:rsidP="00803E43">
            <w:pPr>
              <w:jc w:val="both"/>
              <w:rPr>
                <w:rFonts w:asciiTheme="minorBidi" w:hAnsiTheme="minorBidi"/>
              </w:rPr>
            </w:pPr>
            <w:r w:rsidRPr="0002504E">
              <w:rPr>
                <w:rFonts w:asciiTheme="minorBidi" w:hAnsiTheme="minorBidi"/>
                <w:u w:val="single"/>
              </w:rPr>
              <w:t>Rappelle </w:t>
            </w:r>
            <w:r w:rsidRPr="0002504E">
              <w:rPr>
                <w:rFonts w:asciiTheme="minorBidi" w:hAnsiTheme="minorBidi"/>
              </w:rPr>
              <w:t>le paragraphe 11 de la </w:t>
            </w:r>
            <w:hyperlink r:id="rId36" w:history="1">
              <w:r w:rsidRPr="0002504E">
                <w:rPr>
                  <w:rStyle w:val="Lienhypertexte"/>
                  <w:rFonts w:asciiTheme="minorBidi" w:hAnsiTheme="minorBidi"/>
                </w:rPr>
                <w:t>décision 14.COM 14</w:t>
              </w:r>
            </w:hyperlink>
            <w:r w:rsidRPr="0002504E">
              <w:rPr>
                <w:rFonts w:asciiTheme="minorBidi" w:hAnsiTheme="minorBidi"/>
              </w:rPr>
              <w:t> qui souligne qu’une révision des Directives opérationnelles est nécessaire afin d’établir des procédures et critères clairs et spécifiques pour le retrait d’un élément d’une liste et le transfert d’un élément d’une liste à une autre ;</w:t>
            </w:r>
          </w:p>
          <w:p w14:paraId="261CD685" w14:textId="77777777" w:rsidR="00101CFD" w:rsidRPr="0002504E" w:rsidRDefault="00101CFD" w:rsidP="00803E43">
            <w:pPr>
              <w:spacing w:before="120"/>
              <w:jc w:val="both"/>
              <w:rPr>
                <w:rFonts w:ascii="Arial" w:hAnsi="Arial" w:cs="Arial"/>
                <w:b/>
                <w:bCs/>
                <w:i/>
                <w:iCs/>
              </w:rPr>
            </w:pPr>
            <w:r w:rsidRPr="0002504E">
              <w:rPr>
                <w:rFonts w:ascii="Arial" w:hAnsi="Arial" w:cs="Arial"/>
                <w:b/>
                <w:bCs/>
                <w:i/>
                <w:iCs/>
              </w:rPr>
              <w:t>Décision 14.COM 14 (paragraphe 11)</w:t>
            </w:r>
          </w:p>
          <w:p w14:paraId="3B5E7A64" w14:textId="77777777" w:rsidR="00101CFD" w:rsidRPr="0002504E" w:rsidRDefault="00101CFD" w:rsidP="00803E43">
            <w:pPr>
              <w:jc w:val="both"/>
              <w:rPr>
                <w:rFonts w:ascii="Arial" w:hAnsi="Arial" w:cs="Arial"/>
              </w:rPr>
            </w:pPr>
            <w:r w:rsidRPr="0002504E">
              <w:rPr>
                <w:rFonts w:ascii="Arial" w:hAnsi="Arial" w:cs="Arial"/>
                <w:u w:val="single"/>
              </w:rPr>
              <w:lastRenderedPageBreak/>
              <w:t>Souligne</w:t>
            </w:r>
            <w:r w:rsidRPr="0002504E">
              <w:rPr>
                <w:rFonts w:ascii="Arial" w:hAnsi="Arial" w:cs="Arial"/>
              </w:rPr>
              <w:t xml:space="preserve"> qu’une révision des Directives opérationnelles est nécessaire afin d’établir des procédures et critères clairs et spécifiques pour le retrait d’un élément d’une liste et le transfert d’un </w:t>
            </w:r>
            <w:r w:rsidRPr="0002504E">
              <w:rPr>
                <w:rFonts w:asciiTheme="minorBidi" w:hAnsiTheme="minorBidi"/>
              </w:rPr>
              <w:t>élément</w:t>
            </w:r>
            <w:r w:rsidRPr="0002504E">
              <w:rPr>
                <w:rFonts w:ascii="Arial" w:hAnsi="Arial" w:cs="Arial"/>
              </w:rPr>
              <w:t xml:space="preserve"> d’une liste à une autre ;</w:t>
            </w:r>
          </w:p>
          <w:p w14:paraId="328A3282" w14:textId="77777777" w:rsidR="00101CFD" w:rsidRPr="0002504E" w:rsidRDefault="00101CFD" w:rsidP="00803E43">
            <w:pPr>
              <w:spacing w:before="240"/>
              <w:jc w:val="both"/>
              <w:rPr>
                <w:rFonts w:ascii="Arial" w:hAnsi="Arial" w:cs="Arial"/>
                <w:b/>
                <w:bCs/>
                <w:i/>
                <w:iCs/>
              </w:rPr>
            </w:pPr>
            <w:r w:rsidRPr="001363CC">
              <w:rPr>
                <w:rFonts w:ascii="Arial" w:hAnsi="Arial" w:cs="Arial"/>
                <w:b/>
                <w:bCs/>
                <w:i/>
                <w:iCs/>
              </w:rPr>
              <w:t>Décision</w:t>
            </w:r>
            <w:r w:rsidRPr="0002504E">
              <w:rPr>
                <w:rFonts w:ascii="Arial" w:hAnsi="Arial" w:cs="Arial"/>
                <w:b/>
                <w:bCs/>
                <w:i/>
                <w:iCs/>
              </w:rPr>
              <w:t xml:space="preserve"> 12.COM 14 (paragraphes 8 et 11)</w:t>
            </w:r>
          </w:p>
          <w:p w14:paraId="7AC07971" w14:textId="77777777" w:rsidR="00101CFD" w:rsidRPr="0002504E" w:rsidRDefault="00101CFD" w:rsidP="00803E43">
            <w:pPr>
              <w:spacing w:before="100" w:beforeAutospacing="1" w:after="75"/>
              <w:jc w:val="both"/>
              <w:rPr>
                <w:rFonts w:ascii="Arial" w:hAnsi="Arial" w:cs="Arial"/>
              </w:rPr>
            </w:pPr>
            <w:r w:rsidRPr="0002504E">
              <w:rPr>
                <w:rFonts w:ascii="Arial" w:hAnsi="Arial" w:cs="Arial"/>
                <w:u w:val="single"/>
              </w:rPr>
              <w:t>Constate</w:t>
            </w:r>
            <w:r w:rsidRPr="0002504E">
              <w:rPr>
                <w:rFonts w:ascii="Arial" w:hAnsi="Arial" w:cs="Arial"/>
              </w:rPr>
              <w:t>, d’après les débats tenus à sa douzième session, que la question du transfert d’un élément d’une liste à l’autre et du retrait d’un élément d’une liste soulève des questions fondamentales liées à l’intention initiale et l’objectif de la Convention, ainsi qu’à ses mécanismes d’inscription ;</w:t>
            </w:r>
          </w:p>
          <w:p w14:paraId="44FFEA8C" w14:textId="77777777" w:rsidR="00101CFD" w:rsidRPr="0002504E" w:rsidRDefault="00101CFD" w:rsidP="00803E43">
            <w:pPr>
              <w:spacing w:before="100" w:beforeAutospacing="1" w:after="75"/>
              <w:jc w:val="both"/>
              <w:rPr>
                <w:rFonts w:ascii="Arial" w:hAnsi="Arial" w:cs="Arial"/>
              </w:rPr>
            </w:pPr>
            <w:r w:rsidRPr="0002504E">
              <w:rPr>
                <w:rFonts w:ascii="Arial" w:hAnsi="Arial" w:cs="Arial"/>
                <w:u w:val="single"/>
              </w:rPr>
              <w:t>Décide</w:t>
            </w:r>
            <w:r w:rsidRPr="0002504E">
              <w:rPr>
                <w:rFonts w:ascii="Arial" w:hAnsi="Arial" w:cs="Arial"/>
              </w:rPr>
              <w:t> de convoquer un groupe de travail intergouvernemental à composition non limitée, devant se réunir avant la quatorzième session du Comité en 2019, afin de réfléchir, entre autres, aux procédures pour le retrait d’un élément d’une liste et le transfert d’une liste à l’autre, à la nature et aux objectifs des listes et du registre établis par la Convention et à la pertinence des différents critères pour chacun de ces mécanismes ; cette réunion serait organisée sous réserve que des contributions volontaires supplémentaires au Fonds du patrimoine culturel immatériel soient reçues en temps voulu et, dans tous les cas, au plus tard en janvier 2019, afin de couvrir tous les coûts d’organisation de la réunion ainsi que les coûts de participation de représentants de pays en développement qui sont parties à la Convention, qu’ils soient membres du Comité ou non, mais seulement pour les personnes qui sont des experts du patrimoine culturel immatériel ;</w:t>
            </w:r>
          </w:p>
          <w:p w14:paraId="28D5D880" w14:textId="77777777" w:rsidR="00101CFD" w:rsidRPr="0002504E" w:rsidRDefault="00101CFD" w:rsidP="00803E43">
            <w:pPr>
              <w:spacing w:before="240"/>
              <w:jc w:val="both"/>
              <w:rPr>
                <w:rFonts w:ascii="Arial" w:hAnsi="Arial" w:cs="Arial"/>
                <w:b/>
                <w:bCs/>
                <w:i/>
                <w:iCs/>
              </w:rPr>
            </w:pPr>
            <w:r w:rsidRPr="0002504E">
              <w:rPr>
                <w:rFonts w:ascii="Arial" w:hAnsi="Arial" w:cs="Arial"/>
                <w:b/>
                <w:bCs/>
                <w:i/>
                <w:iCs/>
              </w:rPr>
              <w:t>Décision 10.</w:t>
            </w:r>
            <w:r w:rsidRPr="001363CC">
              <w:rPr>
                <w:rFonts w:ascii="Arial" w:hAnsi="Arial" w:cs="Arial"/>
                <w:b/>
                <w:bCs/>
                <w:i/>
                <w:iCs/>
              </w:rPr>
              <w:t>COM</w:t>
            </w:r>
            <w:r w:rsidRPr="0002504E">
              <w:rPr>
                <w:rFonts w:ascii="Arial" w:hAnsi="Arial" w:cs="Arial"/>
                <w:b/>
                <w:bCs/>
                <w:i/>
                <w:iCs/>
              </w:rPr>
              <w:t xml:space="preserve"> 19 (paragraphe 10)</w:t>
            </w:r>
          </w:p>
          <w:p w14:paraId="2EDF5F99" w14:textId="77777777" w:rsidR="00101CFD" w:rsidRPr="0002504E" w:rsidRDefault="00101CFD" w:rsidP="00803E43">
            <w:pPr>
              <w:spacing w:before="100" w:beforeAutospacing="1" w:after="75"/>
              <w:jc w:val="both"/>
              <w:rPr>
                <w:rFonts w:ascii="Arial" w:hAnsi="Arial" w:cs="Arial"/>
              </w:rPr>
            </w:pPr>
            <w:r w:rsidRPr="0002504E">
              <w:rPr>
                <w:rFonts w:ascii="Arial" w:hAnsi="Arial" w:cs="Arial"/>
                <w:u w:val="single"/>
              </w:rPr>
              <w:t>Décide</w:t>
            </w:r>
            <w:r w:rsidRPr="0002504E">
              <w:rPr>
                <w:rFonts w:ascii="Arial" w:hAnsi="Arial" w:cs="Arial"/>
              </w:rPr>
              <w:t xml:space="preserve"> de convoquer un groupe de travail intergouvernemental ouvert, devant se tenir avant la douzième session du Comité, pour examiner des projets de directives opérationnelles sur la procédure de retrait d’un élément d’une liste et le transfert d’une liste à l’autre ; cette réunion sera organisée sous réserve que des contributions volontaires supplémentaires au Fonds du patrimoine culturel immatériel soient reçues en temps opportun et, dans tous les cas, pas plus tard que janvier 2017, afin de couvrir tous les coûts d’organisation de la réunion et les coûts de participation de représentants de pays en développement qui sont parties à la Convention, qu’ils soient membres du Comité ou pas, mais seulement pour les personnes qui sont des experts du patrimoine culturel immatériel.</w:t>
            </w:r>
          </w:p>
          <w:p w14:paraId="4A6333CB" w14:textId="77777777" w:rsidR="00101CFD" w:rsidRPr="0002504E" w:rsidRDefault="00101CFD" w:rsidP="00803E43">
            <w:pPr>
              <w:keepNext/>
              <w:spacing w:before="240" w:after="160" w:line="259" w:lineRule="auto"/>
              <w:rPr>
                <w:rFonts w:ascii="Arial" w:hAnsi="Arial" w:cs="Arial"/>
                <w:b/>
                <w:bCs/>
                <w:i/>
                <w:iCs/>
                <w:u w:val="single"/>
              </w:rPr>
            </w:pPr>
            <w:r w:rsidRPr="0002504E">
              <w:rPr>
                <w:rFonts w:ascii="Arial" w:hAnsi="Arial" w:cs="Arial"/>
                <w:b/>
                <w:bCs/>
                <w:i/>
                <w:iCs/>
                <w:u w:val="single"/>
              </w:rPr>
              <w:t>Rapports</w:t>
            </w:r>
          </w:p>
          <w:p w14:paraId="5AC6C9F6" w14:textId="77777777" w:rsidR="00101CFD" w:rsidRPr="0002504E" w:rsidRDefault="00101CFD" w:rsidP="00803E43">
            <w:pPr>
              <w:keepNext/>
              <w:spacing w:before="120"/>
              <w:jc w:val="both"/>
              <w:rPr>
                <w:rFonts w:ascii="Arial" w:hAnsi="Arial" w:cs="Arial"/>
                <w:b/>
                <w:bCs/>
                <w:i/>
                <w:iCs/>
              </w:rPr>
            </w:pPr>
            <w:r w:rsidRPr="0002504E">
              <w:rPr>
                <w:rFonts w:ascii="Arial" w:hAnsi="Arial" w:cs="Arial"/>
                <w:b/>
                <w:bCs/>
                <w:i/>
                <w:iCs/>
              </w:rPr>
              <w:t>Décision 14.COM 9.a (paragraphe 7)</w:t>
            </w:r>
          </w:p>
          <w:p w14:paraId="173ECCB1" w14:textId="77777777" w:rsidR="00101CFD" w:rsidRPr="0002504E" w:rsidRDefault="00101CFD" w:rsidP="00803E43">
            <w:pPr>
              <w:spacing w:before="100" w:beforeAutospacing="1" w:after="75"/>
              <w:jc w:val="both"/>
              <w:rPr>
                <w:rFonts w:ascii="Arial" w:hAnsi="Arial" w:cs="Arial"/>
              </w:rPr>
            </w:pPr>
            <w:r w:rsidRPr="0002504E">
              <w:rPr>
                <w:rFonts w:ascii="Arial" w:hAnsi="Arial" w:cs="Arial"/>
                <w:u w:val="single"/>
              </w:rPr>
              <w:t>Reconnaît</w:t>
            </w:r>
            <w:r w:rsidRPr="0002504E">
              <w:rPr>
                <w:rFonts w:ascii="Arial" w:hAnsi="Arial" w:cs="Arial"/>
              </w:rPr>
              <w:t xml:space="preserve"> que la réflexion globale sur les mécanismes liés à l’inscription sur les listes de la Convention de 2003 est susceptible d’affecter l’exercice de soumission des rapports sur l’état des éléments inscrits sur la Liste du patrimoine culturel immatériel nécessitant une sauvegarde urgente et que ce mécanisme spécifique de soumission des rapports demeurera inchangé pour le moment, jusqu’à ce que la réflexion globale ait progressé ;</w:t>
            </w:r>
          </w:p>
        </w:tc>
      </w:tr>
      <w:tr w:rsidR="00101CFD" w:rsidRPr="0002504E" w14:paraId="3EB43D3F" w14:textId="77777777" w:rsidTr="001839F4">
        <w:tc>
          <w:tcPr>
            <w:tcW w:w="9062" w:type="dxa"/>
            <w:shd w:val="clear" w:color="auto" w:fill="E5B8B7" w:themeFill="accent2" w:themeFillTint="66"/>
          </w:tcPr>
          <w:p w14:paraId="2017736F" w14:textId="62F71A74" w:rsidR="00101CFD" w:rsidRPr="0002504E" w:rsidRDefault="00101CFD" w:rsidP="00101CFD">
            <w:pPr>
              <w:pStyle w:val="COMPara"/>
              <w:keepNext/>
              <w:numPr>
                <w:ilvl w:val="0"/>
                <w:numId w:val="27"/>
              </w:numPr>
              <w:spacing w:before="120"/>
              <w:ind w:left="714" w:hanging="357"/>
              <w:jc w:val="both"/>
              <w:rPr>
                <w:b/>
                <w:bCs/>
                <w:i/>
                <w:iCs/>
              </w:rPr>
            </w:pPr>
            <w:r w:rsidRPr="0002504E">
              <w:lastRenderedPageBreak/>
              <w:t xml:space="preserve">Méthodologie d’évaluation </w:t>
            </w:r>
            <w:r w:rsidR="00F679D0">
              <w:t xml:space="preserve">et d’examen </w:t>
            </w:r>
            <w:r w:rsidRPr="0002504E">
              <w:t>des candidatures</w:t>
            </w:r>
          </w:p>
        </w:tc>
      </w:tr>
      <w:tr w:rsidR="00101CFD" w:rsidRPr="001363CC" w14:paraId="5F7DF6A0" w14:textId="77777777" w:rsidTr="001839F4">
        <w:tc>
          <w:tcPr>
            <w:tcW w:w="9062" w:type="dxa"/>
            <w:shd w:val="clear" w:color="auto" w:fill="auto"/>
          </w:tcPr>
          <w:p w14:paraId="239E5E26" w14:textId="77777777" w:rsidR="00101CFD" w:rsidRPr="0002504E" w:rsidRDefault="00101CFD" w:rsidP="00803E43">
            <w:pPr>
              <w:keepNext/>
              <w:spacing w:before="240" w:after="160" w:line="259" w:lineRule="auto"/>
              <w:rPr>
                <w:rFonts w:ascii="Arial" w:hAnsi="Arial" w:cs="Arial"/>
                <w:b/>
                <w:bCs/>
                <w:i/>
                <w:iCs/>
                <w:u w:val="single"/>
              </w:rPr>
            </w:pPr>
            <w:r w:rsidRPr="0002504E">
              <w:rPr>
                <w:rFonts w:ascii="Arial" w:hAnsi="Arial" w:cs="Arial"/>
                <w:b/>
                <w:bCs/>
                <w:i/>
                <w:iCs/>
                <w:u w:val="single"/>
              </w:rPr>
              <w:t>Dossiers multinationaux</w:t>
            </w:r>
          </w:p>
          <w:p w14:paraId="0D8E9D7E" w14:textId="77777777" w:rsidR="00101CFD" w:rsidRPr="0002504E" w:rsidRDefault="00101CFD" w:rsidP="00803E43">
            <w:pPr>
              <w:keepNext/>
              <w:spacing w:before="120"/>
              <w:jc w:val="both"/>
              <w:rPr>
                <w:rFonts w:ascii="Arial" w:hAnsi="Arial" w:cs="Arial"/>
                <w:b/>
                <w:bCs/>
                <w:i/>
                <w:iCs/>
              </w:rPr>
            </w:pPr>
            <w:r w:rsidRPr="0002504E">
              <w:rPr>
                <w:rFonts w:ascii="Arial" w:hAnsi="Arial" w:cs="Arial"/>
                <w:b/>
                <w:bCs/>
                <w:i/>
                <w:iCs/>
              </w:rPr>
              <w:t>Décision 15.COM 8 (paragraphe 8)</w:t>
            </w:r>
          </w:p>
          <w:p w14:paraId="333C9B67" w14:textId="40B27C68" w:rsidR="00101CFD" w:rsidRPr="0002504E" w:rsidRDefault="00F679D0" w:rsidP="00803E43">
            <w:pPr>
              <w:spacing w:before="100" w:beforeAutospacing="1" w:after="75"/>
              <w:jc w:val="both"/>
              <w:rPr>
                <w:rFonts w:ascii="Arial" w:hAnsi="Arial" w:cs="Arial"/>
              </w:rPr>
            </w:pPr>
            <w:r>
              <w:rPr>
                <w:rFonts w:ascii="Arial" w:hAnsi="Arial" w:cs="Arial"/>
                <w:u w:val="single"/>
              </w:rPr>
              <w:t>I</w:t>
            </w:r>
            <w:r w:rsidR="00101CFD" w:rsidRPr="001363CC">
              <w:rPr>
                <w:rFonts w:ascii="Arial" w:hAnsi="Arial" w:cs="Arial"/>
                <w:u w:val="single"/>
              </w:rPr>
              <w:t>nvite</w:t>
            </w:r>
            <w:r w:rsidR="00101CFD" w:rsidRPr="0002504E">
              <w:rPr>
                <w:rFonts w:ascii="Arial" w:hAnsi="Arial" w:cs="Arial"/>
              </w:rPr>
              <w:t> le Secrétariat à préparer des notes d’orientation portant sur la préparation des candidatures multinationales pour en améliorer la qualité, en tenant compte de la réflexion globale sur les mécanismes d’inscription ;</w:t>
            </w:r>
          </w:p>
          <w:p w14:paraId="372293D6" w14:textId="77777777" w:rsidR="00101CFD" w:rsidRPr="0002504E" w:rsidRDefault="00101CFD" w:rsidP="00803E43">
            <w:pPr>
              <w:keepNext/>
              <w:spacing w:before="240"/>
              <w:jc w:val="both"/>
              <w:rPr>
                <w:rFonts w:ascii="Arial" w:hAnsi="Arial" w:cs="Arial"/>
                <w:b/>
                <w:bCs/>
                <w:i/>
                <w:iCs/>
              </w:rPr>
            </w:pPr>
            <w:r w:rsidRPr="001363CC">
              <w:rPr>
                <w:rFonts w:ascii="Arial" w:hAnsi="Arial" w:cs="Arial"/>
                <w:b/>
                <w:bCs/>
                <w:i/>
                <w:iCs/>
              </w:rPr>
              <w:t>Décision</w:t>
            </w:r>
            <w:r w:rsidRPr="0002504E">
              <w:rPr>
                <w:rFonts w:ascii="Arial" w:hAnsi="Arial" w:cs="Arial"/>
                <w:b/>
                <w:bCs/>
                <w:i/>
                <w:iCs/>
              </w:rPr>
              <w:t xml:space="preserve"> 14.COM 14 (paragraphe 13)</w:t>
            </w:r>
          </w:p>
          <w:p w14:paraId="448E5547" w14:textId="77777777" w:rsidR="00101CFD" w:rsidRPr="0002504E" w:rsidRDefault="00101CFD" w:rsidP="00803E43">
            <w:pPr>
              <w:spacing w:before="100" w:beforeAutospacing="1" w:after="75"/>
              <w:jc w:val="both"/>
              <w:rPr>
                <w:rFonts w:ascii="Arial" w:hAnsi="Arial" w:cs="Arial"/>
              </w:rPr>
            </w:pPr>
            <w:r w:rsidRPr="001363CC">
              <w:rPr>
                <w:rFonts w:ascii="Arial" w:hAnsi="Arial" w:cs="Arial"/>
                <w:u w:val="single"/>
              </w:rPr>
              <w:t>Reconnaît</w:t>
            </w:r>
            <w:r w:rsidRPr="0002504E">
              <w:rPr>
                <w:rFonts w:ascii="Arial" w:hAnsi="Arial" w:cs="Arial"/>
              </w:rPr>
              <w:t> le besoin d’entreprendre une réflexion sur les manières dont le processus d’extension des éléments multinationaux à de nouveaux États parties pourrait possiblement être simplifié et </w:t>
            </w:r>
            <w:r w:rsidRPr="0002504E">
              <w:rPr>
                <w:rFonts w:ascii="Arial" w:hAnsi="Arial" w:cs="Arial"/>
                <w:u w:val="single"/>
              </w:rPr>
              <w:t>demande</w:t>
            </w:r>
            <w:r w:rsidRPr="0002504E">
              <w:rPr>
                <w:rFonts w:ascii="Arial" w:hAnsi="Arial" w:cs="Arial"/>
              </w:rPr>
              <w:t> au Secrétariat d’inclure ce point dans la réflexion globale sur les mécanismes d’inscription sur les listes ;</w:t>
            </w:r>
          </w:p>
          <w:p w14:paraId="236A6B26" w14:textId="77777777" w:rsidR="00101CFD" w:rsidRPr="0002504E" w:rsidRDefault="00101CFD" w:rsidP="00803E43">
            <w:pPr>
              <w:keepNext/>
              <w:spacing w:before="240" w:after="160" w:line="259" w:lineRule="auto"/>
              <w:rPr>
                <w:rFonts w:ascii="Arial" w:hAnsi="Arial" w:cs="Arial"/>
                <w:b/>
                <w:bCs/>
                <w:i/>
                <w:iCs/>
                <w:u w:val="single"/>
              </w:rPr>
            </w:pPr>
            <w:r w:rsidRPr="0002504E">
              <w:rPr>
                <w:rFonts w:ascii="Arial" w:hAnsi="Arial" w:cs="Arial"/>
                <w:b/>
                <w:bCs/>
                <w:i/>
                <w:iCs/>
                <w:u w:val="single"/>
              </w:rPr>
              <w:t>Nombre de dossiers</w:t>
            </w:r>
          </w:p>
          <w:p w14:paraId="449D48ED" w14:textId="77777777" w:rsidR="00101CFD" w:rsidRPr="0002504E" w:rsidRDefault="00101CFD" w:rsidP="00803E43">
            <w:pPr>
              <w:spacing w:before="120"/>
              <w:jc w:val="both"/>
              <w:rPr>
                <w:rFonts w:ascii="Arial" w:hAnsi="Arial" w:cs="Arial"/>
                <w:b/>
                <w:bCs/>
                <w:i/>
                <w:iCs/>
              </w:rPr>
            </w:pPr>
            <w:r w:rsidRPr="0002504E">
              <w:rPr>
                <w:rFonts w:ascii="Arial" w:hAnsi="Arial" w:cs="Arial"/>
                <w:b/>
                <w:bCs/>
                <w:i/>
                <w:iCs/>
              </w:rPr>
              <w:t>Résolution 8.GA 11(paragraphe 8)</w:t>
            </w:r>
          </w:p>
          <w:p w14:paraId="610387CF" w14:textId="77777777" w:rsidR="00101CFD" w:rsidRPr="0002504E" w:rsidRDefault="00101CFD" w:rsidP="00803E43">
            <w:pPr>
              <w:spacing w:before="100" w:beforeAutospacing="1" w:after="75"/>
              <w:jc w:val="both"/>
              <w:rPr>
                <w:rFonts w:ascii="Arial" w:hAnsi="Arial" w:cs="Arial"/>
              </w:rPr>
            </w:pPr>
            <w:r w:rsidRPr="001363CC">
              <w:rPr>
                <w:rFonts w:ascii="Arial" w:hAnsi="Arial" w:cs="Arial"/>
                <w:u w:val="single"/>
              </w:rPr>
              <w:t>Recommande</w:t>
            </w:r>
            <w:r w:rsidRPr="0002504E">
              <w:rPr>
                <w:rFonts w:ascii="Arial" w:hAnsi="Arial" w:cs="Arial"/>
                <w:u w:val="single"/>
              </w:rPr>
              <w:t> </w:t>
            </w:r>
            <w:r w:rsidRPr="0002504E">
              <w:rPr>
                <w:rFonts w:ascii="Arial" w:hAnsi="Arial" w:cs="Arial"/>
              </w:rPr>
              <w:t>au Comité, en lien avec le processus de réflexion sur les mécanismes d’inscription sur les listes, d’envisager la possibilité d’augmenter ce nombre afin d’inclure tous les dossiers soumis par les États parties pour les cycles 2022-2023 ;</w:t>
            </w:r>
          </w:p>
        </w:tc>
      </w:tr>
    </w:tbl>
    <w:p w14:paraId="5A14B7F8" w14:textId="4968D826" w:rsidR="00E22B99" w:rsidRPr="00323D95" w:rsidRDefault="00E22B99" w:rsidP="001839F4">
      <w:pPr>
        <w:spacing w:before="240"/>
      </w:pPr>
    </w:p>
    <w:sectPr w:rsidR="00E22B99" w:rsidRPr="00323D95" w:rsidSect="003C5341">
      <w:headerReference w:type="even" r:id="rId37"/>
      <w:headerReference w:type="default" r:id="rId38"/>
      <w:footerReference w:type="even" r:id="rId39"/>
      <w:footerReference w:type="default" r:id="rId40"/>
      <w:headerReference w:type="first" r:id="rId41"/>
      <w:footerReference w:type="first" r:id="rId42"/>
      <w:pgSz w:w="11906" w:h="16838" w:code="9"/>
      <w:pgMar w:top="1418" w:right="1134" w:bottom="709"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2430F" w14:textId="77777777" w:rsidR="00803E43" w:rsidRDefault="00803E43" w:rsidP="002938F2">
      <w:r>
        <w:separator/>
      </w:r>
    </w:p>
    <w:p w14:paraId="62B37D53" w14:textId="77777777" w:rsidR="00803E43" w:rsidRDefault="00803E43"/>
  </w:endnote>
  <w:endnote w:type="continuationSeparator" w:id="0">
    <w:p w14:paraId="7BB051F3" w14:textId="77777777" w:rsidR="00803E43" w:rsidRDefault="00803E43" w:rsidP="002938F2">
      <w:r>
        <w:continuationSeparator/>
      </w:r>
    </w:p>
    <w:p w14:paraId="3644C054" w14:textId="77777777" w:rsidR="00803E43" w:rsidRDefault="00803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70E5" w14:textId="77777777" w:rsidR="002B066B" w:rsidRDefault="002B06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21E63" w14:textId="77777777" w:rsidR="002B066B" w:rsidRDefault="002B066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0FA4" w14:textId="77777777" w:rsidR="002B066B" w:rsidRDefault="002B06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FC862" w14:textId="77777777" w:rsidR="00803E43" w:rsidRDefault="00803E43" w:rsidP="002938F2">
      <w:r>
        <w:separator/>
      </w:r>
    </w:p>
    <w:p w14:paraId="40771AAA" w14:textId="77777777" w:rsidR="00803E43" w:rsidRDefault="00803E43"/>
  </w:footnote>
  <w:footnote w:type="continuationSeparator" w:id="0">
    <w:p w14:paraId="179C0CD6" w14:textId="77777777" w:rsidR="00803E43" w:rsidRDefault="00803E43" w:rsidP="002938F2">
      <w:r>
        <w:continuationSeparator/>
      </w:r>
    </w:p>
    <w:p w14:paraId="58A53D2A" w14:textId="77777777" w:rsidR="00803E43" w:rsidRDefault="00803E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DAF" w14:textId="194CC04E" w:rsidR="00803E43" w:rsidRPr="002B7155" w:rsidRDefault="00803E43" w:rsidP="007E4E37">
    <w:pPr>
      <w:pStyle w:val="En-tte"/>
      <w:rPr>
        <w:rFonts w:ascii="Arial" w:hAnsi="Arial" w:cs="Arial"/>
      </w:rPr>
    </w:pPr>
    <w:r>
      <w:rPr>
        <w:rFonts w:ascii="Arial" w:hAnsi="Arial"/>
        <w:sz w:val="20"/>
      </w:rPr>
      <w:t>LHE/21/16.COM WG/2 – page </w:t>
    </w:r>
    <w:r w:rsidRPr="00D81948">
      <w:rPr>
        <w:rStyle w:val="Numrodepage"/>
        <w:rFonts w:ascii="Arial" w:hAnsi="Arial" w:cs="Arial"/>
        <w:sz w:val="20"/>
      </w:rPr>
      <w:fldChar w:fldCharType="begin"/>
    </w:r>
    <w:r w:rsidRPr="002B7155">
      <w:rPr>
        <w:rStyle w:val="Numrodepage"/>
        <w:rFonts w:ascii="Arial" w:hAnsi="Arial" w:cs="Arial"/>
        <w:sz w:val="20"/>
      </w:rPr>
      <w:instrText xml:space="preserve"> PAGE </w:instrText>
    </w:r>
    <w:r w:rsidRPr="00D81948">
      <w:rPr>
        <w:rStyle w:val="Numrodepage"/>
        <w:rFonts w:ascii="Arial" w:hAnsi="Arial" w:cs="Arial"/>
        <w:sz w:val="20"/>
      </w:rPr>
      <w:fldChar w:fldCharType="separate"/>
    </w:r>
    <w:r w:rsidRPr="002B7155">
      <w:rPr>
        <w:rStyle w:val="Numrodepage"/>
        <w:rFonts w:ascii="Arial" w:hAnsi="Arial" w:cs="Arial"/>
        <w:sz w:val="20"/>
      </w:rPr>
      <w:t>2</w:t>
    </w:r>
    <w:r w:rsidRPr="00D81948">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BD0B" w14:textId="2B07D5AC" w:rsidR="00803E43" w:rsidRPr="007E4E37" w:rsidRDefault="007002FC" w:rsidP="007250E3">
    <w:pPr>
      <w:pStyle w:val="En-tte"/>
      <w:ind w:left="2544" w:firstLine="3693"/>
      <w:jc w:val="right"/>
      <w:rPr>
        <w:rFonts w:ascii="Arial" w:hAnsi="Arial" w:cs="Arial"/>
      </w:rPr>
    </w:pPr>
    <w:r>
      <w:rPr>
        <w:rFonts w:ascii="Arial" w:hAnsi="Arial"/>
        <w:sz w:val="20"/>
      </w:rPr>
      <w:t>LHE</w:t>
    </w:r>
    <w:r w:rsidR="00803E43">
      <w:rPr>
        <w:rFonts w:ascii="Arial" w:hAnsi="Arial"/>
        <w:sz w:val="20"/>
      </w:rPr>
      <w:t>/21/16.COM WG/2 – page </w:t>
    </w:r>
    <w:r w:rsidR="00803E43" w:rsidRPr="00EF563B">
      <w:rPr>
        <w:rStyle w:val="Numrodepage"/>
        <w:rFonts w:ascii="Arial" w:hAnsi="Arial" w:cs="Arial"/>
        <w:sz w:val="20"/>
      </w:rPr>
      <w:fldChar w:fldCharType="begin"/>
    </w:r>
    <w:r w:rsidR="00803E43" w:rsidRPr="00EF563B">
      <w:rPr>
        <w:rStyle w:val="Numrodepage"/>
        <w:rFonts w:ascii="Arial" w:hAnsi="Arial" w:cs="Arial"/>
        <w:sz w:val="20"/>
      </w:rPr>
      <w:instrText xml:space="preserve"> </w:instrText>
    </w:r>
    <w:r w:rsidR="00803E43">
      <w:rPr>
        <w:rStyle w:val="Numrodepage"/>
        <w:rFonts w:ascii="Arial" w:hAnsi="Arial" w:cs="Arial"/>
        <w:sz w:val="20"/>
      </w:rPr>
      <w:instrText>PAGE</w:instrText>
    </w:r>
    <w:r w:rsidR="00803E43" w:rsidRPr="00EF563B">
      <w:rPr>
        <w:rStyle w:val="Numrodepage"/>
        <w:rFonts w:ascii="Arial" w:hAnsi="Arial" w:cs="Arial"/>
        <w:sz w:val="20"/>
      </w:rPr>
      <w:instrText xml:space="preserve"> </w:instrText>
    </w:r>
    <w:r w:rsidR="00803E43" w:rsidRPr="00EF563B">
      <w:rPr>
        <w:rStyle w:val="Numrodepage"/>
        <w:rFonts w:ascii="Arial" w:hAnsi="Arial" w:cs="Arial"/>
        <w:sz w:val="20"/>
      </w:rPr>
      <w:fldChar w:fldCharType="separate"/>
    </w:r>
    <w:r w:rsidR="00803E43">
      <w:rPr>
        <w:rStyle w:val="Numrodepage"/>
        <w:rFonts w:ascii="Arial" w:hAnsi="Arial" w:cs="Arial"/>
        <w:sz w:val="20"/>
      </w:rPr>
      <w:t>3</w:t>
    </w:r>
    <w:r w:rsidR="00803E43" w:rsidRPr="00EF563B">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C8B6" w14:textId="5EBE380F" w:rsidR="00803E43" w:rsidRPr="008724E5" w:rsidRDefault="00E91AB3">
    <w:pPr>
      <w:pStyle w:val="En-tte"/>
    </w:pPr>
    <w:r>
      <w:rPr>
        <w:noProof/>
        <w:lang w:eastAsia="ja-JP"/>
      </w:rPr>
      <w:drawing>
        <wp:anchor distT="0" distB="0" distL="114300" distR="114300" simplePos="0" relativeHeight="251659776" behindDoc="0" locked="0" layoutInCell="1" allowOverlap="1" wp14:anchorId="5D50CEC4" wp14:editId="15CB8D41">
          <wp:simplePos x="0" y="0"/>
          <wp:positionH relativeFrom="column">
            <wp:posOffset>-540079</wp:posOffset>
          </wp:positionH>
          <wp:positionV relativeFrom="paragraph">
            <wp:posOffset>-164682</wp:posOffset>
          </wp:positionV>
          <wp:extent cx="1904036" cy="1428324"/>
          <wp:effectExtent l="0" t="0" r="1270" b="635"/>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036" cy="14283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AC81C" w14:textId="7B67F8BC" w:rsidR="00803E43" w:rsidRPr="00F34950" w:rsidRDefault="00803E43" w:rsidP="002938F2">
    <w:pPr>
      <w:pStyle w:val="En-tte"/>
      <w:spacing w:after="520"/>
      <w:jc w:val="right"/>
      <w:rPr>
        <w:rFonts w:ascii="Arial" w:eastAsiaTheme="minorEastAsia" w:hAnsi="Arial" w:cs="Arial"/>
        <w:b/>
        <w:sz w:val="44"/>
        <w:szCs w:val="44"/>
        <w:lang w:val="en-GB"/>
      </w:rPr>
    </w:pPr>
    <w:r w:rsidRPr="00F34950">
      <w:rPr>
        <w:rFonts w:ascii="Arial" w:hAnsi="Arial"/>
        <w:b/>
        <w:sz w:val="44"/>
        <w:lang w:val="en-GB"/>
      </w:rPr>
      <w:t>16 COM WG</w:t>
    </w:r>
  </w:p>
  <w:p w14:paraId="122B936C" w14:textId="0C83CCBF" w:rsidR="00803E43" w:rsidRPr="00F34950" w:rsidRDefault="00803E43" w:rsidP="002D396D">
    <w:pPr>
      <w:spacing w:after="0"/>
      <w:jc w:val="right"/>
      <w:rPr>
        <w:rFonts w:ascii="Arial" w:eastAsiaTheme="minorEastAsia" w:hAnsi="Arial" w:cs="Arial"/>
        <w:b/>
        <w:szCs w:val="22"/>
        <w:lang w:val="en-GB"/>
      </w:rPr>
    </w:pPr>
    <w:r w:rsidRPr="00F34950">
      <w:rPr>
        <w:rFonts w:ascii="Arial" w:hAnsi="Arial"/>
        <w:b/>
        <w:lang w:val="en-GB"/>
      </w:rPr>
      <w:t>LHE/21/16.COM WG/2</w:t>
    </w:r>
  </w:p>
  <w:p w14:paraId="2CC34105" w14:textId="7317E98A" w:rsidR="00803E43" w:rsidRPr="007250E3" w:rsidRDefault="00803E43" w:rsidP="00C81439">
    <w:pPr>
      <w:spacing w:after="0"/>
      <w:jc w:val="right"/>
      <w:rPr>
        <w:rFonts w:ascii="Arial" w:eastAsiaTheme="minorEastAsia" w:hAnsi="Arial" w:cs="Arial"/>
        <w:b/>
        <w:szCs w:val="22"/>
      </w:rPr>
    </w:pPr>
    <w:r>
      <w:rPr>
        <w:rFonts w:ascii="Arial" w:hAnsi="Arial"/>
        <w:b/>
      </w:rPr>
      <w:t>Paris</w:t>
    </w:r>
    <w:r w:rsidRPr="00F34950">
      <w:rPr>
        <w:rFonts w:ascii="Arial" w:hAnsi="Arial"/>
        <w:b/>
      </w:rPr>
      <w:t xml:space="preserve">, </w:t>
    </w:r>
    <w:r w:rsidRPr="00503E5D">
      <w:rPr>
        <w:rFonts w:ascii="Arial" w:hAnsi="Arial"/>
        <w:b/>
      </w:rPr>
      <w:t xml:space="preserve">le </w:t>
    </w:r>
    <w:r w:rsidR="00F34950" w:rsidRPr="00503E5D">
      <w:rPr>
        <w:rFonts w:ascii="Arial" w:hAnsi="Arial"/>
        <w:b/>
      </w:rPr>
      <w:t>28</w:t>
    </w:r>
    <w:r w:rsidRPr="00503E5D">
      <w:rPr>
        <w:rFonts w:ascii="Arial" w:hAnsi="Arial"/>
        <w:b/>
      </w:rPr>
      <w:t> juin 2021</w:t>
    </w:r>
  </w:p>
  <w:p w14:paraId="3D76CF75" w14:textId="3147A893" w:rsidR="00803E43" w:rsidRPr="008C30EA" w:rsidRDefault="00803E43" w:rsidP="008C30EA">
    <w:pPr>
      <w:spacing w:after="0"/>
      <w:jc w:val="right"/>
      <w:rPr>
        <w:rFonts w:ascii="Arial" w:hAnsi="Arial" w:cs="Arial"/>
        <w:b/>
        <w:szCs w:val="22"/>
      </w:rPr>
    </w:pPr>
    <w:r>
      <w:rPr>
        <w:rFonts w:ascii="Arial" w:hAnsi="Arial"/>
        <w:b/>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59077BE"/>
    <w:multiLevelType w:val="hybridMultilevel"/>
    <w:tmpl w:val="29EEE8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BD85C6D"/>
    <w:multiLevelType w:val="hybridMultilevel"/>
    <w:tmpl w:val="17CC5B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F66812"/>
    <w:multiLevelType w:val="hybridMultilevel"/>
    <w:tmpl w:val="5DCCEC14"/>
    <w:lvl w:ilvl="0" w:tplc="040C0015">
      <w:start w:val="1"/>
      <w:numFmt w:val="upperLetter"/>
      <w:lvlText w:val="%1."/>
      <w:lvlJc w:val="left"/>
      <w:pPr>
        <w:ind w:left="720" w:hanging="360"/>
      </w:pPr>
      <w:rPr>
        <w:rFonts w:hint="default"/>
        <w:b w:val="0"/>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012006"/>
    <w:multiLevelType w:val="hybridMultilevel"/>
    <w:tmpl w:val="63FC1A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902D6A"/>
    <w:multiLevelType w:val="multilevel"/>
    <w:tmpl w:val="DE6C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3006DECA"/>
    <w:lvl w:ilvl="0" w:tplc="2A3EDD4C">
      <w:start w:val="1"/>
      <w:numFmt w:val="decimal"/>
      <w:pStyle w:val="COMParaDecision"/>
      <w:lvlText w:val="%1."/>
      <w:lvlJc w:val="left"/>
      <w:pPr>
        <w:ind w:left="360" w:hanging="360"/>
      </w:pPr>
      <w:rPr>
        <w:rFonts w:hint="default"/>
        <w:b w: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7A0CD7"/>
    <w:multiLevelType w:val="hybridMultilevel"/>
    <w:tmpl w:val="6FE8954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CD5B5B"/>
    <w:multiLevelType w:val="hybridMultilevel"/>
    <w:tmpl w:val="0434A4B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8F06C5"/>
    <w:multiLevelType w:val="hybridMultilevel"/>
    <w:tmpl w:val="E4B6A2AC"/>
    <w:lvl w:ilvl="0" w:tplc="040C0015">
      <w:start w:val="1"/>
      <w:numFmt w:val="upp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74413AFC"/>
    <w:multiLevelType w:val="hybridMultilevel"/>
    <w:tmpl w:val="14BA81A4"/>
    <w:lvl w:ilvl="0" w:tplc="6B0C0B98">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18"/>
  </w:num>
  <w:num w:numId="5">
    <w:abstractNumId w:val="14"/>
  </w:num>
  <w:num w:numId="6">
    <w:abstractNumId w:val="0"/>
  </w:num>
  <w:num w:numId="7">
    <w:abstractNumId w:val="4"/>
  </w:num>
  <w:num w:numId="8">
    <w:abstractNumId w:val="8"/>
  </w:num>
  <w:num w:numId="9">
    <w:abstractNumId w:val="15"/>
  </w:num>
  <w:num w:numId="10">
    <w:abstractNumId w:val="8"/>
    <w:lvlOverride w:ilvl="0">
      <w:startOverride w:val="1"/>
    </w:lvlOverride>
  </w:num>
  <w:num w:numId="11">
    <w:abstractNumId w:val="17"/>
  </w:num>
  <w:num w:numId="12">
    <w:abstractNumId w:val="10"/>
  </w:num>
  <w:num w:numId="13">
    <w:abstractNumId w:val="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6"/>
  </w:num>
  <w:num w:numId="18">
    <w:abstractNumId w:val="11"/>
  </w:num>
  <w:num w:numId="19">
    <w:abstractNumId w:val="1"/>
  </w:num>
  <w:num w:numId="20">
    <w:abstractNumId w:val="10"/>
  </w:num>
  <w:num w:numId="21">
    <w:abstractNumId w:val="10"/>
  </w:num>
  <w:num w:numId="22">
    <w:abstractNumId w:val="10"/>
  </w:num>
  <w:num w:numId="23">
    <w:abstractNumId w:val="10"/>
  </w:num>
  <w:num w:numId="24">
    <w:abstractNumId w:val="10"/>
  </w:num>
  <w:num w:numId="25">
    <w:abstractNumId w:val="13"/>
  </w:num>
  <w:num w:numId="26">
    <w:abstractNumId w:val="7"/>
  </w:num>
  <w:num w:numId="27">
    <w:abstractNumId w:val="5"/>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47CC"/>
    <w:rsid w:val="000120FD"/>
    <w:rsid w:val="00021003"/>
    <w:rsid w:val="0002116F"/>
    <w:rsid w:val="00021831"/>
    <w:rsid w:val="00021ADA"/>
    <w:rsid w:val="000279A5"/>
    <w:rsid w:val="00030455"/>
    <w:rsid w:val="0003114B"/>
    <w:rsid w:val="000326B4"/>
    <w:rsid w:val="00041F5B"/>
    <w:rsid w:val="00041FC7"/>
    <w:rsid w:val="000455CD"/>
    <w:rsid w:val="00047E58"/>
    <w:rsid w:val="000648DE"/>
    <w:rsid w:val="0007234A"/>
    <w:rsid w:val="00073D20"/>
    <w:rsid w:val="000755E1"/>
    <w:rsid w:val="000800AD"/>
    <w:rsid w:val="00084643"/>
    <w:rsid w:val="00084713"/>
    <w:rsid w:val="00085541"/>
    <w:rsid w:val="00093063"/>
    <w:rsid w:val="000A34CE"/>
    <w:rsid w:val="000A3CBB"/>
    <w:rsid w:val="000C3604"/>
    <w:rsid w:val="000C4A01"/>
    <w:rsid w:val="000C65E4"/>
    <w:rsid w:val="000C6D6C"/>
    <w:rsid w:val="000D346D"/>
    <w:rsid w:val="000D42D9"/>
    <w:rsid w:val="000E2FAB"/>
    <w:rsid w:val="000E3B48"/>
    <w:rsid w:val="000E507B"/>
    <w:rsid w:val="000E7D76"/>
    <w:rsid w:val="00101233"/>
    <w:rsid w:val="00101CFD"/>
    <w:rsid w:val="00106B72"/>
    <w:rsid w:val="00112397"/>
    <w:rsid w:val="001150A8"/>
    <w:rsid w:val="001150C5"/>
    <w:rsid w:val="0011750D"/>
    <w:rsid w:val="00125DC9"/>
    <w:rsid w:val="00131CFE"/>
    <w:rsid w:val="001373F5"/>
    <w:rsid w:val="001412DE"/>
    <w:rsid w:val="00144278"/>
    <w:rsid w:val="00144A4D"/>
    <w:rsid w:val="00151351"/>
    <w:rsid w:val="00161BE0"/>
    <w:rsid w:val="00165A76"/>
    <w:rsid w:val="00174B39"/>
    <w:rsid w:val="00180108"/>
    <w:rsid w:val="001839F4"/>
    <w:rsid w:val="001871C9"/>
    <w:rsid w:val="00192A0E"/>
    <w:rsid w:val="001A1992"/>
    <w:rsid w:val="001A36AE"/>
    <w:rsid w:val="001A431C"/>
    <w:rsid w:val="001B2F76"/>
    <w:rsid w:val="001C4180"/>
    <w:rsid w:val="001D00B5"/>
    <w:rsid w:val="001D0FC4"/>
    <w:rsid w:val="001D14A0"/>
    <w:rsid w:val="001D2163"/>
    <w:rsid w:val="001D3B29"/>
    <w:rsid w:val="001D59C8"/>
    <w:rsid w:val="001D7588"/>
    <w:rsid w:val="001E4EEB"/>
    <w:rsid w:val="001E6026"/>
    <w:rsid w:val="001F3696"/>
    <w:rsid w:val="001F37CA"/>
    <w:rsid w:val="001F4EAF"/>
    <w:rsid w:val="001F5A4C"/>
    <w:rsid w:val="00204B37"/>
    <w:rsid w:val="0021084F"/>
    <w:rsid w:val="002119C5"/>
    <w:rsid w:val="00214510"/>
    <w:rsid w:val="00225138"/>
    <w:rsid w:val="0022638C"/>
    <w:rsid w:val="00226DD8"/>
    <w:rsid w:val="00237E43"/>
    <w:rsid w:val="00240E3A"/>
    <w:rsid w:val="00251C9B"/>
    <w:rsid w:val="00260E1E"/>
    <w:rsid w:val="0027198B"/>
    <w:rsid w:val="00273FCC"/>
    <w:rsid w:val="00282679"/>
    <w:rsid w:val="00286607"/>
    <w:rsid w:val="00286C0C"/>
    <w:rsid w:val="00287EA0"/>
    <w:rsid w:val="00290D5F"/>
    <w:rsid w:val="00291CBB"/>
    <w:rsid w:val="00292DE8"/>
    <w:rsid w:val="002938F2"/>
    <w:rsid w:val="002B066B"/>
    <w:rsid w:val="002B7155"/>
    <w:rsid w:val="002C2E6B"/>
    <w:rsid w:val="002C5280"/>
    <w:rsid w:val="002D396D"/>
    <w:rsid w:val="002E44CF"/>
    <w:rsid w:val="002E79D3"/>
    <w:rsid w:val="003100C6"/>
    <w:rsid w:val="00315834"/>
    <w:rsid w:val="00320B39"/>
    <w:rsid w:val="00323D95"/>
    <w:rsid w:val="00325538"/>
    <w:rsid w:val="00325BC7"/>
    <w:rsid w:val="00330EEA"/>
    <w:rsid w:val="00333913"/>
    <w:rsid w:val="0034060E"/>
    <w:rsid w:val="003409D3"/>
    <w:rsid w:val="003430CB"/>
    <w:rsid w:val="00343B50"/>
    <w:rsid w:val="00346C5A"/>
    <w:rsid w:val="00355398"/>
    <w:rsid w:val="0035648A"/>
    <w:rsid w:val="00361888"/>
    <w:rsid w:val="00363995"/>
    <w:rsid w:val="003818C3"/>
    <w:rsid w:val="0038749E"/>
    <w:rsid w:val="0039446E"/>
    <w:rsid w:val="003969D0"/>
    <w:rsid w:val="00396F3A"/>
    <w:rsid w:val="003C4A7B"/>
    <w:rsid w:val="003C5341"/>
    <w:rsid w:val="003C7065"/>
    <w:rsid w:val="003D527D"/>
    <w:rsid w:val="003F488D"/>
    <w:rsid w:val="003F67FB"/>
    <w:rsid w:val="00404082"/>
    <w:rsid w:val="00404BB0"/>
    <w:rsid w:val="00410107"/>
    <w:rsid w:val="004108B6"/>
    <w:rsid w:val="004136BD"/>
    <w:rsid w:val="004176FC"/>
    <w:rsid w:val="00417D38"/>
    <w:rsid w:val="00434773"/>
    <w:rsid w:val="00447C66"/>
    <w:rsid w:val="00450442"/>
    <w:rsid w:val="00455F1B"/>
    <w:rsid w:val="0045625C"/>
    <w:rsid w:val="004665BA"/>
    <w:rsid w:val="004700F2"/>
    <w:rsid w:val="00471B34"/>
    <w:rsid w:val="00477EE6"/>
    <w:rsid w:val="00480ADB"/>
    <w:rsid w:val="004811E3"/>
    <w:rsid w:val="0048398C"/>
    <w:rsid w:val="00486141"/>
    <w:rsid w:val="00486D50"/>
    <w:rsid w:val="004944E6"/>
    <w:rsid w:val="004A04D4"/>
    <w:rsid w:val="004A5722"/>
    <w:rsid w:val="004A73DF"/>
    <w:rsid w:val="004B4BAC"/>
    <w:rsid w:val="004C6463"/>
    <w:rsid w:val="004D5A69"/>
    <w:rsid w:val="004D7E65"/>
    <w:rsid w:val="004E056C"/>
    <w:rsid w:val="004E2817"/>
    <w:rsid w:val="004E35CD"/>
    <w:rsid w:val="004F00EC"/>
    <w:rsid w:val="004F0E6C"/>
    <w:rsid w:val="004F5403"/>
    <w:rsid w:val="00500954"/>
    <w:rsid w:val="005016FB"/>
    <w:rsid w:val="00503E5D"/>
    <w:rsid w:val="0050430B"/>
    <w:rsid w:val="00511D17"/>
    <w:rsid w:val="0051699F"/>
    <w:rsid w:val="00524D77"/>
    <w:rsid w:val="005414A1"/>
    <w:rsid w:val="00552FE1"/>
    <w:rsid w:val="00555734"/>
    <w:rsid w:val="00570FAD"/>
    <w:rsid w:val="00584908"/>
    <w:rsid w:val="005908B4"/>
    <w:rsid w:val="00597FF2"/>
    <w:rsid w:val="005A4643"/>
    <w:rsid w:val="005A72B5"/>
    <w:rsid w:val="005B605E"/>
    <w:rsid w:val="005B7E1E"/>
    <w:rsid w:val="005C0660"/>
    <w:rsid w:val="005C0CA5"/>
    <w:rsid w:val="005C44B9"/>
    <w:rsid w:val="005C64AC"/>
    <w:rsid w:val="005E15B1"/>
    <w:rsid w:val="005F6FBE"/>
    <w:rsid w:val="00600D1E"/>
    <w:rsid w:val="00601DD6"/>
    <w:rsid w:val="00603F71"/>
    <w:rsid w:val="0061046D"/>
    <w:rsid w:val="00621AEA"/>
    <w:rsid w:val="00631C3B"/>
    <w:rsid w:val="0063668D"/>
    <w:rsid w:val="00636760"/>
    <w:rsid w:val="006477EE"/>
    <w:rsid w:val="006515C9"/>
    <w:rsid w:val="00652318"/>
    <w:rsid w:val="00656517"/>
    <w:rsid w:val="00656539"/>
    <w:rsid w:val="0067005F"/>
    <w:rsid w:val="00672BE1"/>
    <w:rsid w:val="00673B0E"/>
    <w:rsid w:val="00676DF9"/>
    <w:rsid w:val="00681F02"/>
    <w:rsid w:val="006865E9"/>
    <w:rsid w:val="00693F84"/>
    <w:rsid w:val="00693FA2"/>
    <w:rsid w:val="00695786"/>
    <w:rsid w:val="006A0D86"/>
    <w:rsid w:val="006A1BA1"/>
    <w:rsid w:val="006A1EE1"/>
    <w:rsid w:val="006A43F1"/>
    <w:rsid w:val="006B1967"/>
    <w:rsid w:val="006B234F"/>
    <w:rsid w:val="006B7965"/>
    <w:rsid w:val="006C0911"/>
    <w:rsid w:val="006D117B"/>
    <w:rsid w:val="006D46FB"/>
    <w:rsid w:val="006D5A7B"/>
    <w:rsid w:val="006E0729"/>
    <w:rsid w:val="006E32E1"/>
    <w:rsid w:val="006E6838"/>
    <w:rsid w:val="006F4731"/>
    <w:rsid w:val="006F7862"/>
    <w:rsid w:val="007002FC"/>
    <w:rsid w:val="00716846"/>
    <w:rsid w:val="00717994"/>
    <w:rsid w:val="00723785"/>
    <w:rsid w:val="007250E3"/>
    <w:rsid w:val="00730937"/>
    <w:rsid w:val="00741B75"/>
    <w:rsid w:val="00742972"/>
    <w:rsid w:val="007432C0"/>
    <w:rsid w:val="00746204"/>
    <w:rsid w:val="007472D8"/>
    <w:rsid w:val="00747715"/>
    <w:rsid w:val="00750138"/>
    <w:rsid w:val="0075148D"/>
    <w:rsid w:val="00753DA3"/>
    <w:rsid w:val="0075552D"/>
    <w:rsid w:val="00764F50"/>
    <w:rsid w:val="00766165"/>
    <w:rsid w:val="0076675D"/>
    <w:rsid w:val="00770A92"/>
    <w:rsid w:val="00785737"/>
    <w:rsid w:val="007860DB"/>
    <w:rsid w:val="00790C65"/>
    <w:rsid w:val="00792183"/>
    <w:rsid w:val="0079717B"/>
    <w:rsid w:val="007A1845"/>
    <w:rsid w:val="007A6715"/>
    <w:rsid w:val="007A7D45"/>
    <w:rsid w:val="007B43F7"/>
    <w:rsid w:val="007C172B"/>
    <w:rsid w:val="007C1B00"/>
    <w:rsid w:val="007D2C21"/>
    <w:rsid w:val="007D31CE"/>
    <w:rsid w:val="007D58D8"/>
    <w:rsid w:val="007D5BB7"/>
    <w:rsid w:val="007D626D"/>
    <w:rsid w:val="007E0621"/>
    <w:rsid w:val="007E4E37"/>
    <w:rsid w:val="007F3C3B"/>
    <w:rsid w:val="007F4B07"/>
    <w:rsid w:val="00803E43"/>
    <w:rsid w:val="00805C1B"/>
    <w:rsid w:val="008060EE"/>
    <w:rsid w:val="0080722B"/>
    <w:rsid w:val="00817A85"/>
    <w:rsid w:val="0083488D"/>
    <w:rsid w:val="00835A80"/>
    <w:rsid w:val="00843B71"/>
    <w:rsid w:val="008466C3"/>
    <w:rsid w:val="00851458"/>
    <w:rsid w:val="00861A47"/>
    <w:rsid w:val="00863018"/>
    <w:rsid w:val="008707FF"/>
    <w:rsid w:val="00870B0D"/>
    <w:rsid w:val="008724E5"/>
    <w:rsid w:val="008846C0"/>
    <w:rsid w:val="00885ED5"/>
    <w:rsid w:val="00886D5F"/>
    <w:rsid w:val="00892FCC"/>
    <w:rsid w:val="00896195"/>
    <w:rsid w:val="008B6351"/>
    <w:rsid w:val="008B7346"/>
    <w:rsid w:val="008C27EE"/>
    <w:rsid w:val="008C30EA"/>
    <w:rsid w:val="008C4EB5"/>
    <w:rsid w:val="008C5ECC"/>
    <w:rsid w:val="008D3BF7"/>
    <w:rsid w:val="008D7E29"/>
    <w:rsid w:val="008F02BA"/>
    <w:rsid w:val="008F16C6"/>
    <w:rsid w:val="008F34A1"/>
    <w:rsid w:val="00904A6A"/>
    <w:rsid w:val="009121CE"/>
    <w:rsid w:val="009127D8"/>
    <w:rsid w:val="00913A0A"/>
    <w:rsid w:val="00917315"/>
    <w:rsid w:val="00917E1D"/>
    <w:rsid w:val="00921F65"/>
    <w:rsid w:val="00940104"/>
    <w:rsid w:val="00941DE0"/>
    <w:rsid w:val="00947F97"/>
    <w:rsid w:val="00953B5B"/>
    <w:rsid w:val="00953FA9"/>
    <w:rsid w:val="0096682A"/>
    <w:rsid w:val="0097349C"/>
    <w:rsid w:val="00973521"/>
    <w:rsid w:val="009748D2"/>
    <w:rsid w:val="009807E7"/>
    <w:rsid w:val="009952ED"/>
    <w:rsid w:val="0099582B"/>
    <w:rsid w:val="009A235B"/>
    <w:rsid w:val="009A77C1"/>
    <w:rsid w:val="009B4F53"/>
    <w:rsid w:val="009D15FD"/>
    <w:rsid w:val="009D4547"/>
    <w:rsid w:val="009D5E38"/>
    <w:rsid w:val="009E03EC"/>
    <w:rsid w:val="009E2BA9"/>
    <w:rsid w:val="009F34A4"/>
    <w:rsid w:val="009F3988"/>
    <w:rsid w:val="00A00D55"/>
    <w:rsid w:val="00A150C7"/>
    <w:rsid w:val="00A235F6"/>
    <w:rsid w:val="00A26096"/>
    <w:rsid w:val="00A37C85"/>
    <w:rsid w:val="00A4166E"/>
    <w:rsid w:val="00A41C25"/>
    <w:rsid w:val="00A50DA1"/>
    <w:rsid w:val="00A519A2"/>
    <w:rsid w:val="00A52100"/>
    <w:rsid w:val="00A70883"/>
    <w:rsid w:val="00A7716A"/>
    <w:rsid w:val="00A77AEB"/>
    <w:rsid w:val="00A86042"/>
    <w:rsid w:val="00A87743"/>
    <w:rsid w:val="00A95BD1"/>
    <w:rsid w:val="00AA1A7B"/>
    <w:rsid w:val="00AA444A"/>
    <w:rsid w:val="00AB1528"/>
    <w:rsid w:val="00AB649A"/>
    <w:rsid w:val="00AC0572"/>
    <w:rsid w:val="00AD09DB"/>
    <w:rsid w:val="00AE1AA6"/>
    <w:rsid w:val="00AE1B18"/>
    <w:rsid w:val="00AF00E2"/>
    <w:rsid w:val="00AF1C32"/>
    <w:rsid w:val="00B00F23"/>
    <w:rsid w:val="00B014E6"/>
    <w:rsid w:val="00B11AE3"/>
    <w:rsid w:val="00B30324"/>
    <w:rsid w:val="00B34306"/>
    <w:rsid w:val="00B355D4"/>
    <w:rsid w:val="00B410AC"/>
    <w:rsid w:val="00B42541"/>
    <w:rsid w:val="00B46B82"/>
    <w:rsid w:val="00B50BCF"/>
    <w:rsid w:val="00B524E0"/>
    <w:rsid w:val="00B6167A"/>
    <w:rsid w:val="00B6401A"/>
    <w:rsid w:val="00B66515"/>
    <w:rsid w:val="00B66DAC"/>
    <w:rsid w:val="00B7054F"/>
    <w:rsid w:val="00B72C75"/>
    <w:rsid w:val="00B96A90"/>
    <w:rsid w:val="00B973B5"/>
    <w:rsid w:val="00BA06B8"/>
    <w:rsid w:val="00BA34EA"/>
    <w:rsid w:val="00BB1831"/>
    <w:rsid w:val="00BB2F06"/>
    <w:rsid w:val="00BC4BCB"/>
    <w:rsid w:val="00BC7E7F"/>
    <w:rsid w:val="00BD59BD"/>
    <w:rsid w:val="00BD68F0"/>
    <w:rsid w:val="00C00ED2"/>
    <w:rsid w:val="00C128AC"/>
    <w:rsid w:val="00C22908"/>
    <w:rsid w:val="00C231CB"/>
    <w:rsid w:val="00C2382E"/>
    <w:rsid w:val="00C262AD"/>
    <w:rsid w:val="00C26EE2"/>
    <w:rsid w:val="00C34458"/>
    <w:rsid w:val="00C3546D"/>
    <w:rsid w:val="00C5044B"/>
    <w:rsid w:val="00C54547"/>
    <w:rsid w:val="00C563AC"/>
    <w:rsid w:val="00C56E97"/>
    <w:rsid w:val="00C56FAA"/>
    <w:rsid w:val="00C612F4"/>
    <w:rsid w:val="00C62AC0"/>
    <w:rsid w:val="00C6478B"/>
    <w:rsid w:val="00C70549"/>
    <w:rsid w:val="00C71B47"/>
    <w:rsid w:val="00C7215F"/>
    <w:rsid w:val="00C81194"/>
    <w:rsid w:val="00C81439"/>
    <w:rsid w:val="00C93DB5"/>
    <w:rsid w:val="00CA078D"/>
    <w:rsid w:val="00CA35B7"/>
    <w:rsid w:val="00CA6FEF"/>
    <w:rsid w:val="00CB0DCC"/>
    <w:rsid w:val="00CB0F37"/>
    <w:rsid w:val="00CB500D"/>
    <w:rsid w:val="00CB644A"/>
    <w:rsid w:val="00CB79CF"/>
    <w:rsid w:val="00CC2BC6"/>
    <w:rsid w:val="00CC3E25"/>
    <w:rsid w:val="00CC4364"/>
    <w:rsid w:val="00CC7BA2"/>
    <w:rsid w:val="00CD78C5"/>
    <w:rsid w:val="00CE2586"/>
    <w:rsid w:val="00CE3162"/>
    <w:rsid w:val="00CE508A"/>
    <w:rsid w:val="00CF56DC"/>
    <w:rsid w:val="00D0014D"/>
    <w:rsid w:val="00D1191F"/>
    <w:rsid w:val="00D156D1"/>
    <w:rsid w:val="00D17602"/>
    <w:rsid w:val="00D20EDA"/>
    <w:rsid w:val="00D22FFD"/>
    <w:rsid w:val="00D23B0D"/>
    <w:rsid w:val="00D240E8"/>
    <w:rsid w:val="00D250D5"/>
    <w:rsid w:val="00D35290"/>
    <w:rsid w:val="00D404B7"/>
    <w:rsid w:val="00D447EC"/>
    <w:rsid w:val="00D56318"/>
    <w:rsid w:val="00D645E1"/>
    <w:rsid w:val="00D65CBF"/>
    <w:rsid w:val="00D67886"/>
    <w:rsid w:val="00D70C3C"/>
    <w:rsid w:val="00D746B6"/>
    <w:rsid w:val="00D77B35"/>
    <w:rsid w:val="00D809E5"/>
    <w:rsid w:val="00D81948"/>
    <w:rsid w:val="00D8663F"/>
    <w:rsid w:val="00D916D8"/>
    <w:rsid w:val="00D9501F"/>
    <w:rsid w:val="00DA202F"/>
    <w:rsid w:val="00DA53F3"/>
    <w:rsid w:val="00DA743A"/>
    <w:rsid w:val="00DB47DE"/>
    <w:rsid w:val="00DB50D5"/>
    <w:rsid w:val="00DB52A6"/>
    <w:rsid w:val="00DE7675"/>
    <w:rsid w:val="00DF3DA3"/>
    <w:rsid w:val="00DF54B3"/>
    <w:rsid w:val="00E06A00"/>
    <w:rsid w:val="00E11FC4"/>
    <w:rsid w:val="00E158FF"/>
    <w:rsid w:val="00E17562"/>
    <w:rsid w:val="00E22B99"/>
    <w:rsid w:val="00E258D9"/>
    <w:rsid w:val="00E26722"/>
    <w:rsid w:val="00E34635"/>
    <w:rsid w:val="00E3488C"/>
    <w:rsid w:val="00E35410"/>
    <w:rsid w:val="00E37B70"/>
    <w:rsid w:val="00E4242B"/>
    <w:rsid w:val="00E439CA"/>
    <w:rsid w:val="00E43DAE"/>
    <w:rsid w:val="00E45A3D"/>
    <w:rsid w:val="00E46CF9"/>
    <w:rsid w:val="00E5219B"/>
    <w:rsid w:val="00E61669"/>
    <w:rsid w:val="00E668F9"/>
    <w:rsid w:val="00E67E3D"/>
    <w:rsid w:val="00E70AED"/>
    <w:rsid w:val="00E7143C"/>
    <w:rsid w:val="00E824FB"/>
    <w:rsid w:val="00E8455A"/>
    <w:rsid w:val="00E852FB"/>
    <w:rsid w:val="00E91AB3"/>
    <w:rsid w:val="00EA060A"/>
    <w:rsid w:val="00EA198F"/>
    <w:rsid w:val="00EB5D77"/>
    <w:rsid w:val="00EB7EF0"/>
    <w:rsid w:val="00EC09FD"/>
    <w:rsid w:val="00EC3C88"/>
    <w:rsid w:val="00ED0EB0"/>
    <w:rsid w:val="00ED27E8"/>
    <w:rsid w:val="00ED5986"/>
    <w:rsid w:val="00EF0BCB"/>
    <w:rsid w:val="00EF0E74"/>
    <w:rsid w:val="00F00E8A"/>
    <w:rsid w:val="00F05D28"/>
    <w:rsid w:val="00F06F30"/>
    <w:rsid w:val="00F12841"/>
    <w:rsid w:val="00F31AEC"/>
    <w:rsid w:val="00F33650"/>
    <w:rsid w:val="00F34950"/>
    <w:rsid w:val="00F3520E"/>
    <w:rsid w:val="00F4192F"/>
    <w:rsid w:val="00F473CB"/>
    <w:rsid w:val="00F50245"/>
    <w:rsid w:val="00F5640C"/>
    <w:rsid w:val="00F61B6E"/>
    <w:rsid w:val="00F63DDA"/>
    <w:rsid w:val="00F64F9E"/>
    <w:rsid w:val="00F679D0"/>
    <w:rsid w:val="00F70858"/>
    <w:rsid w:val="00F7397F"/>
    <w:rsid w:val="00F75949"/>
    <w:rsid w:val="00F75CF4"/>
    <w:rsid w:val="00F822AF"/>
    <w:rsid w:val="00F85524"/>
    <w:rsid w:val="00F87635"/>
    <w:rsid w:val="00F941F0"/>
    <w:rsid w:val="00F94903"/>
    <w:rsid w:val="00F9678E"/>
    <w:rsid w:val="00FA09A2"/>
    <w:rsid w:val="00FA36E3"/>
    <w:rsid w:val="00FB33BC"/>
    <w:rsid w:val="00FD4226"/>
    <w:rsid w:val="00FD67DB"/>
    <w:rsid w:val="00FE7D93"/>
    <w:rsid w:val="00FF0B98"/>
    <w:rsid w:val="00FF2B1D"/>
    <w:rsid w:val="00FF3A7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rsid w:val="00B11AE3"/>
    <w:rPr>
      <w:sz w:val="16"/>
      <w:szCs w:val="16"/>
    </w:rPr>
  </w:style>
  <w:style w:type="paragraph" w:styleId="Commentaire">
    <w:name w:val="annotation text"/>
    <w:basedOn w:val="Normal"/>
    <w:link w:val="CommentaireCar"/>
    <w:rsid w:val="00B11AE3"/>
    <w:rPr>
      <w:sz w:val="20"/>
      <w:szCs w:val="20"/>
    </w:rPr>
  </w:style>
  <w:style w:type="character" w:customStyle="1" w:styleId="CommentaireCar">
    <w:name w:val="Commentaire Car"/>
    <w:link w:val="Commentaire"/>
    <w:rsid w:val="00B11AE3"/>
    <w:rPr>
      <w:rFonts w:ascii="Times New Roman" w:eastAsia="Times New Roman" w:hAnsi="Times New Roman"/>
      <w:lang w:val="fr-FR"/>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auNormal"/>
    <w:next w:val="Grilledutableau"/>
    <w:uiPriority w:val="59"/>
    <w:rsid w:val="00A00D5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eastAsia="en-US"/>
    </w:rPr>
  </w:style>
  <w:style w:type="character" w:styleId="Lienhypertexte">
    <w:name w:val="Hyperlink"/>
    <w:aliases w:val=" Car Car3 Char, Car Car3 Char Char Char Char"/>
    <w:link w:val="CarCar3"/>
    <w:unhideWhenUsed/>
    <w:rsid w:val="005908B4"/>
    <w:rPr>
      <w:color w:val="0000FF"/>
      <w:u w:val="single"/>
    </w:rPr>
  </w:style>
  <w:style w:type="paragraph" w:styleId="Notedebasdepage">
    <w:name w:val="footnote text"/>
    <w:basedOn w:val="Normal"/>
    <w:link w:val="NotedebasdepageCar"/>
    <w:uiPriority w:val="99"/>
    <w:semiHidden/>
    <w:unhideWhenUsed/>
    <w:rsid w:val="005908B4"/>
    <w:pPr>
      <w:spacing w:after="0"/>
    </w:pPr>
    <w:rPr>
      <w:sz w:val="20"/>
      <w:szCs w:val="20"/>
    </w:rPr>
  </w:style>
  <w:style w:type="character" w:customStyle="1" w:styleId="NotedebasdepageCar">
    <w:name w:val="Note de bas de page Car"/>
    <w:basedOn w:val="Policepardfaut"/>
    <w:link w:val="Notedebasdepage"/>
    <w:uiPriority w:val="99"/>
    <w:semiHidden/>
    <w:rsid w:val="005908B4"/>
    <w:rPr>
      <w:rFonts w:ascii="Times New Roman" w:eastAsia="Times New Roman" w:hAnsi="Times New Roman"/>
    </w:rPr>
  </w:style>
  <w:style w:type="character" w:styleId="Appelnotedebasdep">
    <w:name w:val="footnote reference"/>
    <w:basedOn w:val="Policepardfau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eastAsia="en-US"/>
    </w:rPr>
  </w:style>
  <w:style w:type="paragraph" w:styleId="Paragraphedeliste">
    <w:name w:val="List Paragraph"/>
    <w:basedOn w:val="Normal"/>
    <w:uiPriority w:val="34"/>
    <w:qFormat/>
    <w:rsid w:val="005908B4"/>
    <w:pPr>
      <w:ind w:left="720"/>
      <w:contextualSpacing/>
    </w:pPr>
  </w:style>
  <w:style w:type="paragraph" w:customStyle="1" w:styleId="COMParaDecision">
    <w:name w:val="COM Para Decision"/>
    <w:basedOn w:val="Normal"/>
    <w:qFormat/>
    <w:rsid w:val="00B34306"/>
    <w:pPr>
      <w:numPr>
        <w:numId w:val="12"/>
      </w:numPr>
      <w:autoSpaceDE w:val="0"/>
      <w:autoSpaceDN w:val="0"/>
      <w:adjustRightInd w:val="0"/>
      <w:jc w:val="both"/>
    </w:pPr>
    <w:rPr>
      <w:rFonts w:ascii="Arial" w:eastAsia="SimSun" w:hAnsi="Arial" w:cs="Arial"/>
      <w:szCs w:val="22"/>
    </w:rPr>
  </w:style>
  <w:style w:type="character" w:styleId="Lienhypertextesuivivisit">
    <w:name w:val="FollowedHyperlink"/>
    <w:basedOn w:val="Policepardfaut"/>
    <w:semiHidden/>
    <w:unhideWhenUsed/>
    <w:rsid w:val="001D2163"/>
    <w:rPr>
      <w:color w:val="800080" w:themeColor="followedHyperlink"/>
      <w:u w:val="single"/>
    </w:rPr>
  </w:style>
  <w:style w:type="character" w:styleId="Mentionnonrsolue">
    <w:name w:val="Unresolved Mention"/>
    <w:basedOn w:val="Policepardfaut"/>
    <w:uiPriority w:val="99"/>
    <w:semiHidden/>
    <w:unhideWhenUsed/>
    <w:rsid w:val="00131CFE"/>
    <w:rPr>
      <w:color w:val="605E5C"/>
      <w:shd w:val="clear" w:color="auto" w:fill="E1DFDD"/>
    </w:rPr>
  </w:style>
  <w:style w:type="character" w:customStyle="1" w:styleId="hps">
    <w:name w:val="hps"/>
    <w:rsid w:val="00B46B82"/>
  </w:style>
  <w:style w:type="paragraph" w:customStyle="1" w:styleId="CarCar3">
    <w:name w:val="Car Car3"/>
    <w:aliases w:val=" Car Car3 Char Char"/>
    <w:basedOn w:val="Normal"/>
    <w:link w:val="Lienhypertexte"/>
    <w:rsid w:val="00A37C85"/>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rPr>
  </w:style>
  <w:style w:type="paragraph" w:styleId="Rvision">
    <w:name w:val="Revision"/>
    <w:hidden/>
    <w:semiHidden/>
    <w:rsid w:val="00C62AC0"/>
    <w:rPr>
      <w:rFonts w:ascii="Times New Roman" w:eastAsia="Times New Roman" w:hAnsi="Times New Roman"/>
      <w:sz w:val="22"/>
      <w:szCs w:val="24"/>
    </w:rPr>
  </w:style>
  <w:style w:type="paragraph" w:customStyle="1" w:styleId="Annexe">
    <w:name w:val="Annexe"/>
    <w:basedOn w:val="Sansinterligne2"/>
    <w:qFormat/>
    <w:rsid w:val="00503E5D"/>
    <w:pPr>
      <w:spacing w:after="24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08464">
      <w:bodyDiv w:val="1"/>
      <w:marLeft w:val="0"/>
      <w:marRight w:val="0"/>
      <w:marTop w:val="0"/>
      <w:marBottom w:val="0"/>
      <w:divBdr>
        <w:top w:val="none" w:sz="0" w:space="0" w:color="auto"/>
        <w:left w:val="none" w:sz="0" w:space="0" w:color="auto"/>
        <w:bottom w:val="none" w:sz="0" w:space="0" w:color="auto"/>
        <w:right w:val="none" w:sz="0" w:space="0" w:color="auto"/>
      </w:divBdr>
    </w:div>
    <w:div w:id="1757052485">
      <w:bodyDiv w:val="1"/>
      <w:marLeft w:val="0"/>
      <w:marRight w:val="0"/>
      <w:marTop w:val="0"/>
      <w:marBottom w:val="0"/>
      <w:divBdr>
        <w:top w:val="none" w:sz="0" w:space="0" w:color="auto"/>
        <w:left w:val="none" w:sz="0" w:space="0" w:color="auto"/>
        <w:bottom w:val="none" w:sz="0" w:space="0" w:color="auto"/>
        <w:right w:val="none" w:sz="0" w:space="0" w:color="auto"/>
      </w:divBdr>
    </w:div>
    <w:div w:id="1830779572">
      <w:bodyDiv w:val="1"/>
      <w:marLeft w:val="0"/>
      <w:marRight w:val="0"/>
      <w:marTop w:val="0"/>
      <w:marBottom w:val="0"/>
      <w:divBdr>
        <w:top w:val="none" w:sz="0" w:space="0" w:color="auto"/>
        <w:left w:val="none" w:sz="0" w:space="0" w:color="auto"/>
        <w:bottom w:val="none" w:sz="0" w:space="0" w:color="auto"/>
        <w:right w:val="none" w:sz="0" w:space="0" w:color="auto"/>
      </w:divBdr>
      <w:divsChild>
        <w:div w:id="724719374">
          <w:marLeft w:val="0"/>
          <w:marRight w:val="0"/>
          <w:marTop w:val="0"/>
          <w:marBottom w:val="0"/>
          <w:divBdr>
            <w:top w:val="none" w:sz="0" w:space="0" w:color="auto"/>
            <w:left w:val="none" w:sz="0" w:space="0" w:color="auto"/>
            <w:bottom w:val="none" w:sz="0" w:space="0" w:color="auto"/>
            <w:right w:val="none" w:sz="0" w:space="0" w:color="auto"/>
          </w:divBdr>
        </w:div>
        <w:div w:id="1694381284">
          <w:marLeft w:val="0"/>
          <w:marRight w:val="0"/>
          <w:marTop w:val="0"/>
          <w:marBottom w:val="0"/>
          <w:divBdr>
            <w:top w:val="none" w:sz="0" w:space="0" w:color="auto"/>
            <w:left w:val="none" w:sz="0" w:space="0" w:color="auto"/>
            <w:bottom w:val="none" w:sz="0" w:space="0" w:color="auto"/>
            <w:right w:val="none" w:sz="0" w:space="0" w:color="auto"/>
          </w:divBdr>
        </w:div>
        <w:div w:id="949775295">
          <w:marLeft w:val="0"/>
          <w:marRight w:val="0"/>
          <w:marTop w:val="0"/>
          <w:marBottom w:val="0"/>
          <w:divBdr>
            <w:top w:val="none" w:sz="0" w:space="0" w:color="auto"/>
            <w:left w:val="none" w:sz="0" w:space="0" w:color="auto"/>
            <w:bottom w:val="none" w:sz="0" w:space="0" w:color="auto"/>
            <w:right w:val="none" w:sz="0" w:space="0" w:color="auto"/>
          </w:divBdr>
        </w:div>
        <w:div w:id="863515527">
          <w:marLeft w:val="0"/>
          <w:marRight w:val="0"/>
          <w:marTop w:val="0"/>
          <w:marBottom w:val="0"/>
          <w:divBdr>
            <w:top w:val="none" w:sz="0" w:space="0" w:color="auto"/>
            <w:left w:val="none" w:sz="0" w:space="0" w:color="auto"/>
            <w:bottom w:val="none" w:sz="0" w:space="0" w:color="auto"/>
            <w:right w:val="none" w:sz="0" w:space="0" w:color="auto"/>
          </w:divBdr>
        </w:div>
        <w:div w:id="1704095364">
          <w:marLeft w:val="0"/>
          <w:marRight w:val="0"/>
          <w:marTop w:val="0"/>
          <w:marBottom w:val="0"/>
          <w:divBdr>
            <w:top w:val="none" w:sz="0" w:space="0" w:color="auto"/>
            <w:left w:val="none" w:sz="0" w:space="0" w:color="auto"/>
            <w:bottom w:val="none" w:sz="0" w:space="0" w:color="auto"/>
            <w:right w:val="none" w:sz="0" w:space="0" w:color="auto"/>
          </w:divBdr>
        </w:div>
        <w:div w:id="1740594977">
          <w:marLeft w:val="0"/>
          <w:marRight w:val="0"/>
          <w:marTop w:val="0"/>
          <w:marBottom w:val="0"/>
          <w:divBdr>
            <w:top w:val="none" w:sz="0" w:space="0" w:color="auto"/>
            <w:left w:val="none" w:sz="0" w:space="0" w:color="auto"/>
            <w:bottom w:val="none" w:sz="0" w:space="0" w:color="auto"/>
            <w:right w:val="none" w:sz="0" w:space="0" w:color="auto"/>
          </w:divBdr>
        </w:div>
        <w:div w:id="260066398">
          <w:marLeft w:val="0"/>
          <w:marRight w:val="0"/>
          <w:marTop w:val="0"/>
          <w:marBottom w:val="0"/>
          <w:divBdr>
            <w:top w:val="none" w:sz="0" w:space="0" w:color="auto"/>
            <w:left w:val="none" w:sz="0" w:space="0" w:color="auto"/>
            <w:bottom w:val="none" w:sz="0" w:space="0" w:color="auto"/>
            <w:right w:val="none" w:sz="0" w:space="0" w:color="auto"/>
          </w:divBdr>
        </w:div>
        <w:div w:id="1110859422">
          <w:marLeft w:val="0"/>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3.COM/6?dec=decisions&amp;ref_decision=13.COM" TargetMode="External"/><Relationship Id="rId13" Type="http://schemas.openxmlformats.org/officeDocument/2006/relationships/hyperlink" Target="https://ich.unesco.org/fr/reflexion-globale-sur-les-mecanismes-dinscription-sur-les-listes-01164" TargetMode="External"/><Relationship Id="rId18" Type="http://schemas.openxmlformats.org/officeDocument/2006/relationships/hyperlink" Target="https://ich.unesco.org/fr/Resolutions/8.GA/11" TargetMode="External"/><Relationship Id="rId26" Type="http://schemas.openxmlformats.org/officeDocument/2006/relationships/hyperlink" Target="https://ich.unesco.org/doc/src/LHE-21-EXP-3_Rev.-FR.doc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ch.unesco.org/doc/src/LHE-21-EXP-INF.2-EN.pdf" TargetMode="External"/><Relationship Id="rId34" Type="http://schemas.openxmlformats.org/officeDocument/2006/relationships/hyperlink" Target="https://ich.unesco.org/fr/D%C3%A9cisions/12.COM/14"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ch.unesco.org/fr/decisions/13.COM/10?dec=decisions&amp;ref_decision=13.COM" TargetMode="External"/><Relationship Id="rId17" Type="http://schemas.openxmlformats.org/officeDocument/2006/relationships/hyperlink" Target="https://ich.unesco.org/fr/Decisions/14.COM/14" TargetMode="External"/><Relationship Id="rId25" Type="http://schemas.openxmlformats.org/officeDocument/2006/relationships/hyperlink" Target="https://ich.unesco.org/fr/reunion-dexperts-en-ligne-categorie-vi-01165" TargetMode="External"/><Relationship Id="rId33" Type="http://schemas.openxmlformats.org/officeDocument/2006/relationships/hyperlink" Target="https://ich.unesco.org/fr/D%C3%A9cisions/12.COM/11"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ch.unesco.org/doc/src/LHE-19-14.COM-14-FR.docx" TargetMode="External"/><Relationship Id="rId20" Type="http://schemas.openxmlformats.org/officeDocument/2006/relationships/hyperlink" Target="https://ich.unesco.org/fr/resolutions/8.GA/10?dec=resolutions&amp;ref_decision=8.GA" TargetMode="External"/><Relationship Id="rId29" Type="http://schemas.openxmlformats.org/officeDocument/2006/relationships/hyperlink" Target="https://ich.unesco.org/doc/src/LHE-21-16.COM_WG-3-FR.docx"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3.COM/6?dec=decisions&amp;ref_decision=13.COM" TargetMode="External"/><Relationship Id="rId24" Type="http://schemas.openxmlformats.org/officeDocument/2006/relationships/hyperlink" Target="https://ich.unesco.org/doc/src/LHE-21-EXP-INF.1.pdf" TargetMode="External"/><Relationship Id="rId32" Type="http://schemas.openxmlformats.org/officeDocument/2006/relationships/hyperlink" Target="https://ich.unesco.org/doc/src/LHE-21-16.COM_WG-3-FR.docx"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ch.unesco.org/fr/resolutions/8.GA/11?dec=resolutions&amp;ref_decision=8.GA" TargetMode="External"/><Relationship Id="rId23" Type="http://schemas.openxmlformats.org/officeDocument/2006/relationships/hyperlink" Target="https://ich.unesco.org/doc/src/LHE-21-EXP-5-FR.docx" TargetMode="External"/><Relationship Id="rId28" Type="http://schemas.openxmlformats.org/officeDocument/2006/relationships/hyperlink" Target="https://ich.unesco.org/doc/src/LHE-21-EXP-7-FR_.docx" TargetMode="External"/><Relationship Id="rId36" Type="http://schemas.openxmlformats.org/officeDocument/2006/relationships/hyperlink" Target="https://ich.unesco.org/fr/D%C3%A9cisions/14.COM/14" TargetMode="External"/><Relationship Id="rId10" Type="http://schemas.openxmlformats.org/officeDocument/2006/relationships/hyperlink" Target="https://ich.unesco.org/fr/decisions/12.COM/14?dec=decisions&amp;ref_decision=12.COM" TargetMode="External"/><Relationship Id="rId19" Type="http://schemas.openxmlformats.org/officeDocument/2006/relationships/hyperlink" Target="https://ich.unesco.org/fr/decisions/13.COM/10?dec=decisions&amp;ref_decision=13.COM" TargetMode="External"/><Relationship Id="rId31" Type="http://schemas.openxmlformats.org/officeDocument/2006/relationships/hyperlink" Target="https://ich.unesco.org/fr/liste-de-participants-0117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fr/decisions/13.COM/10?dec=decisions&amp;ref_decision=13.COM" TargetMode="External"/><Relationship Id="rId14" Type="http://schemas.openxmlformats.org/officeDocument/2006/relationships/hyperlink" Target="https://ich.unesco.org/doc/src/LHE-19-14.COM-14-FR.docx" TargetMode="External"/><Relationship Id="rId22" Type="http://schemas.openxmlformats.org/officeDocument/2006/relationships/hyperlink" Target="https://ich.unesco.org/doc/src/LHE-21-EXP-INF.2-FR.pdf" TargetMode="External"/><Relationship Id="rId27" Type="http://schemas.openxmlformats.org/officeDocument/2006/relationships/hyperlink" Target="https://ich.unesco.org/doc/src/LHE-21-EXP-4-FR_.docx" TargetMode="External"/><Relationship Id="rId30" Type="http://schemas.openxmlformats.org/officeDocument/2006/relationships/hyperlink" Target="https://ich.unesco.org/doc/src/LHE-21-16.COM_WG-1-FR.docx" TargetMode="External"/><Relationship Id="rId35" Type="http://schemas.openxmlformats.org/officeDocument/2006/relationships/hyperlink" Target="https://ich.unesco.org/fr/Decisions/12.COM/14"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4568</Words>
  <Characters>26038</Characters>
  <Application>Microsoft Office Word</Application>
  <DocSecurity>0</DocSecurity>
  <Lines>216</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2021-07-04T16:24:00Z</dcterms:created>
  <dcterms:modified xsi:type="dcterms:W3CDTF">2021-07-06T10:16:00Z</dcterms:modified>
</cp:coreProperties>
</file>