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27C5292A" w:rsidR="002938F2" w:rsidRPr="00636760" w:rsidRDefault="002938F2" w:rsidP="008F72A1">
      <w:pPr>
        <w:tabs>
          <w:tab w:val="left" w:pos="8171"/>
        </w:tabs>
        <w:spacing w:before="1440"/>
        <w:jc w:val="center"/>
        <w:rPr>
          <w:rFonts w:ascii="Arial" w:hAnsi="Arial" w:cs="Arial"/>
          <w:b/>
          <w:szCs w:val="22"/>
        </w:rPr>
      </w:pPr>
      <w:r w:rsidRPr="00636760">
        <w:rPr>
          <w:rFonts w:ascii="Arial" w:hAnsi="Arial" w:cs="Arial"/>
          <w:b/>
          <w:szCs w:val="22"/>
        </w:rPr>
        <w:t>CONVENTION FOR THE SAFEGUARDING OF THE</w:t>
      </w:r>
      <w:r w:rsidRPr="00636760">
        <w:rPr>
          <w:rFonts w:ascii="Arial" w:hAnsi="Arial" w:cs="Arial"/>
          <w:b/>
          <w:szCs w:val="22"/>
        </w:rPr>
        <w:br/>
        <w:t>INTANGIBLE CULTURAL HERITAGE</w:t>
      </w:r>
    </w:p>
    <w:p w14:paraId="3A9B48CB" w14:textId="0FAD7864" w:rsidR="00F75CF4" w:rsidRDefault="00F75CF4">
      <w:pPr>
        <w:spacing w:before="840" w:after="0"/>
        <w:jc w:val="center"/>
        <w:rPr>
          <w:rFonts w:ascii="Arial" w:eastAsiaTheme="minorEastAsia" w:hAnsi="Arial" w:cs="Arial"/>
          <w:b/>
          <w:szCs w:val="22"/>
          <w:lang w:eastAsia="ko-KR"/>
        </w:rPr>
      </w:pPr>
      <w:r>
        <w:rPr>
          <w:rFonts w:ascii="Arial" w:eastAsiaTheme="minorEastAsia" w:hAnsi="Arial" w:cs="Arial" w:hint="eastAsia"/>
          <w:b/>
          <w:szCs w:val="22"/>
          <w:lang w:eastAsia="ko-KR"/>
        </w:rPr>
        <w:t>Open-ended intergovernmental working group</w:t>
      </w:r>
      <w:r>
        <w:rPr>
          <w:rFonts w:ascii="Arial" w:eastAsiaTheme="minorEastAsia" w:hAnsi="Arial" w:cs="Arial" w:hint="eastAsia"/>
          <w:b/>
          <w:szCs w:val="22"/>
          <w:lang w:eastAsia="ko-KR"/>
        </w:rPr>
        <w:br/>
      </w:r>
      <w:r w:rsidR="00292DE8" w:rsidRPr="00292DE8">
        <w:rPr>
          <w:rFonts w:ascii="Arial" w:eastAsiaTheme="minorEastAsia" w:hAnsi="Arial" w:cs="Arial"/>
          <w:b/>
          <w:szCs w:val="22"/>
          <w:lang w:eastAsia="ko-KR"/>
        </w:rPr>
        <w:t>in the framework of the global reflection on the listing mechanisms</w:t>
      </w:r>
    </w:p>
    <w:p w14:paraId="7822654B" w14:textId="77777777" w:rsidR="003978E3" w:rsidRDefault="003978E3">
      <w:pPr>
        <w:spacing w:before="840"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5A94F87D" w14:textId="77777777" w:rsidR="003978E3" w:rsidRPr="00F75CF4" w:rsidRDefault="003978E3">
      <w:pPr>
        <w:spacing w:after="0"/>
        <w:jc w:val="center"/>
        <w:rPr>
          <w:rFonts w:ascii="Arial" w:eastAsiaTheme="minorEastAsia" w:hAnsi="Arial" w:cs="Arial"/>
          <w:b/>
          <w:szCs w:val="22"/>
          <w:lang w:eastAsia="ko-KR"/>
        </w:rPr>
      </w:pPr>
      <w:r>
        <w:rPr>
          <w:rFonts w:ascii="Arial" w:eastAsiaTheme="minorEastAsia" w:hAnsi="Arial" w:cs="Arial"/>
          <w:b/>
          <w:szCs w:val="22"/>
          <w:lang w:eastAsia="ko-KR"/>
        </w:rPr>
        <w:t>9.30 – 17.30 (Paris time / UTC+2)</w:t>
      </w:r>
    </w:p>
    <w:p w14:paraId="200DB232" w14:textId="77777777" w:rsidR="003978E3" w:rsidRPr="006C2A6B" w:rsidRDefault="003978E3">
      <w:pPr>
        <w:spacing w:after="0"/>
        <w:jc w:val="center"/>
        <w:rPr>
          <w:rFonts w:ascii="Arial" w:hAnsi="Arial" w:cs="Arial"/>
          <w:b/>
          <w:szCs w:val="22"/>
        </w:rPr>
      </w:pPr>
      <w:r>
        <w:rPr>
          <w:rFonts w:ascii="Arial" w:eastAsiaTheme="minorEastAsia" w:hAnsi="Arial" w:cs="Arial"/>
          <w:b/>
          <w:szCs w:val="22"/>
          <w:lang w:eastAsia="ko-KR"/>
        </w:rPr>
        <w:t>9 and 10 September</w:t>
      </w:r>
      <w:r>
        <w:rPr>
          <w:rFonts w:ascii="Arial" w:hAnsi="Arial" w:cs="Arial"/>
          <w:b/>
          <w:szCs w:val="22"/>
        </w:rPr>
        <w:t xml:space="preserve"> 2021 </w:t>
      </w:r>
      <w:r w:rsidRPr="005B0C62">
        <w:rPr>
          <w:rFonts w:ascii="Arial" w:hAnsi="Arial" w:cs="Arial"/>
          <w:b/>
          <w:szCs w:val="22"/>
        </w:rPr>
        <w:t>(Part I</w:t>
      </w:r>
      <w:r>
        <w:rPr>
          <w:rFonts w:ascii="Arial" w:hAnsi="Arial" w:cs="Arial"/>
          <w:b/>
          <w:szCs w:val="22"/>
        </w:rPr>
        <w:t>I</w:t>
      </w:r>
      <w:r w:rsidRPr="005B0C62">
        <w:rPr>
          <w:rFonts w:ascii="Arial" w:hAnsi="Arial" w:cs="Arial"/>
          <w:b/>
          <w:szCs w:val="22"/>
        </w:rPr>
        <w:t>)</w:t>
      </w:r>
    </w:p>
    <w:p w14:paraId="761FD72E" w14:textId="1E66CAA5" w:rsidR="00485CF9" w:rsidRPr="00293C60" w:rsidRDefault="00CB500D" w:rsidP="003760DF">
      <w:pPr>
        <w:pStyle w:val="Sansinterligne2"/>
        <w:spacing w:before="840"/>
        <w:jc w:val="center"/>
        <w:rPr>
          <w:rFonts w:ascii="Arial" w:hAnsi="Arial" w:cs="Arial"/>
          <w:b/>
          <w:sz w:val="22"/>
          <w:szCs w:val="22"/>
          <w:lang w:val="en-GB"/>
        </w:rPr>
      </w:pPr>
      <w:r w:rsidRPr="00293C60">
        <w:rPr>
          <w:rFonts w:ascii="Arial" w:hAnsi="Arial" w:cs="Arial"/>
          <w:b/>
          <w:sz w:val="22"/>
          <w:szCs w:val="22"/>
          <w:u w:val="single"/>
          <w:lang w:val="en-GB"/>
        </w:rPr>
        <w:t>Item</w:t>
      </w:r>
      <w:r w:rsidR="00365B94">
        <w:rPr>
          <w:rFonts w:ascii="Arial" w:hAnsi="Arial" w:cs="Arial"/>
          <w:b/>
          <w:sz w:val="22"/>
          <w:szCs w:val="22"/>
          <w:u w:val="single"/>
          <w:lang w:val="en-GB"/>
        </w:rPr>
        <w:t xml:space="preserve"> </w:t>
      </w:r>
      <w:r w:rsidR="003978E3">
        <w:rPr>
          <w:rFonts w:ascii="Arial" w:hAnsi="Arial" w:cs="Arial"/>
          <w:b/>
          <w:sz w:val="22"/>
          <w:szCs w:val="22"/>
          <w:u w:val="single"/>
          <w:lang w:val="en-GB"/>
        </w:rPr>
        <w:t>6</w:t>
      </w:r>
      <w:r>
        <w:rPr>
          <w:rFonts w:ascii="Arial" w:hAnsi="Arial" w:cs="Arial"/>
          <w:b/>
          <w:sz w:val="22"/>
          <w:szCs w:val="22"/>
          <w:u w:val="single"/>
          <w:lang w:val="en-GB"/>
        </w:rPr>
        <w:t xml:space="preserve"> </w:t>
      </w:r>
      <w:r w:rsidRPr="00293C60">
        <w:rPr>
          <w:rFonts w:ascii="Arial" w:hAnsi="Arial" w:cs="Arial"/>
          <w:b/>
          <w:sz w:val="22"/>
          <w:szCs w:val="22"/>
          <w:u w:val="single"/>
          <w:lang w:val="en-GB"/>
        </w:rPr>
        <w:t>of the Agenda</w:t>
      </w:r>
      <w:r w:rsidRPr="00293C60">
        <w:rPr>
          <w:rFonts w:ascii="Arial" w:hAnsi="Arial" w:cs="Arial"/>
          <w:b/>
          <w:sz w:val="22"/>
          <w:szCs w:val="22"/>
          <w:lang w:val="en-GB"/>
        </w:rPr>
        <w:t>:</w:t>
      </w:r>
    </w:p>
    <w:p w14:paraId="173CA847" w14:textId="09D3E264" w:rsidR="00485CF9" w:rsidRDefault="00C73AB4" w:rsidP="003760DF">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Towards a reformed listing system (Part </w:t>
      </w:r>
      <w:r w:rsidRPr="00EF319E">
        <w:rPr>
          <w:rFonts w:ascii="Arial" w:hAnsi="Arial" w:cs="Arial"/>
          <w:b/>
          <w:sz w:val="22"/>
          <w:szCs w:val="22"/>
          <w:lang w:val="en-GB"/>
        </w:rPr>
        <w:t>II)</w:t>
      </w:r>
      <w:r w:rsidR="00583FA8" w:rsidRPr="00EF319E">
        <w:rPr>
          <w:rFonts w:ascii="Arial" w:hAnsi="Arial" w:cs="Arial"/>
          <w:b/>
          <w:sz w:val="22"/>
          <w:szCs w:val="22"/>
          <w:lang w:val="en-GB"/>
        </w:rPr>
        <w:t xml:space="preserve">: </w:t>
      </w:r>
      <w:r w:rsidR="00DE1353">
        <w:rPr>
          <w:rFonts w:ascii="Arial" w:hAnsi="Arial" w:cs="Arial"/>
          <w:b/>
          <w:sz w:val="22"/>
          <w:szCs w:val="22"/>
          <w:lang w:val="en-GB"/>
        </w:rPr>
        <w:br/>
      </w:r>
      <w:r w:rsidR="008A0990" w:rsidRPr="00EF319E">
        <w:rPr>
          <w:rFonts w:ascii="Arial" w:hAnsi="Arial" w:cs="Arial"/>
          <w:b/>
          <w:sz w:val="22"/>
          <w:szCs w:val="22"/>
          <w:lang w:val="en-GB"/>
        </w:rPr>
        <w:t>T</w:t>
      </w:r>
      <w:r w:rsidR="00583FA8" w:rsidRPr="00EF319E">
        <w:rPr>
          <w:rFonts w:ascii="Arial" w:hAnsi="Arial" w:cs="Arial"/>
          <w:b/>
          <w:sz w:val="22"/>
          <w:szCs w:val="22"/>
          <w:lang w:val="en-GB"/>
        </w:rPr>
        <w:t>ransfer</w:t>
      </w:r>
      <w:r w:rsidR="00EB23AF" w:rsidRPr="00EF319E">
        <w:rPr>
          <w:rFonts w:ascii="Arial" w:hAnsi="Arial" w:cs="Arial"/>
          <w:b/>
          <w:sz w:val="22"/>
          <w:szCs w:val="22"/>
          <w:lang w:val="en-GB"/>
        </w:rPr>
        <w:t>, removal and extension of elements inscribed on the Lists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873D40">
        <w:trPr>
          <w:jc w:val="center"/>
        </w:trPr>
        <w:tc>
          <w:tcPr>
            <w:tcW w:w="5670" w:type="dxa"/>
            <w:vAlign w:val="center"/>
          </w:tcPr>
          <w:p w14:paraId="3AB020B5" w14:textId="4DE6111F" w:rsidR="009D085D" w:rsidRPr="0012313A" w:rsidRDefault="000E4DDE">
            <w:pPr>
              <w:pStyle w:val="Sansinterligne2"/>
              <w:spacing w:before="200" w:after="200"/>
              <w:jc w:val="both"/>
              <w:rPr>
                <w:rFonts w:ascii="Arial" w:hAnsi="Arial" w:cs="Arial"/>
                <w:bCs/>
                <w:sz w:val="22"/>
                <w:szCs w:val="22"/>
                <w:lang w:val="en-GB"/>
              </w:rPr>
            </w:pPr>
            <w:r>
              <w:rPr>
                <w:rFonts w:ascii="Arial" w:hAnsi="Arial" w:cs="Arial"/>
                <w:bCs/>
                <w:sz w:val="22"/>
                <w:szCs w:val="22"/>
                <w:lang w:val="en-GB"/>
              </w:rPr>
              <w:t>At the end of</w:t>
            </w:r>
            <w:r w:rsidR="00EF319E">
              <w:rPr>
                <w:rFonts w:ascii="Arial" w:hAnsi="Arial" w:cs="Arial"/>
                <w:bCs/>
                <w:sz w:val="22"/>
                <w:szCs w:val="22"/>
                <w:lang w:val="en-GB"/>
              </w:rPr>
              <w:t xml:space="preserve"> the</w:t>
            </w:r>
            <w:r>
              <w:rPr>
                <w:rFonts w:ascii="Arial" w:hAnsi="Arial" w:cs="Arial"/>
                <w:bCs/>
                <w:sz w:val="22"/>
                <w:szCs w:val="22"/>
                <w:lang w:val="en-GB"/>
              </w:rPr>
              <w:t xml:space="preserve"> </w:t>
            </w:r>
            <w:r w:rsidR="009D085D" w:rsidRPr="0012313A">
              <w:rPr>
                <w:rFonts w:ascii="Arial" w:hAnsi="Arial" w:cs="Arial"/>
                <w:bCs/>
                <w:sz w:val="22"/>
                <w:szCs w:val="22"/>
                <w:lang w:val="en-GB"/>
              </w:rPr>
              <w:t>Part I meeting (online, 8 and 9 July 2021), the Open-ended intergovernmental working group</w:t>
            </w:r>
            <w:r w:rsidR="009D085D">
              <w:rPr>
                <w:rFonts w:ascii="Arial" w:hAnsi="Arial" w:cs="Arial"/>
                <w:bCs/>
                <w:sz w:val="22"/>
                <w:szCs w:val="22"/>
                <w:lang w:val="en-GB"/>
              </w:rPr>
              <w:t xml:space="preserve"> decided to further discuss</w:t>
            </w:r>
            <w:r>
              <w:rPr>
                <w:rFonts w:ascii="Arial" w:hAnsi="Arial" w:cs="Arial"/>
                <w:bCs/>
                <w:sz w:val="22"/>
                <w:szCs w:val="22"/>
                <w:lang w:val="en-GB"/>
              </w:rPr>
              <w:t>, when convened again for Part II,</w:t>
            </w:r>
            <w:r w:rsidR="009D085D">
              <w:rPr>
                <w:rFonts w:ascii="Arial" w:hAnsi="Arial" w:cs="Arial"/>
                <w:bCs/>
                <w:sz w:val="22"/>
                <w:szCs w:val="22"/>
                <w:lang w:val="en-GB"/>
              </w:rPr>
              <w:t xml:space="preserve"> </w:t>
            </w:r>
            <w:r w:rsidR="008A0990">
              <w:rPr>
                <w:rFonts w:ascii="Arial" w:hAnsi="Arial" w:cs="Arial"/>
                <w:bCs/>
                <w:sz w:val="22"/>
                <w:szCs w:val="22"/>
                <w:lang w:val="en-GB"/>
              </w:rPr>
              <w:t xml:space="preserve">the </w:t>
            </w:r>
            <w:r w:rsidR="009D085D">
              <w:rPr>
                <w:rFonts w:ascii="Arial" w:hAnsi="Arial" w:cs="Arial"/>
                <w:bCs/>
                <w:sz w:val="22"/>
                <w:szCs w:val="22"/>
                <w:lang w:val="en-GB"/>
              </w:rPr>
              <w:t xml:space="preserve">procedures for the transfer and removal of elements from the Lists of the Convention </w:t>
            </w:r>
            <w:r>
              <w:rPr>
                <w:rFonts w:ascii="Arial" w:hAnsi="Arial" w:cs="Arial"/>
                <w:bCs/>
                <w:sz w:val="22"/>
                <w:szCs w:val="22"/>
                <w:lang w:val="en-GB"/>
              </w:rPr>
              <w:t xml:space="preserve">and </w:t>
            </w:r>
            <w:r w:rsidR="00EF319E">
              <w:rPr>
                <w:rFonts w:ascii="Arial" w:hAnsi="Arial" w:cs="Arial"/>
                <w:bCs/>
                <w:sz w:val="22"/>
                <w:szCs w:val="22"/>
                <w:lang w:val="en-GB"/>
              </w:rPr>
              <w:t xml:space="preserve">the procedure </w:t>
            </w:r>
            <w:r w:rsidR="00E87E25">
              <w:rPr>
                <w:rFonts w:ascii="Arial" w:hAnsi="Arial" w:cs="Arial"/>
                <w:bCs/>
                <w:sz w:val="22"/>
                <w:szCs w:val="22"/>
                <w:lang w:val="en-GB"/>
              </w:rPr>
              <w:t>for the</w:t>
            </w:r>
            <w:r w:rsidR="00795BC8">
              <w:rPr>
                <w:rFonts w:ascii="Arial" w:hAnsi="Arial" w:cs="Arial"/>
                <w:bCs/>
                <w:sz w:val="22"/>
                <w:szCs w:val="22"/>
                <w:lang w:val="en-GB"/>
              </w:rPr>
              <w:t xml:space="preserve"> inscription</w:t>
            </w:r>
            <w:r w:rsidR="009D085D">
              <w:rPr>
                <w:rFonts w:ascii="Arial" w:hAnsi="Arial" w:cs="Arial"/>
                <w:bCs/>
                <w:sz w:val="22"/>
                <w:szCs w:val="22"/>
                <w:lang w:val="en-GB"/>
              </w:rPr>
              <w:t xml:space="preserve"> </w:t>
            </w:r>
            <w:r w:rsidR="00E87E25">
              <w:rPr>
                <w:rFonts w:ascii="Arial" w:hAnsi="Arial" w:cs="Arial"/>
                <w:bCs/>
                <w:sz w:val="22"/>
                <w:szCs w:val="22"/>
                <w:lang w:val="en-GB"/>
              </w:rPr>
              <w:t>of elements</w:t>
            </w:r>
            <w:r w:rsidR="00795BC8">
              <w:rPr>
                <w:rFonts w:ascii="Arial" w:hAnsi="Arial" w:cs="Arial"/>
                <w:bCs/>
                <w:sz w:val="22"/>
                <w:szCs w:val="22"/>
                <w:lang w:val="en-GB"/>
              </w:rPr>
              <w:t xml:space="preserve"> on an extended basis</w:t>
            </w:r>
            <w:r w:rsidR="0018024B">
              <w:rPr>
                <w:rFonts w:ascii="Arial" w:hAnsi="Arial" w:cs="Arial"/>
                <w:bCs/>
                <w:sz w:val="22"/>
                <w:szCs w:val="22"/>
                <w:lang w:val="en-GB"/>
              </w:rPr>
              <w:t>. The present document provides proposals and additional information regarding these three issues.</w:t>
            </w:r>
          </w:p>
        </w:tc>
      </w:tr>
    </w:tbl>
    <w:p w14:paraId="4898CDBF" w14:textId="77777777" w:rsidR="00DF4798" w:rsidRDefault="00DF4798">
      <w:pPr>
        <w:spacing w:after="0"/>
        <w:rPr>
          <w:rFonts w:ascii="Arial" w:hAnsi="Arial" w:cs="Arial"/>
          <w:b/>
          <w:bCs/>
          <w:snapToGrid w:val="0"/>
          <w:szCs w:val="22"/>
          <w:lang w:eastAsia="en-US"/>
        </w:rPr>
      </w:pPr>
      <w:r>
        <w:rPr>
          <w:b/>
          <w:bCs/>
        </w:rPr>
        <w:br w:type="page"/>
      </w:r>
    </w:p>
    <w:p w14:paraId="2B542BCF" w14:textId="3913D32A" w:rsidR="007D7C9E" w:rsidRPr="0012313A" w:rsidRDefault="007D7C9E">
      <w:pPr>
        <w:pStyle w:val="1GAPara"/>
        <w:numPr>
          <w:ilvl w:val="0"/>
          <w:numId w:val="0"/>
        </w:numPr>
        <w:ind w:left="567" w:hanging="567"/>
        <w:rPr>
          <w:b/>
          <w:bCs/>
        </w:rPr>
      </w:pPr>
      <w:bookmarkStart w:id="0" w:name="_Hlk79004011"/>
      <w:r w:rsidRPr="0012313A">
        <w:rPr>
          <w:b/>
          <w:bCs/>
        </w:rPr>
        <w:lastRenderedPageBreak/>
        <w:t>Background</w:t>
      </w:r>
    </w:p>
    <w:p w14:paraId="10D1A880" w14:textId="4FDCB51C" w:rsidR="003720F1" w:rsidRDefault="00E37609" w:rsidP="006175B5">
      <w:pPr>
        <w:pStyle w:val="1GAPara"/>
        <w:numPr>
          <w:ilvl w:val="0"/>
          <w:numId w:val="68"/>
        </w:numPr>
        <w:ind w:left="567" w:hanging="567"/>
        <w:jc w:val="both"/>
      </w:pPr>
      <w:r>
        <w:t xml:space="preserve">The </w:t>
      </w:r>
      <w:r w:rsidR="008A0990">
        <w:t xml:space="preserve">need </w:t>
      </w:r>
      <w:r>
        <w:t xml:space="preserve">for an overall reflection on the Convention’s listing mechanisms originally emerged from the examination by the Committee at is twelfth session in 2017 of a first request </w:t>
      </w:r>
      <w:r w:rsidR="008A0990">
        <w:t xml:space="preserve">to </w:t>
      </w:r>
      <w:r>
        <w:t>transfer an element from the Urgent Safeguarding List to the Representative List (</w:t>
      </w:r>
      <w:r w:rsidR="00317BA6" w:rsidRPr="003760DF">
        <w:t xml:space="preserve">Decisions </w:t>
      </w:r>
      <w:hyperlink r:id="rId8" w:history="1">
        <w:r w:rsidR="00317BA6" w:rsidRPr="00897BAD">
          <w:rPr>
            <w:rStyle w:val="Hyperlink"/>
          </w:rPr>
          <w:t>12.COM 11</w:t>
        </w:r>
      </w:hyperlink>
      <w:r>
        <w:t xml:space="preserve"> and </w:t>
      </w:r>
      <w:hyperlink r:id="rId9" w:history="1">
        <w:r w:rsidRPr="00E37609">
          <w:rPr>
            <w:rStyle w:val="Hyperlink"/>
          </w:rPr>
          <w:t>12.COM</w:t>
        </w:r>
        <w:r>
          <w:rPr>
            <w:rStyle w:val="Hyperlink"/>
          </w:rPr>
          <w:t> </w:t>
        </w:r>
        <w:r w:rsidRPr="00E37609">
          <w:rPr>
            <w:rStyle w:val="Hyperlink"/>
          </w:rPr>
          <w:t>11.c</w:t>
        </w:r>
      </w:hyperlink>
      <w:r>
        <w:t xml:space="preserve">), as well as from the first removal of an inscribed element from the Representative List at its fourteenth session in 2019 (Decision </w:t>
      </w:r>
      <w:hyperlink r:id="rId10" w:history="1">
        <w:r w:rsidRPr="00E37609">
          <w:rPr>
            <w:rStyle w:val="Hyperlink"/>
          </w:rPr>
          <w:t>14.COM 12</w:t>
        </w:r>
      </w:hyperlink>
      <w:r>
        <w:t xml:space="preserve"> and </w:t>
      </w:r>
      <w:hyperlink r:id="rId11" w:history="1">
        <w:r w:rsidRPr="00E37609">
          <w:rPr>
            <w:rStyle w:val="Hyperlink"/>
          </w:rPr>
          <w:t>14.COM 14</w:t>
        </w:r>
      </w:hyperlink>
      <w:r>
        <w:t xml:space="preserve">). </w:t>
      </w:r>
      <w:r w:rsidR="007D7C9E" w:rsidRPr="0012313A">
        <w:t>In Part I of its meeting</w:t>
      </w:r>
      <w:r w:rsidR="005B137E">
        <w:t xml:space="preserve"> (online, </w:t>
      </w:r>
      <w:r w:rsidR="005B137E" w:rsidRPr="005B137E">
        <w:t>8 and 9 July 2021</w:t>
      </w:r>
      <w:r w:rsidR="005B137E">
        <w:t>)</w:t>
      </w:r>
      <w:r w:rsidR="007D7C9E" w:rsidRPr="0012313A">
        <w:t xml:space="preserve">, the </w:t>
      </w:r>
      <w:r w:rsidR="007D7C9E" w:rsidRPr="009F6BE3">
        <w:t>Open</w:t>
      </w:r>
      <w:r w:rsidR="007D7C9E" w:rsidRPr="007D7C9E">
        <w:t>-ended intergovernmental working group (</w:t>
      </w:r>
      <w:r w:rsidR="006E19D7">
        <w:t>hereafter</w:t>
      </w:r>
      <w:r w:rsidR="007D7C9E" w:rsidRPr="007D7C9E">
        <w:t xml:space="preserve"> ‘the working group’)</w:t>
      </w:r>
      <w:r w:rsidR="00612F77">
        <w:t xml:space="preserve"> </w:t>
      </w:r>
      <w:r w:rsidR="00A73AED">
        <w:t xml:space="preserve">identified </w:t>
      </w:r>
      <w:r w:rsidR="00483A77">
        <w:t>several issues</w:t>
      </w:r>
      <w:r w:rsidR="00612F77">
        <w:t xml:space="preserve"> that </w:t>
      </w:r>
      <w:r w:rsidR="00A73AED">
        <w:t>shall be further discussed in the Part II of its meeting</w:t>
      </w:r>
      <w:r w:rsidR="00612F77">
        <w:t xml:space="preserve"> (</w:t>
      </w:r>
      <w:r w:rsidR="00612F77" w:rsidRPr="00612F77">
        <w:t>see paragraph </w:t>
      </w:r>
      <w:r w:rsidR="00A73AED">
        <w:t>12</w:t>
      </w:r>
      <w:r w:rsidR="00612F77" w:rsidRPr="00612F77">
        <w:t xml:space="preserve"> of </w:t>
      </w:r>
      <w:hyperlink r:id="rId12" w:history="1">
        <w:r w:rsidR="00612F77" w:rsidRPr="001C0164">
          <w:rPr>
            <w:rStyle w:val="Hyperlink"/>
          </w:rPr>
          <w:t>Recommendations of Part I of the Open-ended intergovernmental working group</w:t>
        </w:r>
      </w:hyperlink>
      <w:r w:rsidR="00A73AED">
        <w:rPr>
          <w:rStyle w:val="Hyperlink"/>
          <w:u w:val="none"/>
        </w:rPr>
        <w:t xml:space="preserve"> </w:t>
      </w:r>
      <w:r w:rsidR="00A73AED" w:rsidRPr="00A73AED">
        <w:rPr>
          <w:rStyle w:val="Hyperlink"/>
          <w:color w:val="auto"/>
          <w:u w:val="none"/>
        </w:rPr>
        <w:t>as</w:t>
      </w:r>
      <w:r w:rsidR="00612F77" w:rsidRPr="00612F77">
        <w:rPr>
          <w:rStyle w:val="Hyperlink"/>
          <w:color w:val="auto"/>
          <w:u w:val="none"/>
        </w:rPr>
        <w:t xml:space="preserve"> reproduced in the annex of the </w:t>
      </w:r>
      <w:r w:rsidR="00612F77" w:rsidRPr="00EF319E">
        <w:rPr>
          <w:rStyle w:val="Hyperlink"/>
          <w:color w:val="auto"/>
          <w:u w:val="none"/>
        </w:rPr>
        <w:t xml:space="preserve">working document </w:t>
      </w:r>
      <w:hyperlink r:id="rId13" w:history="1">
        <w:r w:rsidR="00612F77" w:rsidRPr="00564FB9">
          <w:rPr>
            <w:rStyle w:val="Hyperlink"/>
          </w:rPr>
          <w:t>LHE/21/16.COM WG/5</w:t>
        </w:r>
      </w:hyperlink>
      <w:r w:rsidR="00612F77" w:rsidRPr="00564FB9">
        <w:rPr>
          <w:rStyle w:val="Hyperlink"/>
          <w:color w:val="auto"/>
          <w:u w:val="none"/>
        </w:rPr>
        <w:t>).</w:t>
      </w:r>
      <w:bookmarkStart w:id="1" w:name="_Hlk79006811"/>
      <w:bookmarkEnd w:id="0"/>
      <w:r w:rsidR="00D76A42" w:rsidRPr="00564FB9">
        <w:t xml:space="preserve"> </w:t>
      </w:r>
      <w:r w:rsidR="00140074" w:rsidRPr="00564FB9">
        <w:t>Per</w:t>
      </w:r>
      <w:r w:rsidR="002F2848" w:rsidRPr="00564FB9">
        <w:t xml:space="preserve"> the</w:t>
      </w:r>
      <w:r w:rsidR="002F2848">
        <w:t xml:space="preserve"> working group’s </w:t>
      </w:r>
      <w:r w:rsidR="00D76A42">
        <w:t>request</w:t>
      </w:r>
      <w:r w:rsidR="002F2848">
        <w:t>, the present document provides</w:t>
      </w:r>
      <w:r w:rsidR="003720F1">
        <w:t xml:space="preserve"> additional information and proposals </w:t>
      </w:r>
      <w:r w:rsidR="00140074">
        <w:t>regarding</w:t>
      </w:r>
      <w:r w:rsidR="00D23B40">
        <w:t xml:space="preserve"> the</w:t>
      </w:r>
      <w:r w:rsidR="00140074">
        <w:t xml:space="preserve"> following</w:t>
      </w:r>
      <w:r w:rsidR="00D23B40">
        <w:t xml:space="preserve"> three issues that the working group may </w:t>
      </w:r>
      <w:r w:rsidR="00483A77">
        <w:t xml:space="preserve">wish to </w:t>
      </w:r>
      <w:r w:rsidR="008A0990">
        <w:t>prioritize</w:t>
      </w:r>
      <w:r w:rsidR="006E19D7">
        <w:t xml:space="preserve"> during Part II </w:t>
      </w:r>
      <w:r w:rsidR="00483A77">
        <w:t xml:space="preserve">of its </w:t>
      </w:r>
      <w:r w:rsidR="006E19D7">
        <w:t>meeting (online, 9 and 10 September 2021)</w:t>
      </w:r>
      <w:r w:rsidR="003720F1">
        <w:t>:</w:t>
      </w:r>
    </w:p>
    <w:p w14:paraId="0D1647E1" w14:textId="6D228A82" w:rsidR="00E50503" w:rsidRDefault="00E50503">
      <w:pPr>
        <w:pStyle w:val="1GAPara"/>
        <w:numPr>
          <w:ilvl w:val="0"/>
          <w:numId w:val="6"/>
        </w:numPr>
        <w:ind w:left="1134" w:hanging="567"/>
        <w:jc w:val="both"/>
      </w:pPr>
      <w:r>
        <w:t xml:space="preserve">Section A: </w:t>
      </w:r>
      <w:r w:rsidR="00317BA6">
        <w:t>S</w:t>
      </w:r>
      <w:r>
        <w:t>implified procedure</w:t>
      </w:r>
      <w:r w:rsidR="00317BA6">
        <w:t>s</w:t>
      </w:r>
      <w:r>
        <w:t xml:space="preserve"> for t</w:t>
      </w:r>
      <w:r w:rsidRPr="00E50503">
        <w:t xml:space="preserve">ransferring elements between the Lists </w:t>
      </w:r>
      <w:r w:rsidR="008A0990">
        <w:t>and</w:t>
      </w:r>
      <w:r w:rsidR="00483A77">
        <w:t xml:space="preserve"> for</w:t>
      </w:r>
      <w:r w:rsidRPr="00E50503">
        <w:t xml:space="preserve"> including in the Register those safeguarding experiences that have successfully improved the viability of elements inscribed on the Urgent Safeguarding </w:t>
      </w:r>
      <w:proofErr w:type="gramStart"/>
      <w:r w:rsidRPr="00E50503">
        <w:t>List</w:t>
      </w:r>
      <w:r>
        <w:t>;</w:t>
      </w:r>
      <w:proofErr w:type="gramEnd"/>
    </w:p>
    <w:p w14:paraId="45539290" w14:textId="26EBE731" w:rsidR="00E50503" w:rsidRDefault="00E50503">
      <w:pPr>
        <w:pStyle w:val="1GAPara"/>
        <w:numPr>
          <w:ilvl w:val="0"/>
          <w:numId w:val="6"/>
        </w:numPr>
        <w:ind w:left="1134" w:hanging="567"/>
        <w:jc w:val="both"/>
      </w:pPr>
      <w:r>
        <w:t xml:space="preserve">Section B: </w:t>
      </w:r>
      <w:r w:rsidR="008A0990">
        <w:t>A</w:t>
      </w:r>
      <w:r w:rsidR="00483A77">
        <w:t xml:space="preserve"> s</w:t>
      </w:r>
      <w:r w:rsidRPr="00E50503">
        <w:t>pecific procedure for removing elements from the Lists of the Convention, including the introduction of interim measures</w:t>
      </w:r>
      <w:r>
        <w:t>;</w:t>
      </w:r>
      <w:r w:rsidR="008A0990">
        <w:t xml:space="preserve"> and</w:t>
      </w:r>
    </w:p>
    <w:p w14:paraId="2BADF001" w14:textId="0989C822" w:rsidR="00E50503" w:rsidRDefault="00E50503">
      <w:pPr>
        <w:pStyle w:val="1GAPara"/>
        <w:numPr>
          <w:ilvl w:val="0"/>
          <w:numId w:val="6"/>
        </w:numPr>
        <w:ind w:left="1134" w:hanging="567"/>
        <w:jc w:val="both"/>
      </w:pPr>
      <w:r>
        <w:t xml:space="preserve">Section C: </w:t>
      </w:r>
      <w:r w:rsidR="00D23B40">
        <w:t xml:space="preserve">Revised procedures for </w:t>
      </w:r>
      <w:r w:rsidR="00CC7A90">
        <w:t xml:space="preserve">the </w:t>
      </w:r>
      <w:r w:rsidR="00D23B40">
        <w:t>inscription of elements on an extended basis</w:t>
      </w:r>
      <w:r>
        <w:t>.</w:t>
      </w:r>
    </w:p>
    <w:p w14:paraId="6030A2BB" w14:textId="3F180ACA" w:rsidR="00483A77" w:rsidRDefault="008A0990">
      <w:pPr>
        <w:pStyle w:val="1GAPara"/>
        <w:numPr>
          <w:ilvl w:val="0"/>
          <w:numId w:val="0"/>
        </w:numPr>
        <w:ind w:left="567"/>
        <w:jc w:val="both"/>
      </w:pPr>
      <w:r>
        <w:t>W</w:t>
      </w:r>
      <w:r w:rsidR="00483A77">
        <w:t xml:space="preserve">orking </w:t>
      </w:r>
      <w:r w:rsidR="00483A77" w:rsidRPr="00564FB9">
        <w:t xml:space="preserve">document </w:t>
      </w:r>
      <w:hyperlink r:id="rId14" w:history="1">
        <w:r w:rsidR="00483A77" w:rsidRPr="00564FB9">
          <w:rPr>
            <w:rStyle w:val="Hyperlink"/>
          </w:rPr>
          <w:t>LHE/21/16</w:t>
        </w:r>
        <w:r w:rsidR="00CA2632" w:rsidRPr="00564FB9">
          <w:rPr>
            <w:rStyle w:val="Hyperlink"/>
          </w:rPr>
          <w:t>.</w:t>
        </w:r>
        <w:r w:rsidR="00483A77" w:rsidRPr="00564FB9">
          <w:rPr>
            <w:rStyle w:val="Hyperlink"/>
          </w:rPr>
          <w:t>COM WG/</w:t>
        </w:r>
        <w:r w:rsidR="00317BA6" w:rsidRPr="00564FB9">
          <w:rPr>
            <w:rStyle w:val="Hyperlink"/>
          </w:rPr>
          <w:t>7</w:t>
        </w:r>
      </w:hyperlink>
      <w:r w:rsidR="00483A77" w:rsidRPr="00564FB9">
        <w:t xml:space="preserve"> is</w:t>
      </w:r>
      <w:r w:rsidR="00483A77">
        <w:t xml:space="preserve"> devoted to other issues that also require further discussion.</w:t>
      </w:r>
    </w:p>
    <w:p w14:paraId="57E4ED1E" w14:textId="61985C34" w:rsidR="00A720F4" w:rsidRDefault="00A720F4" w:rsidP="006175B5">
      <w:pPr>
        <w:pStyle w:val="1GAPara"/>
        <w:numPr>
          <w:ilvl w:val="0"/>
          <w:numId w:val="68"/>
        </w:numPr>
        <w:ind w:left="567" w:hanging="567"/>
        <w:jc w:val="both"/>
      </w:pPr>
      <w:r>
        <w:t xml:space="preserve">The procedures </w:t>
      </w:r>
      <w:r w:rsidR="00B50C63">
        <w:t xml:space="preserve">that are proposed for discussion </w:t>
      </w:r>
      <w:r>
        <w:t xml:space="preserve">below are based on </w:t>
      </w:r>
      <w:r w:rsidRPr="0012313A">
        <w:t xml:space="preserve">the debates of </w:t>
      </w:r>
      <w:r w:rsidRPr="009D676C">
        <w:t>Part</w:t>
      </w:r>
      <w:r w:rsidR="00CC7A90">
        <w:t> </w:t>
      </w:r>
      <w:r w:rsidRPr="009D676C">
        <w:t xml:space="preserve">I of the working group meeting </w:t>
      </w:r>
      <w:r>
        <w:t xml:space="preserve">and </w:t>
      </w:r>
      <w:r w:rsidR="00B50C63">
        <w:t xml:space="preserve">on </w:t>
      </w:r>
      <w:r>
        <w:t xml:space="preserve">the outcomes of the </w:t>
      </w:r>
      <w:r w:rsidR="00B50C63">
        <w:t xml:space="preserve">Category VI meeting of </w:t>
      </w:r>
      <w:r w:rsidR="008A0990">
        <w:t>e</w:t>
      </w:r>
      <w:r w:rsidRPr="00FF58C9">
        <w:t>xpert</w:t>
      </w:r>
      <w:r w:rsidR="00B50C63">
        <w:t>s that took place in May 2021</w:t>
      </w:r>
      <w:r w:rsidRPr="00FF58C9">
        <w:t xml:space="preserve"> in the framework of the global reflection on the listing mechanisms of the 2003 Convention</w:t>
      </w:r>
      <w:r>
        <w:t xml:space="preserve">. </w:t>
      </w:r>
    </w:p>
    <w:p w14:paraId="472C0250" w14:textId="6DA91D27" w:rsidR="00A720F4" w:rsidRDefault="00A720F4" w:rsidP="00EF319E">
      <w:pPr>
        <w:pStyle w:val="1GAPara"/>
        <w:numPr>
          <w:ilvl w:val="0"/>
          <w:numId w:val="113"/>
        </w:numPr>
        <w:ind w:left="1170" w:hanging="630"/>
        <w:jc w:val="both"/>
      </w:pPr>
      <w:r>
        <w:t xml:space="preserve">For </w:t>
      </w:r>
      <w:r w:rsidR="008A0990">
        <w:t>s</w:t>
      </w:r>
      <w:r>
        <w:t>ection</w:t>
      </w:r>
      <w:r w:rsidR="008A0990">
        <w:t>s</w:t>
      </w:r>
      <w:r>
        <w:t xml:space="preserve"> A and B, the proposals</w:t>
      </w:r>
      <w:r w:rsidR="00B53329">
        <w:t xml:space="preserve"> </w:t>
      </w:r>
      <w:proofErr w:type="gramStart"/>
      <w:r>
        <w:t>t</w:t>
      </w:r>
      <w:r w:rsidR="00B53329">
        <w:t>ake</w:t>
      </w:r>
      <w:r>
        <w:t xml:space="preserve"> into account</w:t>
      </w:r>
      <w:proofErr w:type="gramEnd"/>
      <w:r>
        <w:t xml:space="preserve"> Group 2’s report </w:t>
      </w:r>
      <w:r w:rsidR="00B53329">
        <w:t>of the Category VI expert meeting</w:t>
      </w:r>
      <w:r w:rsidR="007E44F9">
        <w:t>,</w:t>
      </w:r>
      <w:r w:rsidR="00B53329">
        <w:t xml:space="preserve"> </w:t>
      </w:r>
      <w:r>
        <w:t>to which ‘</w:t>
      </w:r>
      <w:r w:rsidRPr="00FF58C9">
        <w:t>Issues related to the follow-up of inscribed elements</w:t>
      </w:r>
      <w:r>
        <w:t>’ was assigned as a theme for discussion (</w:t>
      </w:r>
      <w:hyperlink r:id="rId15" w:history="1">
        <w:r w:rsidRPr="00725234">
          <w:rPr>
            <w:rStyle w:val="Hyperlink"/>
            <w:rFonts w:asciiTheme="minorBidi" w:hAnsiTheme="minorBidi" w:cstheme="minorBidi"/>
          </w:rPr>
          <w:t>Report</w:t>
        </w:r>
      </w:hyperlink>
      <w:r w:rsidRPr="0012313A">
        <w:rPr>
          <w:rStyle w:val="Hyperlink"/>
          <w:rFonts w:asciiTheme="minorBidi" w:hAnsiTheme="minorBidi" w:cstheme="minorBidi"/>
          <w:color w:val="auto"/>
          <w:u w:val="none"/>
        </w:rPr>
        <w:t>)</w:t>
      </w:r>
      <w:r>
        <w:t>.</w:t>
      </w:r>
      <w:r w:rsidRPr="002B10C6">
        <w:t xml:space="preserve"> </w:t>
      </w:r>
      <w:r>
        <w:t>They</w:t>
      </w:r>
      <w:r w:rsidRPr="009D676C">
        <w:t xml:space="preserve"> also take into consideration the debates of the </w:t>
      </w:r>
      <w:r>
        <w:t>General Assembly at its eight</w:t>
      </w:r>
      <w:r w:rsidR="00CC7A90">
        <w:t>h</w:t>
      </w:r>
      <w:r>
        <w:t xml:space="preserve"> session </w:t>
      </w:r>
      <w:r w:rsidRPr="009D676C">
        <w:t>(</w:t>
      </w:r>
      <w:r>
        <w:t xml:space="preserve">Resolution </w:t>
      </w:r>
      <w:hyperlink r:id="rId16" w:history="1">
        <w:r w:rsidRPr="00496702">
          <w:rPr>
            <w:rStyle w:val="Hyperlink"/>
          </w:rPr>
          <w:t>8.GA 11</w:t>
        </w:r>
      </w:hyperlink>
      <w:r>
        <w:t xml:space="preserve">) and </w:t>
      </w:r>
      <w:r w:rsidR="00B50C63">
        <w:t xml:space="preserve">the debates of </w:t>
      </w:r>
      <w:r>
        <w:t xml:space="preserve">the </w:t>
      </w:r>
      <w:r w:rsidRPr="009D676C">
        <w:t xml:space="preserve">Committee </w:t>
      </w:r>
      <w:r w:rsidR="003622CE" w:rsidRPr="009D676C">
        <w:t xml:space="preserve">at its twelfth, thirteenth and fourteenth sessions </w:t>
      </w:r>
      <w:r w:rsidRPr="009D676C">
        <w:t xml:space="preserve">on the transfer of an element from one List to the other and the removal of an element from a List </w:t>
      </w:r>
      <w:r>
        <w:t>(</w:t>
      </w:r>
      <w:r w:rsidRPr="009D676C">
        <w:t xml:space="preserve">Decisions </w:t>
      </w:r>
      <w:hyperlink r:id="rId17" w:history="1">
        <w:r w:rsidRPr="009D676C">
          <w:rPr>
            <w:rStyle w:val="Hyperlink"/>
          </w:rPr>
          <w:t>12.COM</w:t>
        </w:r>
        <w:r>
          <w:rPr>
            <w:rStyle w:val="Hyperlink"/>
          </w:rPr>
          <w:t> </w:t>
        </w:r>
        <w:r w:rsidRPr="009D676C">
          <w:rPr>
            <w:rStyle w:val="Hyperlink"/>
          </w:rPr>
          <w:t>14</w:t>
        </w:r>
      </w:hyperlink>
      <w:r w:rsidRPr="009D676C">
        <w:t xml:space="preserve">, </w:t>
      </w:r>
      <w:hyperlink r:id="rId18" w:history="1">
        <w:r w:rsidRPr="009D676C">
          <w:rPr>
            <w:rStyle w:val="Hyperlink"/>
          </w:rPr>
          <w:t>13.COM 9</w:t>
        </w:r>
      </w:hyperlink>
      <w:r w:rsidRPr="009D676C">
        <w:t xml:space="preserve"> and </w:t>
      </w:r>
      <w:hyperlink r:id="rId19" w:history="1">
        <w:r w:rsidRPr="009D676C">
          <w:rPr>
            <w:rStyle w:val="Hyperlink"/>
          </w:rPr>
          <w:t>14.COM 14</w:t>
        </w:r>
      </w:hyperlink>
      <w:r w:rsidRPr="009D676C">
        <w:t>).</w:t>
      </w:r>
    </w:p>
    <w:p w14:paraId="15E97297" w14:textId="71267704" w:rsidR="00A720F4" w:rsidRDefault="00A720F4" w:rsidP="00EF319E">
      <w:pPr>
        <w:pStyle w:val="1GAPara"/>
        <w:numPr>
          <w:ilvl w:val="0"/>
          <w:numId w:val="113"/>
        </w:numPr>
        <w:ind w:left="1170" w:hanging="630"/>
        <w:jc w:val="both"/>
      </w:pPr>
      <w:r>
        <w:t xml:space="preserve">For </w:t>
      </w:r>
      <w:r w:rsidR="008A0990">
        <w:t>s</w:t>
      </w:r>
      <w:r>
        <w:t xml:space="preserve">ection C, the proposals </w:t>
      </w:r>
      <w:r w:rsidR="00B53329">
        <w:t xml:space="preserve">are </w:t>
      </w:r>
      <w:r w:rsidR="00C279AE">
        <w:t>m</w:t>
      </w:r>
      <w:r w:rsidR="00B53329">
        <w:t xml:space="preserve">ade with reference to the outcomes of the </w:t>
      </w:r>
      <w:r w:rsidR="007E44F9">
        <w:t>e</w:t>
      </w:r>
      <w:r w:rsidR="00B53329" w:rsidRPr="00FF58C9">
        <w:t>xpert meeting in the framework of the global reflection on the listing mechanisms of the 2003</w:t>
      </w:r>
      <w:r w:rsidR="00CC7A90">
        <w:t> </w:t>
      </w:r>
      <w:r w:rsidR="00B53329" w:rsidRPr="00FF58C9">
        <w:t>Convention</w:t>
      </w:r>
      <w:r w:rsidR="00B53329">
        <w:t>, in particular</w:t>
      </w:r>
      <w:r w:rsidR="00140074">
        <w:t xml:space="preserve"> the report from</w:t>
      </w:r>
      <w:r w:rsidR="00B53329">
        <w:t xml:space="preserve"> Group 3</w:t>
      </w:r>
      <w:r w:rsidR="00140074">
        <w:t>,</w:t>
      </w:r>
      <w:r w:rsidR="00B53329">
        <w:t xml:space="preserve"> to which ‘</w:t>
      </w:r>
      <w:r w:rsidR="00B0735B">
        <w:t>M</w:t>
      </w:r>
      <w:r w:rsidR="00B53329">
        <w:t>ethodology for the evaluation of nominations’ was assigned as a theme for discussion (</w:t>
      </w:r>
      <w:hyperlink r:id="rId20" w:history="1">
        <w:r w:rsidR="00B53329" w:rsidRPr="00C270EF">
          <w:rPr>
            <w:rStyle w:val="Hyperlink"/>
          </w:rPr>
          <w:t>Report</w:t>
        </w:r>
      </w:hyperlink>
      <w:r w:rsidR="00B53329">
        <w:t>).</w:t>
      </w:r>
      <w:r w:rsidR="00C279AE">
        <w:t xml:space="preserve"> They also take int</w:t>
      </w:r>
      <w:r w:rsidR="00CC7A90">
        <w:t>o</w:t>
      </w:r>
      <w:r w:rsidR="00C279AE">
        <w:t xml:space="preserve"> consideration the debates of the Committee on the extension of multinational nominations at its </w:t>
      </w:r>
      <w:r w:rsidR="00C77F6E">
        <w:t>seventh</w:t>
      </w:r>
      <w:r w:rsidR="009E74C1">
        <w:t>,</w:t>
      </w:r>
      <w:r w:rsidR="00C77F6E">
        <w:t xml:space="preserve"> fourteenth</w:t>
      </w:r>
      <w:r w:rsidR="00C279AE">
        <w:t xml:space="preserve"> </w:t>
      </w:r>
      <w:r w:rsidR="009E74C1">
        <w:t xml:space="preserve">and fifteenth </w:t>
      </w:r>
      <w:r w:rsidR="00C279AE">
        <w:t>sessions (Decisions</w:t>
      </w:r>
      <w:r w:rsidR="00862D23">
        <w:t xml:space="preserve"> </w:t>
      </w:r>
      <w:hyperlink r:id="rId21" w:history="1">
        <w:r w:rsidR="00C77F6E" w:rsidRPr="00C77F6E">
          <w:rPr>
            <w:rStyle w:val="Hyperlink"/>
          </w:rPr>
          <w:t>7.COM 14</w:t>
        </w:r>
      </w:hyperlink>
      <w:r w:rsidR="00C77F6E">
        <w:t xml:space="preserve">, </w:t>
      </w:r>
      <w:hyperlink r:id="rId22" w:history="1">
        <w:r w:rsidR="00862D23" w:rsidRPr="009D676C">
          <w:rPr>
            <w:rStyle w:val="Hyperlink"/>
          </w:rPr>
          <w:t>14.COM 14</w:t>
        </w:r>
      </w:hyperlink>
      <w:r w:rsidR="00C279AE">
        <w:t xml:space="preserve"> </w:t>
      </w:r>
      <w:r w:rsidR="009E74C1">
        <w:t xml:space="preserve">and </w:t>
      </w:r>
      <w:hyperlink r:id="rId23" w:history="1">
        <w:r w:rsidR="009E74C1" w:rsidRPr="009E74C1">
          <w:rPr>
            <w:rStyle w:val="Hyperlink"/>
          </w:rPr>
          <w:t>15.COM 8</w:t>
        </w:r>
      </w:hyperlink>
      <w:r w:rsidR="00C279AE">
        <w:t>).</w:t>
      </w:r>
    </w:p>
    <w:p w14:paraId="3AD5947A" w14:textId="7C77FDFE" w:rsidR="004172B7" w:rsidRPr="004172B7" w:rsidRDefault="004172B7">
      <w:pPr>
        <w:pStyle w:val="1GAPara"/>
        <w:numPr>
          <w:ilvl w:val="0"/>
          <w:numId w:val="7"/>
        </w:numPr>
        <w:spacing w:before="240"/>
        <w:ind w:left="567" w:hanging="567"/>
        <w:rPr>
          <w:b/>
          <w:bCs/>
        </w:rPr>
      </w:pPr>
      <w:bookmarkStart w:id="2" w:name="_Hlk79009474"/>
      <w:bookmarkEnd w:id="1"/>
      <w:r w:rsidRPr="004172B7">
        <w:rPr>
          <w:b/>
          <w:bCs/>
        </w:rPr>
        <w:t>Simplified procedures for transferring elements</w:t>
      </w:r>
      <w:r w:rsidR="007110EA">
        <w:rPr>
          <w:b/>
          <w:bCs/>
        </w:rPr>
        <w:t xml:space="preserve"> between the Lists of the Convention</w:t>
      </w:r>
    </w:p>
    <w:bookmarkEnd w:id="2"/>
    <w:p w14:paraId="6CA6DC0B" w14:textId="2E28A6CE" w:rsidR="00BE44B7" w:rsidRDefault="009D676C" w:rsidP="00E37609">
      <w:pPr>
        <w:pStyle w:val="1GAPara"/>
        <w:numPr>
          <w:ilvl w:val="0"/>
          <w:numId w:val="68"/>
        </w:numPr>
        <w:ind w:left="567" w:hanging="567"/>
        <w:jc w:val="both"/>
      </w:pPr>
      <w:r w:rsidRPr="0012313A">
        <w:t>At their online meeting in May 2021,</w:t>
      </w:r>
      <w:r w:rsidR="003622CE">
        <w:t xml:space="preserve"> many </w:t>
      </w:r>
      <w:r w:rsidRPr="009D676C">
        <w:t>e</w:t>
      </w:r>
      <w:r w:rsidR="00002795" w:rsidRPr="009D676C">
        <w:t>xperts</w:t>
      </w:r>
      <w:r>
        <w:t xml:space="preserve"> stressed that</w:t>
      </w:r>
      <w:r w:rsidR="00002795" w:rsidRPr="009D676C">
        <w:t xml:space="preserve"> </w:t>
      </w:r>
      <w:r>
        <w:t>t</w:t>
      </w:r>
      <w:r w:rsidR="00786899" w:rsidRPr="009D676C">
        <w:t xml:space="preserve">ransfer and removal should </w:t>
      </w:r>
      <w:proofErr w:type="gramStart"/>
      <w:r w:rsidR="00786899" w:rsidRPr="009D676C">
        <w:t>be seen as</w:t>
      </w:r>
      <w:proofErr w:type="gramEnd"/>
      <w:r w:rsidR="00786899" w:rsidRPr="009D676C">
        <w:t xml:space="preserve"> distinct and separate processes.</w:t>
      </w:r>
      <w:r w:rsidR="00637710">
        <w:t xml:space="preserve"> They promoted a simplified approach to transferring elements between the two Lists</w:t>
      </w:r>
      <w:r w:rsidR="008E793C">
        <w:t xml:space="preserve">, identifying an updated description of the element and community consent as crucial requirements in any transfer, </w:t>
      </w:r>
      <w:r w:rsidR="003622CE">
        <w:t xml:space="preserve">while </w:t>
      </w:r>
      <w:r w:rsidR="008E793C">
        <w:t>an appropriate process and format needed to be developed for seeking</w:t>
      </w:r>
      <w:r w:rsidR="003622CE">
        <w:t xml:space="preserve"> and expressing</w:t>
      </w:r>
      <w:r w:rsidR="008E793C">
        <w:t xml:space="preserve"> such consent.</w:t>
      </w:r>
      <w:r w:rsidR="00637710">
        <w:t xml:space="preserve"> </w:t>
      </w:r>
      <w:r w:rsidR="008E793C">
        <w:t>Linkages between the two Lists, the Register of Good Safeguarding Practices</w:t>
      </w:r>
      <w:r w:rsidR="00C0214A">
        <w:t>,</w:t>
      </w:r>
      <w:r w:rsidR="008E793C">
        <w:t xml:space="preserve"> and International Assistance were also proposed to maximize synergies between the different mechanisms</w:t>
      </w:r>
      <w:r w:rsidR="00F37142">
        <w:t>, increase</w:t>
      </w:r>
      <w:r w:rsidR="008E793C">
        <w:t xml:space="preserve"> cooperation</w:t>
      </w:r>
      <w:r w:rsidR="003622CE">
        <w:t xml:space="preserve"> and make the so far underused Register more attractive </w:t>
      </w:r>
      <w:r w:rsidR="00F37142">
        <w:t xml:space="preserve">to </w:t>
      </w:r>
      <w:r w:rsidR="003622CE">
        <w:t>submitting States</w:t>
      </w:r>
      <w:r w:rsidR="00F37142">
        <w:t xml:space="preserve"> Parties</w:t>
      </w:r>
      <w:r w:rsidR="008E793C">
        <w:t>.</w:t>
      </w:r>
    </w:p>
    <w:p w14:paraId="09D07595" w14:textId="759F0D8E" w:rsidR="00C830FA" w:rsidRDefault="00C830FA" w:rsidP="00E37609">
      <w:pPr>
        <w:pStyle w:val="1GAPara"/>
        <w:numPr>
          <w:ilvl w:val="0"/>
          <w:numId w:val="68"/>
        </w:numPr>
        <w:ind w:left="567" w:hanging="567"/>
        <w:jc w:val="both"/>
      </w:pPr>
      <w:r>
        <w:lastRenderedPageBreak/>
        <w:t>Part I of the working group</w:t>
      </w:r>
      <w:r w:rsidR="007C59AA">
        <w:t xml:space="preserve"> meeting</w:t>
      </w:r>
      <w:r>
        <w:t xml:space="preserve"> highlighted the importance of following up on the evolving situation of elements inscribed on the Lists of the Convention considering the dynamic nature of intangible cultural heritage. It specifically stressed the need to facilitate financial and technical assistance to </w:t>
      </w:r>
      <w:r w:rsidRPr="00703F3F">
        <w:t>elements inscribed on the Urgent Safeguarding List</w:t>
      </w:r>
      <w:r>
        <w:t xml:space="preserve"> and to ensure a link between the follow-up of inscribed elements and the periodic reporting mechanism (see paragraph 7 of </w:t>
      </w:r>
      <w:hyperlink r:id="rId24" w:history="1">
        <w:r w:rsidRPr="00703F3F">
          <w:rPr>
            <w:rStyle w:val="Hyperlink"/>
          </w:rPr>
          <w:t>Recommendations of Part I of the Open-ended intergovernmental working group</w:t>
        </w:r>
      </w:hyperlink>
      <w:r w:rsidR="003C08DC" w:rsidRPr="00E37853">
        <w:rPr>
          <w:rStyle w:val="Hyperlink"/>
          <w:color w:val="auto"/>
          <w:u w:val="none"/>
        </w:rPr>
        <w:t>).</w:t>
      </w:r>
    </w:p>
    <w:p w14:paraId="6CD9BB48" w14:textId="071264A5" w:rsidR="00F20414" w:rsidRPr="009D676C" w:rsidRDefault="00F20414" w:rsidP="00E37609">
      <w:pPr>
        <w:pStyle w:val="1GAPara"/>
        <w:numPr>
          <w:ilvl w:val="0"/>
          <w:numId w:val="68"/>
        </w:numPr>
        <w:ind w:left="567" w:hanging="567"/>
        <w:jc w:val="both"/>
      </w:pPr>
      <w:r>
        <w:t>The working group advocated</w:t>
      </w:r>
      <w:r w:rsidR="00140074">
        <w:t xml:space="preserve"> for</w:t>
      </w:r>
      <w:r>
        <w:t xml:space="preserve"> the definition of clear and simplified follow-up procedures.</w:t>
      </w:r>
      <w:r w:rsidRPr="002F2848">
        <w:t xml:space="preserve"> </w:t>
      </w:r>
      <w:r>
        <w:t xml:space="preserve">In line with the </w:t>
      </w:r>
      <w:r w:rsidRPr="0084050B">
        <w:t xml:space="preserve">Ethical </w:t>
      </w:r>
      <w:r w:rsidR="00193CA6">
        <w:t>P</w:t>
      </w:r>
      <w:r w:rsidRPr="0084050B">
        <w:t>rinciples</w:t>
      </w:r>
      <w:r>
        <w:t xml:space="preserve"> for </w:t>
      </w:r>
      <w:r w:rsidR="00193CA6">
        <w:t>S</w:t>
      </w:r>
      <w:r>
        <w:t xml:space="preserve">afeguarding </w:t>
      </w:r>
      <w:r w:rsidR="00193CA6">
        <w:t>I</w:t>
      </w:r>
      <w:r>
        <w:t xml:space="preserve">ntangible </w:t>
      </w:r>
      <w:r w:rsidR="00193CA6">
        <w:t>C</w:t>
      </w:r>
      <w:r>
        <w:t xml:space="preserve">ultural </w:t>
      </w:r>
      <w:r w:rsidR="00193CA6">
        <w:t>H</w:t>
      </w:r>
      <w:r>
        <w:t xml:space="preserve">eritage, it underlined the need to guarantee the key role of communities concerned, including in procedures leading to the possible transfer or removal </w:t>
      </w:r>
      <w:r w:rsidR="005F4C8A">
        <w:t xml:space="preserve">of elements of their intangible cultural heritage or specific safeguarding practices </w:t>
      </w:r>
      <w:r w:rsidR="00140074">
        <w:t>from</w:t>
      </w:r>
      <w:r w:rsidR="005F4C8A">
        <w:t xml:space="preserve"> </w:t>
      </w:r>
      <w:r>
        <w:t>the Lists of the Convention</w:t>
      </w:r>
      <w:r w:rsidR="005F4C8A">
        <w:t xml:space="preserve"> and the Register</w:t>
      </w:r>
      <w:r>
        <w:t xml:space="preserve">. While acknowledging that the roles of the different stakeholders should be clarified and evoking the possible relevance of an </w:t>
      </w:r>
      <w:r w:rsidR="00A70418">
        <w:t>arm’s</w:t>
      </w:r>
      <w:r w:rsidR="00193CA6">
        <w:t>-</w:t>
      </w:r>
      <w:r w:rsidR="00A70418">
        <w:t>length</w:t>
      </w:r>
      <w:r>
        <w:t xml:space="preserve"> </w:t>
      </w:r>
      <w:r w:rsidRPr="003720F1">
        <w:t>platform</w:t>
      </w:r>
      <w:r>
        <w:t xml:space="preserve">, the working group encouraged States Parties to ensure a participatory follow-up at the local level with communities, national </w:t>
      </w:r>
      <w:proofErr w:type="gramStart"/>
      <w:r>
        <w:t>authorities</w:t>
      </w:r>
      <w:proofErr w:type="gramEnd"/>
      <w:r>
        <w:t xml:space="preserve"> and civil society. In this regard, the use of the</w:t>
      </w:r>
      <w:r w:rsidRPr="003D3CF1">
        <w:t xml:space="preserve"> community’s language (or a language that is accessible to them) </w:t>
      </w:r>
      <w:r>
        <w:t>should be facilitated.</w:t>
      </w:r>
    </w:p>
    <w:p w14:paraId="5C04F8BF" w14:textId="5375D780" w:rsidR="007B514B" w:rsidRPr="00161293" w:rsidRDefault="007B514B" w:rsidP="00E37609">
      <w:pPr>
        <w:pStyle w:val="1GAPara"/>
        <w:numPr>
          <w:ilvl w:val="0"/>
          <w:numId w:val="68"/>
        </w:numPr>
        <w:ind w:left="567" w:hanging="567"/>
        <w:jc w:val="both"/>
      </w:pPr>
      <w:r w:rsidRPr="00161293">
        <w:t>Responding to the need for simplification expressed by the working group and experts alike, it is proposed</w:t>
      </w:r>
      <w:r w:rsidR="00BB7B09" w:rsidRPr="00161293">
        <w:t xml:space="preserve"> to</w:t>
      </w:r>
      <w:r w:rsidRPr="00161293">
        <w:t>:</w:t>
      </w:r>
    </w:p>
    <w:p w14:paraId="2610DD9B" w14:textId="67ABBC52" w:rsidR="003F236C" w:rsidRDefault="00193CA6" w:rsidP="003760DF">
      <w:pPr>
        <w:pStyle w:val="1GAPara"/>
        <w:numPr>
          <w:ilvl w:val="0"/>
          <w:numId w:val="114"/>
        </w:numPr>
        <w:ind w:left="1134" w:hanging="567"/>
        <w:jc w:val="both"/>
      </w:pPr>
      <w:r>
        <w:t>A</w:t>
      </w:r>
      <w:r w:rsidR="00BB7B09">
        <w:t>pply a r</w:t>
      </w:r>
      <w:r w:rsidR="00B80F60">
        <w:t>educed number of criteria</w:t>
      </w:r>
      <w:r w:rsidR="00AE3CCF">
        <w:t xml:space="preserve"> with requirements focusing on</w:t>
      </w:r>
      <w:r w:rsidR="00FE7B52">
        <w:t>ly on</w:t>
      </w:r>
      <w:r w:rsidR="00AE3CCF">
        <w:t xml:space="preserve"> new or updated </w:t>
      </w:r>
      <w:proofErr w:type="gramStart"/>
      <w:r w:rsidR="00AE3CCF">
        <w:t>information</w:t>
      </w:r>
      <w:r w:rsidR="00CC79A9">
        <w:t>;</w:t>
      </w:r>
      <w:proofErr w:type="gramEnd"/>
    </w:p>
    <w:p w14:paraId="3066A28F" w14:textId="06860EF7" w:rsidR="00B80F60" w:rsidRDefault="00193CA6" w:rsidP="003760DF">
      <w:pPr>
        <w:pStyle w:val="1GAPara"/>
        <w:numPr>
          <w:ilvl w:val="0"/>
          <w:numId w:val="114"/>
        </w:numPr>
        <w:ind w:left="1134" w:hanging="567"/>
        <w:jc w:val="both"/>
      </w:pPr>
      <w:r>
        <w:t>U</w:t>
      </w:r>
      <w:r w:rsidR="003F236C">
        <w:t>se t</w:t>
      </w:r>
      <w:r w:rsidR="00B80F60">
        <w:t>ransfer request form</w:t>
      </w:r>
      <w:r w:rsidR="005D29A4">
        <w:t>s</w:t>
      </w:r>
      <w:r w:rsidR="00321473">
        <w:t>, which</w:t>
      </w:r>
      <w:r w:rsidR="005D29A4">
        <w:t xml:space="preserve"> are lighter than </w:t>
      </w:r>
      <w:r w:rsidR="00DA6D61">
        <w:t xml:space="preserve">Form </w:t>
      </w:r>
      <w:r w:rsidR="005D29A4">
        <w:t xml:space="preserve">ICH-01 and </w:t>
      </w:r>
      <w:r w:rsidR="00DA6D61">
        <w:t xml:space="preserve">Form </w:t>
      </w:r>
      <w:r w:rsidR="005D29A4">
        <w:t>ICH-02</w:t>
      </w:r>
      <w:r w:rsidR="005F4C8A">
        <w:t xml:space="preserve"> and </w:t>
      </w:r>
      <w:r w:rsidR="00321473">
        <w:t xml:space="preserve">which </w:t>
      </w:r>
      <w:r w:rsidR="005F4C8A">
        <w:t>require the participation of communit</w:t>
      </w:r>
      <w:r>
        <w:t>ies</w:t>
      </w:r>
      <w:r w:rsidR="005F4C8A">
        <w:t xml:space="preserve">, groups and individuals at every </w:t>
      </w:r>
      <w:proofErr w:type="gramStart"/>
      <w:r w:rsidR="005F4C8A">
        <w:t>step</w:t>
      </w:r>
      <w:r w:rsidR="00CC79A9">
        <w:t>;</w:t>
      </w:r>
      <w:proofErr w:type="gramEnd"/>
    </w:p>
    <w:p w14:paraId="27971ADC" w14:textId="5FF8D36C" w:rsidR="003F236C" w:rsidRDefault="00193CA6" w:rsidP="003760DF">
      <w:pPr>
        <w:pStyle w:val="1GAPara"/>
        <w:numPr>
          <w:ilvl w:val="0"/>
          <w:numId w:val="114"/>
        </w:numPr>
        <w:ind w:left="1134" w:hanging="567"/>
        <w:jc w:val="both"/>
      </w:pPr>
      <w:r>
        <w:t>C</w:t>
      </w:r>
      <w:r w:rsidR="003F236C">
        <w:t xml:space="preserve">reate linkages </w:t>
      </w:r>
      <w:r w:rsidR="00CC79A9">
        <w:t>between the Urgent Safeguarding List and the Register of Good Safeguarding Practices</w:t>
      </w:r>
      <w:r w:rsidR="00153D3B">
        <w:t>, as well as with International Assistance</w:t>
      </w:r>
      <w:r w:rsidR="00CC79A9">
        <w:t>;</w:t>
      </w:r>
      <w:r>
        <w:t xml:space="preserve"> and</w:t>
      </w:r>
    </w:p>
    <w:p w14:paraId="6BFD632B" w14:textId="67D3D131" w:rsidR="00B80F60" w:rsidRDefault="00193CA6" w:rsidP="003760DF">
      <w:pPr>
        <w:pStyle w:val="1GAPara"/>
        <w:numPr>
          <w:ilvl w:val="0"/>
          <w:numId w:val="114"/>
        </w:numPr>
        <w:ind w:left="1134" w:hanging="567"/>
        <w:jc w:val="both"/>
      </w:pPr>
      <w:r>
        <w:t>E</w:t>
      </w:r>
      <w:r w:rsidR="003F236C">
        <w:t xml:space="preserve">stablish a link between the periodic reporting mechanism and </w:t>
      </w:r>
      <w:r w:rsidR="00CC79A9">
        <w:t xml:space="preserve">the </w:t>
      </w:r>
      <w:r w:rsidR="00153D3B">
        <w:t>initiation of a transfer request</w:t>
      </w:r>
      <w:r w:rsidR="00440D09">
        <w:t xml:space="preserve">, </w:t>
      </w:r>
      <w:proofErr w:type="gramStart"/>
      <w:r w:rsidR="00440D09">
        <w:t>in particular for</w:t>
      </w:r>
      <w:proofErr w:type="gramEnd"/>
      <w:r w:rsidR="00440D09">
        <w:t xml:space="preserve"> transfers between the Urgent Safeguarding List and the Representative List</w:t>
      </w:r>
      <w:r w:rsidR="00CC79A9">
        <w:t>.</w:t>
      </w:r>
    </w:p>
    <w:p w14:paraId="7C748AA7" w14:textId="46C7A677" w:rsidR="00440D09" w:rsidRPr="006175B5" w:rsidRDefault="00440D09" w:rsidP="00E37609">
      <w:pPr>
        <w:pStyle w:val="1GAPara"/>
        <w:numPr>
          <w:ilvl w:val="0"/>
          <w:numId w:val="68"/>
        </w:numPr>
        <w:ind w:left="567" w:hanging="567"/>
        <w:jc w:val="both"/>
      </w:pPr>
      <w:proofErr w:type="gramStart"/>
      <w:r w:rsidRPr="006175B5">
        <w:t>Considering the different natures and purposes of the two Lists, it</w:t>
      </w:r>
      <w:proofErr w:type="gramEnd"/>
      <w:r w:rsidRPr="006175B5">
        <w:t xml:space="preserve"> is proposed that </w:t>
      </w:r>
      <w:r w:rsidR="00D105A6" w:rsidRPr="006175B5">
        <w:t>two different transfer procedures be established</w:t>
      </w:r>
      <w:r w:rsidR="00193CA6">
        <w:t xml:space="preserve"> – one</w:t>
      </w:r>
      <w:r w:rsidR="00D105A6" w:rsidRPr="006175B5">
        <w:t xml:space="preserve"> for transfers from the Urgent Safeguarding List to the Representative List and</w:t>
      </w:r>
      <w:r w:rsidR="00193CA6">
        <w:t xml:space="preserve"> another for transfers</w:t>
      </w:r>
      <w:r w:rsidR="00D105A6" w:rsidRPr="006175B5">
        <w:t xml:space="preserve"> </w:t>
      </w:r>
      <w:r w:rsidR="00D105A6">
        <w:t>from the Representative List to the Urgent Safeguarding List</w:t>
      </w:r>
      <w:r w:rsidR="00193CA6">
        <w:t xml:space="preserve"> –</w:t>
      </w:r>
      <w:r w:rsidR="00D105A6" w:rsidRPr="006175B5">
        <w:t xml:space="preserve"> according to the following rationale</w:t>
      </w:r>
      <w:r w:rsidR="00161293">
        <w:t>s</w:t>
      </w:r>
      <w:r w:rsidR="00D105A6" w:rsidRPr="006175B5">
        <w:t xml:space="preserve">: </w:t>
      </w:r>
    </w:p>
    <w:p w14:paraId="35654E7B" w14:textId="12300C03" w:rsidR="00D105A6" w:rsidRPr="006175B5" w:rsidRDefault="00D105A6" w:rsidP="00161293">
      <w:pPr>
        <w:pStyle w:val="1GAPara"/>
        <w:numPr>
          <w:ilvl w:val="0"/>
          <w:numId w:val="8"/>
        </w:numPr>
        <w:ind w:left="1134" w:hanging="567"/>
        <w:jc w:val="both"/>
      </w:pPr>
      <w:r w:rsidRPr="006175B5">
        <w:t xml:space="preserve">The proposed procedure for transferring an element </w:t>
      </w:r>
      <w:r w:rsidRPr="00C0214A">
        <w:rPr>
          <w:u w:val="single"/>
        </w:rPr>
        <w:t>f</w:t>
      </w:r>
      <w:r w:rsidRPr="006175B5">
        <w:rPr>
          <w:u w:val="single"/>
        </w:rPr>
        <w:t>rom the Urgent Safeguarding List to the Representative List</w:t>
      </w:r>
      <w:r w:rsidRPr="006175B5">
        <w:t xml:space="preserve"> would take place within </w:t>
      </w:r>
      <w:r w:rsidRPr="00161293">
        <w:t>the 21-month cycle currently in application for nominations.</w:t>
      </w:r>
      <w:r w:rsidRPr="006175B5">
        <w:t xml:space="preserve"> </w:t>
      </w:r>
      <w:r w:rsidR="00321473">
        <w:t>Given</w:t>
      </w:r>
      <w:r w:rsidRPr="006175B5">
        <w:t xml:space="preserve"> the importance </w:t>
      </w:r>
      <w:r w:rsidR="00321473">
        <w:t>of</w:t>
      </w:r>
      <w:r w:rsidRPr="006175B5">
        <w:t xml:space="preserve"> appropriate implementation of a safeguarding plan for elements inscribed on the Urgent Safeguarding List, </w:t>
      </w:r>
      <w:r w:rsidR="00161293">
        <w:t>sufficient time should be allocated to ensure that the safeguarding plan yield</w:t>
      </w:r>
      <w:r w:rsidR="00321473">
        <w:t>s</w:t>
      </w:r>
      <w:r w:rsidR="00161293">
        <w:t xml:space="preserve"> satisfactory and lasting results for the viability of the element. To this end, </w:t>
      </w:r>
      <w:r w:rsidRPr="006175B5">
        <w:t>a direct link would be created between the periodic reporting</w:t>
      </w:r>
      <w:r w:rsidR="00161293">
        <w:t xml:space="preserve"> mechanism – providing the opportunity </w:t>
      </w:r>
      <w:r w:rsidR="00193CA6">
        <w:t>to</w:t>
      </w:r>
      <w:r w:rsidR="00161293">
        <w:t xml:space="preserve"> assess the outcomes of the safeguarding plan –</w:t>
      </w:r>
      <w:r w:rsidRPr="006175B5">
        <w:t xml:space="preserve"> and</w:t>
      </w:r>
      <w:r w:rsidR="00161293">
        <w:t xml:space="preserve"> </w:t>
      </w:r>
      <w:r w:rsidRPr="006175B5">
        <w:t>the submission of a transfer request</w:t>
      </w:r>
      <w:r w:rsidR="00321473">
        <w:t>. Namely,</w:t>
      </w:r>
      <w:r w:rsidRPr="006175B5">
        <w:t xml:space="preserve"> the submission of at least one periodic report </w:t>
      </w:r>
      <w:r w:rsidR="00161293">
        <w:t xml:space="preserve">following the regular reporting cycle </w:t>
      </w:r>
      <w:r w:rsidRPr="006175B5">
        <w:t xml:space="preserve">would be required before initiating a transfer process.  </w:t>
      </w:r>
    </w:p>
    <w:p w14:paraId="216295AA" w14:textId="53EFBEA3" w:rsidR="00D105A6" w:rsidRPr="006175B5" w:rsidRDefault="00D105A6" w:rsidP="00161293">
      <w:pPr>
        <w:pStyle w:val="1GAPara"/>
        <w:numPr>
          <w:ilvl w:val="0"/>
          <w:numId w:val="8"/>
        </w:numPr>
        <w:ind w:left="1134" w:hanging="567"/>
        <w:jc w:val="both"/>
      </w:pPr>
      <w:r w:rsidRPr="006175B5">
        <w:t xml:space="preserve">The proposed procedure for transferring an element </w:t>
      </w:r>
      <w:r w:rsidRPr="000764A6">
        <w:rPr>
          <w:u w:val="single"/>
        </w:rPr>
        <w:t>f</w:t>
      </w:r>
      <w:r w:rsidRPr="006175B5">
        <w:rPr>
          <w:u w:val="single"/>
        </w:rPr>
        <w:t>rom the Representative List to the Urgent Safeguarding List</w:t>
      </w:r>
      <w:r w:rsidRPr="006175B5">
        <w:t xml:space="preserve"> would take place within a fast-track</w:t>
      </w:r>
      <w:r w:rsidR="00272507">
        <w:t>ed</w:t>
      </w:r>
      <w:r w:rsidRPr="006175B5">
        <w:t xml:space="preserve"> 11-month cycle </w:t>
      </w:r>
      <w:proofErr w:type="gramStart"/>
      <w:r w:rsidRPr="006175B5">
        <w:t>in order to</w:t>
      </w:r>
      <w:proofErr w:type="gramEnd"/>
      <w:r w:rsidRPr="006175B5">
        <w:t xml:space="preserve"> respond as quickly as possible to the threats identified for the element and </w:t>
      </w:r>
      <w:r w:rsidR="00321473">
        <w:t xml:space="preserve">to </w:t>
      </w:r>
      <w:r w:rsidRPr="006175B5">
        <w:t>allow communities to benefit from adequate support</w:t>
      </w:r>
      <w:r w:rsidR="00161293">
        <w:t xml:space="preserve"> from the State Party and/or</w:t>
      </w:r>
      <w:r w:rsidR="00A70418">
        <w:t xml:space="preserve"> other sources of funding</w:t>
      </w:r>
      <w:r w:rsidR="00272507">
        <w:t>,</w:t>
      </w:r>
      <w:r w:rsidR="00A70418">
        <w:t xml:space="preserve"> including</w:t>
      </w:r>
      <w:r w:rsidR="00161293">
        <w:t xml:space="preserve"> the Intangible Cultural Heritage Fund</w:t>
      </w:r>
      <w:r w:rsidRPr="006175B5">
        <w:t>.</w:t>
      </w:r>
    </w:p>
    <w:p w14:paraId="0FF3451D" w14:textId="6E435BD5" w:rsidR="00492B1F" w:rsidRDefault="00492B1F" w:rsidP="00E37609">
      <w:pPr>
        <w:pStyle w:val="1GAPara"/>
        <w:keepNext/>
        <w:numPr>
          <w:ilvl w:val="0"/>
          <w:numId w:val="68"/>
        </w:numPr>
        <w:ind w:left="567" w:hanging="567"/>
        <w:jc w:val="both"/>
      </w:pPr>
      <w:r>
        <w:lastRenderedPageBreak/>
        <w:t>The working group is invited to discuss the following</w:t>
      </w:r>
      <w:r w:rsidR="00161293">
        <w:t xml:space="preserve"> p</w:t>
      </w:r>
      <w:r w:rsidR="00C93A03">
        <w:t>ropos</w:t>
      </w:r>
      <w:r w:rsidR="00994270">
        <w:t>als</w:t>
      </w:r>
      <w:r>
        <w:t>:</w:t>
      </w:r>
    </w:p>
    <w:p w14:paraId="648E790F" w14:textId="3BC96817" w:rsidR="00AF4830" w:rsidRPr="00AF4830" w:rsidRDefault="008941A1" w:rsidP="00E37609">
      <w:pPr>
        <w:pStyle w:val="1GAPara"/>
        <w:keepNext/>
        <w:numPr>
          <w:ilvl w:val="0"/>
          <w:numId w:val="0"/>
        </w:numPr>
        <w:spacing w:before="240"/>
        <w:ind w:left="567"/>
        <w:jc w:val="both"/>
        <w:rPr>
          <w:b/>
          <w:bCs/>
        </w:rPr>
      </w:pPr>
      <w:r>
        <w:rPr>
          <w:b/>
          <w:bCs/>
        </w:rPr>
        <w:t>Proposed p</w:t>
      </w:r>
      <w:r w:rsidR="00AF4830" w:rsidRPr="00AF4830">
        <w:rPr>
          <w:b/>
          <w:bCs/>
        </w:rPr>
        <w:t>rocedure</w:t>
      </w:r>
      <w:r w:rsidR="00BC374D">
        <w:rPr>
          <w:b/>
          <w:bCs/>
        </w:rPr>
        <w:t>s</w:t>
      </w:r>
      <w:r w:rsidR="00BF1A1C">
        <w:rPr>
          <w:b/>
          <w:bCs/>
        </w:rPr>
        <w:t xml:space="preserve"> for </w:t>
      </w:r>
      <w:r w:rsidR="00BF1A1C" w:rsidRPr="00F20414">
        <w:rPr>
          <w:b/>
          <w:bCs/>
          <w:u w:val="single"/>
        </w:rPr>
        <w:t>transfers</w:t>
      </w:r>
      <w:r w:rsidR="00BF1A1C">
        <w:rPr>
          <w:b/>
          <w:bCs/>
        </w:rPr>
        <w:t xml:space="preserve"> between the </w:t>
      </w:r>
      <w:r w:rsidR="007B514B">
        <w:rPr>
          <w:b/>
          <w:bCs/>
        </w:rPr>
        <w:t>Urgent Safeguarding List and the Representative List</w:t>
      </w:r>
      <w:r w:rsidR="008071ED">
        <w:rPr>
          <w:b/>
          <w:bCs/>
        </w:rPr>
        <w:t xml:space="preserve"> </w:t>
      </w:r>
      <w:r w:rsidR="00035AD8">
        <w:rPr>
          <w:b/>
          <w:bCs/>
        </w:rPr>
        <w:t>and the inclusion of successful safeguarding practices in the Register</w:t>
      </w:r>
    </w:p>
    <w:tbl>
      <w:tblPr>
        <w:tblStyle w:val="TableGrid"/>
        <w:tblW w:w="0" w:type="auto"/>
        <w:tblInd w:w="562" w:type="dxa"/>
        <w:tblLook w:val="04A0" w:firstRow="1" w:lastRow="0" w:firstColumn="1" w:lastColumn="0" w:noHBand="0" w:noVBand="1"/>
      </w:tblPr>
      <w:tblGrid>
        <w:gridCol w:w="993"/>
        <w:gridCol w:w="8073"/>
      </w:tblGrid>
      <w:tr w:rsidR="00946C25" w:rsidRPr="008447AC" w14:paraId="7C5ADAC6" w14:textId="77777777" w:rsidTr="006175B5">
        <w:trPr>
          <w:cantSplit/>
          <w:trHeight w:val="841"/>
        </w:trPr>
        <w:tc>
          <w:tcPr>
            <w:tcW w:w="993" w:type="dxa"/>
            <w:vMerge w:val="restart"/>
          </w:tcPr>
          <w:p w14:paraId="134151DA" w14:textId="1076EAEC" w:rsidR="00946C25" w:rsidRPr="008447AC" w:rsidRDefault="00946C25">
            <w:pPr>
              <w:pStyle w:val="1GAPara"/>
              <w:numPr>
                <w:ilvl w:val="0"/>
                <w:numId w:val="0"/>
              </w:numPr>
              <w:rPr>
                <w:b/>
                <w:bCs/>
              </w:rPr>
            </w:pPr>
            <w:r>
              <w:rPr>
                <w:b/>
                <w:bCs/>
              </w:rPr>
              <w:t>Step 0</w:t>
            </w:r>
          </w:p>
        </w:tc>
        <w:tc>
          <w:tcPr>
            <w:tcW w:w="8073" w:type="dxa"/>
          </w:tcPr>
          <w:p w14:paraId="1319505F" w14:textId="3E9B2302" w:rsidR="00946C25" w:rsidRPr="008447AC" w:rsidRDefault="00946C25">
            <w:pPr>
              <w:pStyle w:val="1GAPara"/>
              <w:numPr>
                <w:ilvl w:val="0"/>
                <w:numId w:val="0"/>
              </w:numPr>
              <w:rPr>
                <w:b/>
                <w:bCs/>
              </w:rPr>
            </w:pPr>
            <w:r>
              <w:rPr>
                <w:b/>
                <w:bCs/>
              </w:rPr>
              <w:t>Upstream actions (optional)</w:t>
            </w:r>
          </w:p>
          <w:p w14:paraId="4D2D17E4" w14:textId="67D4339D" w:rsidR="00946C25" w:rsidRDefault="00946C25">
            <w:pPr>
              <w:pStyle w:val="1GAPara"/>
              <w:numPr>
                <w:ilvl w:val="0"/>
                <w:numId w:val="4"/>
              </w:numPr>
              <w:ind w:left="455"/>
            </w:pPr>
            <w:r>
              <w:t xml:space="preserve">If considered necessary by </w:t>
            </w:r>
            <w:r w:rsidRPr="008447AC">
              <w:t>the State(s) Party(</w:t>
            </w:r>
            <w:proofErr w:type="spellStart"/>
            <w:r w:rsidRPr="008447AC">
              <w:t>ies</w:t>
            </w:r>
            <w:proofErr w:type="spellEnd"/>
            <w:r w:rsidRPr="008447AC">
              <w:t>)</w:t>
            </w:r>
            <w:r>
              <w:t xml:space="preserve"> and the </w:t>
            </w:r>
            <w:r w:rsidRPr="001633E0">
              <w:t>communit</w:t>
            </w:r>
            <w:r>
              <w:t>y(</w:t>
            </w:r>
            <w:proofErr w:type="spellStart"/>
            <w:r w:rsidRPr="001633E0">
              <w:t>ies</w:t>
            </w:r>
            <w:proofErr w:type="spellEnd"/>
            <w:r>
              <w:t>)</w:t>
            </w:r>
            <w:r w:rsidRPr="001633E0">
              <w:t xml:space="preserve"> concerned</w:t>
            </w:r>
            <w:r>
              <w:t xml:space="preserve">, possibility to call upon </w:t>
            </w:r>
            <w:r w:rsidR="005F551E">
              <w:t xml:space="preserve">the </w:t>
            </w:r>
            <w:r>
              <w:t>advice</w:t>
            </w:r>
            <w:r w:rsidR="0042178D">
              <w:t xml:space="preserve"> </w:t>
            </w:r>
            <w:r w:rsidR="00272507">
              <w:t>of</w:t>
            </w:r>
            <w:r w:rsidR="005F551E">
              <w:t xml:space="preserve"> experts </w:t>
            </w:r>
            <w:r w:rsidR="005622C5">
              <w:t>(</w:t>
            </w:r>
            <w:r w:rsidR="005F551E">
              <w:t>from the</w:t>
            </w:r>
            <w:r w:rsidR="0042178D">
              <w:t xml:space="preserve"> </w:t>
            </w:r>
            <w:r w:rsidR="005F551E">
              <w:t>a</w:t>
            </w:r>
            <w:r w:rsidR="005F551E" w:rsidRPr="005F551E">
              <w:t>rm’s</w:t>
            </w:r>
            <w:r w:rsidR="00BB2255">
              <w:t>-</w:t>
            </w:r>
            <w:r w:rsidR="005F551E" w:rsidRPr="005F551E">
              <w:t xml:space="preserve">length </w:t>
            </w:r>
            <w:r w:rsidR="00EB23AF">
              <w:t>platform</w:t>
            </w:r>
            <w:r w:rsidR="005622C5">
              <w:t xml:space="preserve"> </w:t>
            </w:r>
            <w:r w:rsidR="009153EF">
              <w:t>and/</w:t>
            </w:r>
            <w:r w:rsidR="005622C5">
              <w:t>or ICH NGO Forum)</w:t>
            </w:r>
            <w:r>
              <w:t xml:space="preserve"> </w:t>
            </w:r>
            <w:r w:rsidR="00BC374D">
              <w:t xml:space="preserve">through the Secretariat </w:t>
            </w:r>
            <w:r w:rsidR="00F56978">
              <w:t xml:space="preserve">at any time </w:t>
            </w:r>
            <w:r>
              <w:t>prior to the possible submission of a transfer request.</w:t>
            </w:r>
            <w:r w:rsidR="00730945">
              <w:t xml:space="preserve"> Requests for expert advice could also be made in the context of the periodic reporting mechanism. </w:t>
            </w:r>
          </w:p>
          <w:p w14:paraId="4BEDC993" w14:textId="7206A6AF" w:rsidR="00B7482E" w:rsidRPr="008447AC" w:rsidRDefault="00B7482E">
            <w:pPr>
              <w:pStyle w:val="1GAPara"/>
              <w:numPr>
                <w:ilvl w:val="0"/>
                <w:numId w:val="4"/>
              </w:numPr>
              <w:ind w:left="455"/>
              <w:rPr>
                <w:b/>
                <w:bCs/>
              </w:rPr>
            </w:pPr>
            <w:r w:rsidRPr="00600E03">
              <w:t>Communities may submit letter</w:t>
            </w:r>
            <w:r w:rsidR="00E711AC">
              <w:t>s</w:t>
            </w:r>
            <w:r w:rsidR="0058571E" w:rsidRPr="00600E03">
              <w:t xml:space="preserve"> or </w:t>
            </w:r>
            <w:r w:rsidRPr="00600E03">
              <w:t>audio</w:t>
            </w:r>
            <w:r w:rsidR="00E711AC">
              <w:t>-visual</w:t>
            </w:r>
            <w:r w:rsidRPr="00600E03">
              <w:t xml:space="preserve"> </w:t>
            </w:r>
            <w:r w:rsidR="00A70418">
              <w:t>materials</w:t>
            </w:r>
            <w:r w:rsidR="00A70418" w:rsidRPr="00600E03">
              <w:t xml:space="preserve"> </w:t>
            </w:r>
            <w:r w:rsidRPr="00600E03">
              <w:t>to the Secretariat</w:t>
            </w:r>
            <w:r w:rsidR="009A24B0" w:rsidRPr="00600E03">
              <w:t xml:space="preserve"> </w:t>
            </w:r>
            <w:r w:rsidR="005F551E">
              <w:t>–</w:t>
            </w:r>
            <w:r w:rsidR="009A24B0" w:rsidRPr="00600E03">
              <w:t xml:space="preserve"> d</w:t>
            </w:r>
            <w:r w:rsidRPr="00600E03">
              <w:t>irectly</w:t>
            </w:r>
            <w:r w:rsidR="005F551E">
              <w:t xml:space="preserve"> </w:t>
            </w:r>
            <w:r w:rsidRPr="00600E03">
              <w:t>or via accredited NGOs</w:t>
            </w:r>
            <w:r w:rsidR="00EC751C">
              <w:t>,</w:t>
            </w:r>
            <w:r w:rsidRPr="00600E03">
              <w:t xml:space="preserve"> the arm’s</w:t>
            </w:r>
            <w:r w:rsidR="00272507">
              <w:t>-</w:t>
            </w:r>
            <w:r w:rsidRPr="00600E03">
              <w:t xml:space="preserve">length </w:t>
            </w:r>
            <w:r w:rsidR="00EB23AF">
              <w:t>platform</w:t>
            </w:r>
            <w:r w:rsidR="00EC751C">
              <w:t xml:space="preserve"> and/or the ICH NGO Forum</w:t>
            </w:r>
            <w:r w:rsidR="00EB23AF" w:rsidRPr="00600E03">
              <w:t xml:space="preserve"> </w:t>
            </w:r>
            <w:r w:rsidR="0058571E" w:rsidRPr="00600E03">
              <w:t xml:space="preserve">– to express their wish to transfer an element from one List to the other. The Secretariat </w:t>
            </w:r>
            <w:r w:rsidR="00C02F76">
              <w:t xml:space="preserve">will </w:t>
            </w:r>
            <w:r w:rsidR="0058571E" w:rsidRPr="00600E03">
              <w:t>transmit such expression</w:t>
            </w:r>
            <w:r w:rsidR="00C02F76">
              <w:t>s</w:t>
            </w:r>
            <w:r w:rsidR="0058571E" w:rsidRPr="00600E03">
              <w:t xml:space="preserve"> to the State Party</w:t>
            </w:r>
            <w:r w:rsidR="00955052" w:rsidRPr="00600E03">
              <w:t xml:space="preserve"> </w:t>
            </w:r>
            <w:r w:rsidR="00272507" w:rsidRPr="00600E03">
              <w:t xml:space="preserve">concerned </w:t>
            </w:r>
            <w:r w:rsidR="00955052" w:rsidRPr="00600E03">
              <w:t xml:space="preserve">and report </w:t>
            </w:r>
            <w:r w:rsidR="00DA77C1" w:rsidRPr="00600E03">
              <w:t xml:space="preserve">to the Committee </w:t>
            </w:r>
            <w:r w:rsidR="00955052" w:rsidRPr="00600E03">
              <w:t>accordingly</w:t>
            </w:r>
            <w:r w:rsidR="0058571E" w:rsidRPr="00600E03">
              <w:t>.</w:t>
            </w:r>
            <w:r>
              <w:t xml:space="preserve"> </w:t>
            </w:r>
          </w:p>
        </w:tc>
      </w:tr>
      <w:tr w:rsidR="00946C25" w:rsidRPr="008447AC" w14:paraId="5428917E" w14:textId="77777777" w:rsidTr="0079773C">
        <w:trPr>
          <w:cantSplit/>
        </w:trPr>
        <w:tc>
          <w:tcPr>
            <w:tcW w:w="993" w:type="dxa"/>
            <w:vMerge/>
          </w:tcPr>
          <w:p w14:paraId="463B9C57" w14:textId="77777777" w:rsidR="00946C25" w:rsidRPr="008447AC" w:rsidRDefault="00946C25">
            <w:pPr>
              <w:pStyle w:val="1GAPara"/>
              <w:numPr>
                <w:ilvl w:val="0"/>
                <w:numId w:val="0"/>
              </w:numPr>
              <w:rPr>
                <w:b/>
                <w:bCs/>
              </w:rPr>
            </w:pPr>
          </w:p>
        </w:tc>
        <w:tc>
          <w:tcPr>
            <w:tcW w:w="8073" w:type="dxa"/>
            <w:shd w:val="clear" w:color="auto" w:fill="F2F2F2" w:themeFill="background1" w:themeFillShade="F2"/>
          </w:tcPr>
          <w:p w14:paraId="5B40E8D3" w14:textId="1717DA41" w:rsidR="00CD7645" w:rsidRPr="006175B5" w:rsidRDefault="00946C25">
            <w:pPr>
              <w:pStyle w:val="1GAPara"/>
              <w:numPr>
                <w:ilvl w:val="0"/>
                <w:numId w:val="0"/>
              </w:numPr>
              <w:spacing w:after="60"/>
              <w:rPr>
                <w:sz w:val="16"/>
                <w:szCs w:val="16"/>
              </w:rPr>
            </w:pPr>
            <w:r w:rsidRPr="006175B5">
              <w:rPr>
                <w:sz w:val="16"/>
                <w:szCs w:val="16"/>
              </w:rPr>
              <w:t>Cost implications</w:t>
            </w:r>
            <w:r w:rsidR="00EA2B90" w:rsidRPr="006175B5">
              <w:rPr>
                <w:sz w:val="16"/>
                <w:szCs w:val="16"/>
              </w:rPr>
              <w:t xml:space="preserve"> (overall costs will depend on the number of requests)</w:t>
            </w:r>
            <w:r w:rsidRPr="006175B5">
              <w:rPr>
                <w:sz w:val="16"/>
                <w:szCs w:val="16"/>
              </w:rPr>
              <w:t xml:space="preserve">: </w:t>
            </w:r>
          </w:p>
          <w:p w14:paraId="1D3B3538" w14:textId="3495C0E0" w:rsidR="00CD7645" w:rsidRPr="006175B5" w:rsidRDefault="006525AC">
            <w:pPr>
              <w:pStyle w:val="1GAPara"/>
              <w:numPr>
                <w:ilvl w:val="0"/>
                <w:numId w:val="48"/>
              </w:numPr>
              <w:spacing w:after="60"/>
              <w:rPr>
                <w:i/>
                <w:iCs/>
                <w:sz w:val="16"/>
                <w:szCs w:val="16"/>
              </w:rPr>
            </w:pPr>
            <w:r w:rsidRPr="006175B5">
              <w:rPr>
                <w:sz w:val="16"/>
                <w:szCs w:val="16"/>
              </w:rPr>
              <w:t>Additional Secretariat time required for</w:t>
            </w:r>
            <w:r w:rsidR="00CD7645" w:rsidRPr="006175B5">
              <w:rPr>
                <w:sz w:val="16"/>
                <w:szCs w:val="16"/>
              </w:rPr>
              <w:t xml:space="preserve">: </w:t>
            </w:r>
          </w:p>
          <w:p w14:paraId="156D0D35" w14:textId="57498EF5" w:rsidR="007D7336" w:rsidRPr="006175B5" w:rsidRDefault="00272507">
            <w:pPr>
              <w:pStyle w:val="1GAPara"/>
              <w:numPr>
                <w:ilvl w:val="1"/>
                <w:numId w:val="48"/>
              </w:numPr>
              <w:spacing w:after="60"/>
              <w:rPr>
                <w:sz w:val="16"/>
                <w:szCs w:val="16"/>
              </w:rPr>
            </w:pPr>
            <w:r>
              <w:rPr>
                <w:sz w:val="16"/>
                <w:szCs w:val="16"/>
              </w:rPr>
              <w:t>P</w:t>
            </w:r>
            <w:r w:rsidR="00EA2B90" w:rsidRPr="006175B5">
              <w:rPr>
                <w:sz w:val="16"/>
                <w:szCs w:val="16"/>
              </w:rPr>
              <w:t>rocessing, regist</w:t>
            </w:r>
            <w:r w:rsidR="00896898">
              <w:rPr>
                <w:sz w:val="16"/>
                <w:szCs w:val="16"/>
              </w:rPr>
              <w:t>ration</w:t>
            </w:r>
            <w:r w:rsidR="00225B1B" w:rsidRPr="006175B5">
              <w:rPr>
                <w:sz w:val="16"/>
                <w:szCs w:val="16"/>
              </w:rPr>
              <w:t xml:space="preserve"> and prepa</w:t>
            </w:r>
            <w:r w:rsidR="00896898">
              <w:rPr>
                <w:sz w:val="16"/>
                <w:szCs w:val="16"/>
              </w:rPr>
              <w:t>ration of</w:t>
            </w:r>
            <w:r w:rsidR="00EA2B90" w:rsidRPr="006175B5">
              <w:rPr>
                <w:sz w:val="16"/>
                <w:szCs w:val="16"/>
              </w:rPr>
              <w:t xml:space="preserve"> letters and communication</w:t>
            </w:r>
            <w:r w:rsidR="00A23BE1">
              <w:rPr>
                <w:sz w:val="16"/>
                <w:szCs w:val="16"/>
              </w:rPr>
              <w:t xml:space="preserve"> to and</w:t>
            </w:r>
            <w:r w:rsidR="00EA2B90" w:rsidRPr="006175B5">
              <w:rPr>
                <w:sz w:val="16"/>
                <w:szCs w:val="16"/>
              </w:rPr>
              <w:t xml:space="preserve"> from States Parties and communities </w:t>
            </w:r>
            <w:r>
              <w:rPr>
                <w:sz w:val="16"/>
                <w:szCs w:val="16"/>
              </w:rPr>
              <w:t xml:space="preserve">as </w:t>
            </w:r>
            <w:r w:rsidR="00225B1B" w:rsidRPr="006175B5">
              <w:rPr>
                <w:sz w:val="16"/>
                <w:szCs w:val="16"/>
              </w:rPr>
              <w:t>well as with experts</w:t>
            </w:r>
            <w:r w:rsidR="00F3457E">
              <w:rPr>
                <w:sz w:val="16"/>
                <w:szCs w:val="16"/>
              </w:rPr>
              <w:t xml:space="preserve">, </w:t>
            </w:r>
            <w:r w:rsidR="00225B1B" w:rsidRPr="006175B5">
              <w:rPr>
                <w:sz w:val="16"/>
                <w:szCs w:val="16"/>
              </w:rPr>
              <w:t>the arm’s</w:t>
            </w:r>
            <w:r>
              <w:rPr>
                <w:sz w:val="16"/>
                <w:szCs w:val="16"/>
              </w:rPr>
              <w:t>-</w:t>
            </w:r>
            <w:r w:rsidR="00225B1B" w:rsidRPr="006175B5">
              <w:rPr>
                <w:sz w:val="16"/>
                <w:szCs w:val="16"/>
              </w:rPr>
              <w:t xml:space="preserve">length </w:t>
            </w:r>
            <w:r w:rsidR="00EB23AF" w:rsidRPr="006175B5">
              <w:rPr>
                <w:sz w:val="16"/>
                <w:szCs w:val="16"/>
              </w:rPr>
              <w:t>platform</w:t>
            </w:r>
            <w:r w:rsidR="009153EF">
              <w:rPr>
                <w:sz w:val="16"/>
                <w:szCs w:val="16"/>
              </w:rPr>
              <w:t xml:space="preserve"> and/or the ICH NGO Forum</w:t>
            </w:r>
          </w:p>
          <w:p w14:paraId="7BB649F8" w14:textId="0C5404C0" w:rsidR="00CD7645" w:rsidRPr="006175B5" w:rsidRDefault="00272507" w:rsidP="006175B5">
            <w:pPr>
              <w:pStyle w:val="1GAPara"/>
              <w:numPr>
                <w:ilvl w:val="1"/>
                <w:numId w:val="48"/>
              </w:numPr>
              <w:spacing w:after="60"/>
              <w:rPr>
                <w:sz w:val="16"/>
                <w:szCs w:val="16"/>
              </w:rPr>
            </w:pPr>
            <w:r>
              <w:rPr>
                <w:sz w:val="16"/>
                <w:szCs w:val="16"/>
              </w:rPr>
              <w:t>I</w:t>
            </w:r>
            <w:r w:rsidR="00EA2B90" w:rsidRPr="006175B5">
              <w:rPr>
                <w:sz w:val="16"/>
                <w:szCs w:val="16"/>
              </w:rPr>
              <w:t xml:space="preserve">dentification of experts, </w:t>
            </w:r>
            <w:r w:rsidR="00CD7645" w:rsidRPr="006175B5">
              <w:rPr>
                <w:sz w:val="16"/>
                <w:szCs w:val="16"/>
              </w:rPr>
              <w:t>contract establishment and follow-up</w:t>
            </w:r>
          </w:p>
          <w:p w14:paraId="496CCFFC" w14:textId="65DF413A" w:rsidR="00CD7645" w:rsidRPr="006175B5" w:rsidRDefault="001D29D6">
            <w:pPr>
              <w:pStyle w:val="1GAPara"/>
              <w:numPr>
                <w:ilvl w:val="0"/>
                <w:numId w:val="48"/>
              </w:numPr>
              <w:spacing w:after="60"/>
              <w:rPr>
                <w:sz w:val="16"/>
                <w:szCs w:val="16"/>
              </w:rPr>
            </w:pPr>
            <w:r w:rsidRPr="006175B5">
              <w:rPr>
                <w:sz w:val="16"/>
                <w:szCs w:val="16"/>
              </w:rPr>
              <w:t xml:space="preserve">Additional </w:t>
            </w:r>
            <w:r w:rsidR="00E66618" w:rsidRPr="006175B5">
              <w:rPr>
                <w:sz w:val="16"/>
                <w:szCs w:val="16"/>
              </w:rPr>
              <w:t>resources</w:t>
            </w:r>
            <w:r w:rsidRPr="006175B5">
              <w:rPr>
                <w:sz w:val="16"/>
                <w:szCs w:val="16"/>
              </w:rPr>
              <w:t xml:space="preserve"> </w:t>
            </w:r>
            <w:r w:rsidR="00A510DB">
              <w:rPr>
                <w:sz w:val="16"/>
                <w:szCs w:val="16"/>
              </w:rPr>
              <w:t>(</w:t>
            </w:r>
            <w:r w:rsidRPr="006175B5">
              <w:rPr>
                <w:sz w:val="16"/>
                <w:szCs w:val="16"/>
              </w:rPr>
              <w:t xml:space="preserve">from the </w:t>
            </w:r>
            <w:r w:rsidR="00EA2B90" w:rsidRPr="006175B5">
              <w:rPr>
                <w:sz w:val="16"/>
                <w:szCs w:val="16"/>
              </w:rPr>
              <w:t>Intangible Cultural Heritage Fund</w:t>
            </w:r>
            <w:r w:rsidR="00A510DB">
              <w:rPr>
                <w:sz w:val="16"/>
                <w:szCs w:val="16"/>
              </w:rPr>
              <w:t>)</w:t>
            </w:r>
            <w:r w:rsidRPr="006175B5">
              <w:rPr>
                <w:sz w:val="16"/>
                <w:szCs w:val="16"/>
              </w:rPr>
              <w:t xml:space="preserve"> for:</w:t>
            </w:r>
          </w:p>
          <w:p w14:paraId="2C5F0018" w14:textId="65A78B45" w:rsidR="00946C25" w:rsidRPr="006175B5" w:rsidRDefault="00272507" w:rsidP="006175B5">
            <w:pPr>
              <w:pStyle w:val="1GAPara"/>
              <w:numPr>
                <w:ilvl w:val="1"/>
                <w:numId w:val="48"/>
              </w:numPr>
              <w:spacing w:after="60"/>
              <w:rPr>
                <w:sz w:val="16"/>
                <w:szCs w:val="16"/>
              </w:rPr>
            </w:pPr>
            <w:r>
              <w:rPr>
                <w:sz w:val="16"/>
                <w:szCs w:val="16"/>
              </w:rPr>
              <w:t>A</w:t>
            </w:r>
            <w:r w:rsidR="006525AC" w:rsidRPr="006175B5">
              <w:rPr>
                <w:sz w:val="16"/>
                <w:szCs w:val="16"/>
              </w:rPr>
              <w:t xml:space="preserve">dvisory services </w:t>
            </w:r>
            <w:r w:rsidR="00ED3293" w:rsidRPr="006175B5">
              <w:rPr>
                <w:sz w:val="16"/>
                <w:szCs w:val="16"/>
              </w:rPr>
              <w:t>provided by</w:t>
            </w:r>
            <w:r w:rsidR="006525AC" w:rsidRPr="006175B5">
              <w:rPr>
                <w:sz w:val="16"/>
                <w:szCs w:val="16"/>
              </w:rPr>
              <w:t xml:space="preserve"> </w:t>
            </w:r>
            <w:r w:rsidR="00EA2B90" w:rsidRPr="006175B5">
              <w:rPr>
                <w:sz w:val="16"/>
                <w:szCs w:val="16"/>
              </w:rPr>
              <w:t>expert</w:t>
            </w:r>
            <w:r>
              <w:rPr>
                <w:sz w:val="16"/>
                <w:szCs w:val="16"/>
              </w:rPr>
              <w:t>s</w:t>
            </w:r>
            <w:r w:rsidR="00BC374D">
              <w:rPr>
                <w:sz w:val="16"/>
                <w:szCs w:val="16"/>
              </w:rPr>
              <w:t>,</w:t>
            </w:r>
            <w:r w:rsidR="00A23BE1">
              <w:rPr>
                <w:sz w:val="16"/>
                <w:szCs w:val="16"/>
              </w:rPr>
              <w:t xml:space="preserve"> </w:t>
            </w:r>
            <w:r>
              <w:rPr>
                <w:sz w:val="16"/>
                <w:szCs w:val="16"/>
              </w:rPr>
              <w:t xml:space="preserve">the </w:t>
            </w:r>
            <w:r w:rsidR="009153EF">
              <w:rPr>
                <w:sz w:val="16"/>
                <w:szCs w:val="16"/>
              </w:rPr>
              <w:t xml:space="preserve">ICH </w:t>
            </w:r>
            <w:r w:rsidR="00EA2B90" w:rsidRPr="006175B5">
              <w:rPr>
                <w:sz w:val="16"/>
                <w:szCs w:val="16"/>
              </w:rPr>
              <w:t xml:space="preserve">NGO Forum </w:t>
            </w:r>
            <w:r w:rsidR="009153EF">
              <w:rPr>
                <w:sz w:val="16"/>
                <w:szCs w:val="16"/>
              </w:rPr>
              <w:t>and/</w:t>
            </w:r>
            <w:r w:rsidR="00EA2B90" w:rsidRPr="006175B5">
              <w:rPr>
                <w:sz w:val="16"/>
                <w:szCs w:val="16"/>
              </w:rPr>
              <w:t xml:space="preserve">or </w:t>
            </w:r>
            <w:r>
              <w:rPr>
                <w:sz w:val="16"/>
                <w:szCs w:val="16"/>
              </w:rPr>
              <w:t xml:space="preserve">the </w:t>
            </w:r>
            <w:r w:rsidR="00EA2B90" w:rsidRPr="006175B5">
              <w:rPr>
                <w:sz w:val="16"/>
                <w:szCs w:val="16"/>
              </w:rPr>
              <w:t>arm’s</w:t>
            </w:r>
            <w:r>
              <w:rPr>
                <w:sz w:val="16"/>
                <w:szCs w:val="16"/>
              </w:rPr>
              <w:t>-</w:t>
            </w:r>
            <w:r w:rsidR="00EA2B90" w:rsidRPr="006175B5">
              <w:rPr>
                <w:sz w:val="16"/>
                <w:szCs w:val="16"/>
              </w:rPr>
              <w:t xml:space="preserve">length </w:t>
            </w:r>
            <w:r w:rsidR="00EB23AF" w:rsidRPr="006175B5">
              <w:rPr>
                <w:sz w:val="16"/>
                <w:szCs w:val="16"/>
              </w:rPr>
              <w:t>platform</w:t>
            </w:r>
            <w:r w:rsidR="00EA2B90" w:rsidRPr="006175B5">
              <w:rPr>
                <w:sz w:val="16"/>
                <w:szCs w:val="16"/>
              </w:rPr>
              <w:t xml:space="preserve"> </w:t>
            </w:r>
          </w:p>
          <w:p w14:paraId="77E981E1" w14:textId="0FADBAAD" w:rsidR="00ED51CD" w:rsidRPr="006175B5" w:rsidRDefault="006525AC">
            <w:pPr>
              <w:pStyle w:val="1GAPara"/>
              <w:numPr>
                <w:ilvl w:val="0"/>
                <w:numId w:val="48"/>
              </w:numPr>
              <w:spacing w:after="60"/>
              <w:rPr>
                <w:sz w:val="16"/>
                <w:szCs w:val="16"/>
              </w:rPr>
            </w:pPr>
            <w:r w:rsidRPr="006175B5">
              <w:rPr>
                <w:sz w:val="16"/>
                <w:szCs w:val="16"/>
              </w:rPr>
              <w:t>Costs related to the establishment and maintenance of the arm’s</w:t>
            </w:r>
            <w:r w:rsidR="00272507">
              <w:rPr>
                <w:sz w:val="16"/>
                <w:szCs w:val="16"/>
              </w:rPr>
              <w:t>-</w:t>
            </w:r>
            <w:r w:rsidRPr="006175B5">
              <w:rPr>
                <w:sz w:val="16"/>
                <w:szCs w:val="16"/>
              </w:rPr>
              <w:t>length platform and/or costs for the work of the ICH NGO Forum</w:t>
            </w:r>
          </w:p>
        </w:tc>
      </w:tr>
      <w:tr w:rsidR="00555BE4" w:rsidRPr="008447AC" w14:paraId="53DF0A9F" w14:textId="77777777" w:rsidTr="006175B5">
        <w:trPr>
          <w:cantSplit/>
          <w:trHeight w:val="353"/>
        </w:trPr>
        <w:tc>
          <w:tcPr>
            <w:tcW w:w="993" w:type="dxa"/>
            <w:vMerge w:val="restart"/>
          </w:tcPr>
          <w:p w14:paraId="0A390228" w14:textId="2D7B6B17" w:rsidR="00555BE4" w:rsidRPr="008447AC" w:rsidRDefault="00555BE4">
            <w:pPr>
              <w:pStyle w:val="1GAPara"/>
              <w:numPr>
                <w:ilvl w:val="0"/>
                <w:numId w:val="0"/>
              </w:numPr>
              <w:rPr>
                <w:b/>
                <w:bCs/>
              </w:rPr>
            </w:pPr>
            <w:r>
              <w:rPr>
                <w:b/>
                <w:bCs/>
              </w:rPr>
              <w:t>Step</w:t>
            </w:r>
            <w:r w:rsidRPr="008447AC">
              <w:rPr>
                <w:b/>
                <w:bCs/>
              </w:rPr>
              <w:t xml:space="preserve"> 1</w:t>
            </w:r>
          </w:p>
        </w:tc>
        <w:tc>
          <w:tcPr>
            <w:tcW w:w="8073" w:type="dxa"/>
          </w:tcPr>
          <w:p w14:paraId="48147526" w14:textId="3FF07B6A" w:rsidR="00555BE4" w:rsidRPr="006175B5" w:rsidRDefault="00555BE4" w:rsidP="006175B5">
            <w:pPr>
              <w:pStyle w:val="1GAPara"/>
              <w:numPr>
                <w:ilvl w:val="0"/>
                <w:numId w:val="0"/>
              </w:numPr>
            </w:pPr>
            <w:r w:rsidRPr="008447AC">
              <w:rPr>
                <w:b/>
                <w:bCs/>
              </w:rPr>
              <w:t xml:space="preserve">Preparation </w:t>
            </w:r>
            <w:r>
              <w:rPr>
                <w:b/>
                <w:bCs/>
              </w:rPr>
              <w:t>and submission</w:t>
            </w:r>
          </w:p>
        </w:tc>
      </w:tr>
      <w:tr w:rsidR="00555BE4" w:rsidRPr="008447AC" w14:paraId="08BC5C7D" w14:textId="77777777" w:rsidTr="006175B5">
        <w:trPr>
          <w:cantSplit/>
          <w:trHeight w:val="558"/>
        </w:trPr>
        <w:tc>
          <w:tcPr>
            <w:tcW w:w="993" w:type="dxa"/>
            <w:vMerge/>
          </w:tcPr>
          <w:p w14:paraId="743DED96" w14:textId="77777777" w:rsidR="00555BE4" w:rsidRDefault="00555BE4">
            <w:pPr>
              <w:pStyle w:val="1GAPara"/>
              <w:numPr>
                <w:ilvl w:val="0"/>
                <w:numId w:val="0"/>
              </w:numPr>
              <w:rPr>
                <w:b/>
                <w:bCs/>
              </w:rPr>
            </w:pPr>
          </w:p>
        </w:tc>
        <w:tc>
          <w:tcPr>
            <w:tcW w:w="8073" w:type="dxa"/>
            <w:shd w:val="clear" w:color="auto" w:fill="DBE5F1" w:themeFill="accent1" w:themeFillTint="33"/>
          </w:tcPr>
          <w:p w14:paraId="1191A52A" w14:textId="591A0D33" w:rsidR="00555BE4" w:rsidRPr="00B87804" w:rsidRDefault="00555BE4" w:rsidP="006175B5">
            <w:pPr>
              <w:pStyle w:val="1GAPara"/>
              <w:numPr>
                <w:ilvl w:val="0"/>
                <w:numId w:val="0"/>
              </w:numPr>
              <w:spacing w:before="120"/>
              <w:rPr>
                <w:i/>
                <w:iCs/>
              </w:rPr>
            </w:pPr>
            <w:r w:rsidRPr="00B87804">
              <w:rPr>
                <w:i/>
                <w:iCs/>
              </w:rPr>
              <w:t xml:space="preserve">Transfer </w:t>
            </w:r>
            <w:r>
              <w:rPr>
                <w:i/>
                <w:iCs/>
              </w:rPr>
              <w:t xml:space="preserve">from the Urgent Safeguarding List </w:t>
            </w:r>
            <w:r w:rsidRPr="00B87804">
              <w:rPr>
                <w:i/>
                <w:iCs/>
              </w:rPr>
              <w:t xml:space="preserve">to the </w:t>
            </w:r>
            <w:r>
              <w:rPr>
                <w:i/>
                <w:iCs/>
              </w:rPr>
              <w:t>Representative List (21-month cycle)</w:t>
            </w:r>
          </w:p>
          <w:p w14:paraId="1B79E625" w14:textId="16DF3C5E" w:rsidR="00555BE4" w:rsidRDefault="00272507">
            <w:pPr>
              <w:pStyle w:val="1GAPara"/>
              <w:numPr>
                <w:ilvl w:val="0"/>
                <w:numId w:val="4"/>
              </w:numPr>
              <w:ind w:left="455"/>
            </w:pPr>
            <w:r>
              <w:t>T</w:t>
            </w:r>
            <w:r w:rsidR="00555BE4" w:rsidRPr="008447AC">
              <w:t>he process</w:t>
            </w:r>
            <w:r>
              <w:t xml:space="preserve"> is initiated</w:t>
            </w:r>
            <w:r w:rsidR="00555BE4" w:rsidRPr="008447AC">
              <w:t xml:space="preserve"> by the </w:t>
            </w:r>
            <w:r w:rsidR="00555BE4" w:rsidRPr="0025208E">
              <w:t>State(s) Party(</w:t>
            </w:r>
            <w:proofErr w:type="spellStart"/>
            <w:r w:rsidR="00555BE4" w:rsidRPr="0025208E">
              <w:t>ies</w:t>
            </w:r>
            <w:proofErr w:type="spellEnd"/>
            <w:r w:rsidR="00555BE4" w:rsidRPr="0025208E">
              <w:t>)</w:t>
            </w:r>
            <w:r w:rsidR="00555BE4">
              <w:t>.</w:t>
            </w:r>
          </w:p>
          <w:p w14:paraId="11E3ABF7" w14:textId="0D1B9A7F" w:rsidR="00555BE4" w:rsidRDefault="00555BE4">
            <w:pPr>
              <w:pStyle w:val="1GAPara"/>
              <w:numPr>
                <w:ilvl w:val="0"/>
                <w:numId w:val="4"/>
              </w:numPr>
              <w:ind w:left="455"/>
            </w:pPr>
            <w:r>
              <w:t xml:space="preserve">Given the importance of the safeguarding plan and its regular assessment through the periodic reporting mechanism, the periodic report of the Urgent Safeguarding List becomes the mechanism </w:t>
            </w:r>
            <w:r w:rsidR="00DA77C1">
              <w:t>by which State(s) Party(</w:t>
            </w:r>
            <w:proofErr w:type="spellStart"/>
            <w:r w:rsidR="00DA77C1">
              <w:t>ies</w:t>
            </w:r>
            <w:proofErr w:type="spellEnd"/>
            <w:r w:rsidR="00DA77C1">
              <w:t xml:space="preserve">) can </w:t>
            </w:r>
            <w:r>
              <w:t xml:space="preserve">initiate a transfer to the Representative List. The </w:t>
            </w:r>
            <w:r w:rsidRPr="0025208E">
              <w:t>State(s) Party(</w:t>
            </w:r>
            <w:proofErr w:type="spellStart"/>
            <w:r w:rsidRPr="0025208E">
              <w:t>ies</w:t>
            </w:r>
            <w:proofErr w:type="spellEnd"/>
            <w:r w:rsidRPr="0025208E">
              <w:t>)</w:t>
            </w:r>
            <w:r>
              <w:t xml:space="preserve"> shall indicate in its/their periodic report whether it/they intend</w:t>
            </w:r>
            <w:r w:rsidR="00272507">
              <w:t>(s)</w:t>
            </w:r>
            <w:r>
              <w:t xml:space="preserve"> to submit a transfer request before the following periodic report for the element concerned.</w:t>
            </w:r>
          </w:p>
          <w:p w14:paraId="70F9939D" w14:textId="7C9C6A44" w:rsidR="00555BE4" w:rsidRDefault="00555BE4">
            <w:pPr>
              <w:pStyle w:val="1GAPara"/>
              <w:numPr>
                <w:ilvl w:val="0"/>
                <w:numId w:val="4"/>
              </w:numPr>
              <w:ind w:left="455"/>
            </w:pPr>
            <w:r>
              <w:t>If the State(s) Party(</w:t>
            </w:r>
            <w:proofErr w:type="spellStart"/>
            <w:r>
              <w:t>ies</w:t>
            </w:r>
            <w:proofErr w:type="spellEnd"/>
            <w:r>
              <w:t xml:space="preserve">) declare in the periodic report its/their intent to submit a transfer request, </w:t>
            </w:r>
            <w:r w:rsidR="00DA77C1">
              <w:t>it/they</w:t>
            </w:r>
            <w:r>
              <w:t xml:space="preserve"> can submit a transfer file by the 31 March statutory deadline in any year until the submission of </w:t>
            </w:r>
            <w:r w:rsidR="00272507">
              <w:t xml:space="preserve">the </w:t>
            </w:r>
            <w:r>
              <w:t xml:space="preserve">next periodic report. </w:t>
            </w:r>
          </w:p>
          <w:p w14:paraId="49E5DA95" w14:textId="10347846" w:rsidR="00555BE4" w:rsidRDefault="00555BE4">
            <w:pPr>
              <w:pStyle w:val="1GAPara"/>
              <w:numPr>
                <w:ilvl w:val="0"/>
                <w:numId w:val="4"/>
              </w:numPr>
              <w:ind w:left="455"/>
            </w:pPr>
            <w:r>
              <w:t xml:space="preserve">Upon submission, the transfer file is included in the 21-month nomination cycle currently in application and is evaluated by the Evaluation Body and examined by the Committee the year after its submission. </w:t>
            </w:r>
          </w:p>
          <w:p w14:paraId="06D08649" w14:textId="0C6AE145" w:rsidR="00555BE4" w:rsidRPr="006175B5" w:rsidRDefault="00555BE4" w:rsidP="006175B5">
            <w:pPr>
              <w:pStyle w:val="1GAPara"/>
              <w:numPr>
                <w:ilvl w:val="0"/>
                <w:numId w:val="4"/>
              </w:numPr>
              <w:ind w:left="455"/>
            </w:pPr>
            <w:r>
              <w:t>A light transfer form is created, focusing on</w:t>
            </w:r>
            <w:r w:rsidR="00272507">
              <w:t>:</w:t>
            </w:r>
            <w:r>
              <w:t xml:space="preserve"> (</w:t>
            </w:r>
            <w:r w:rsidR="00272507">
              <w:t>a</w:t>
            </w:r>
            <w:r>
              <w:t xml:space="preserve">) an updated description of the element </w:t>
            </w:r>
            <w:r w:rsidRPr="00236F99">
              <w:t>explaining any changes the element has undergone since its inscription</w:t>
            </w:r>
            <w:r w:rsidR="00272507">
              <w:t>;</w:t>
            </w:r>
            <w:r>
              <w:t xml:space="preserve"> (</w:t>
            </w:r>
            <w:r w:rsidR="00272507">
              <w:t>b</w:t>
            </w:r>
            <w:r>
              <w:t xml:space="preserve">) the current level of viability and </w:t>
            </w:r>
            <w:r w:rsidR="00272507">
              <w:t xml:space="preserve">a </w:t>
            </w:r>
            <w:r>
              <w:t>description of threats</w:t>
            </w:r>
            <w:r w:rsidR="00272507">
              <w:t>;</w:t>
            </w:r>
            <w:r>
              <w:t xml:space="preserve"> (</w:t>
            </w:r>
            <w:r w:rsidR="00272507">
              <w:t>c</w:t>
            </w:r>
            <w:r>
              <w:t>) the outcomes of the implementation of the safeguarding plan</w:t>
            </w:r>
            <w:r w:rsidR="00272507">
              <w:t>;</w:t>
            </w:r>
            <w:r>
              <w:t xml:space="preserve"> and (</w:t>
            </w:r>
            <w:r w:rsidR="00272507">
              <w:t>d</w:t>
            </w:r>
            <w:r>
              <w:t>) community consent through written documents or audio-visual materials.</w:t>
            </w:r>
          </w:p>
        </w:tc>
      </w:tr>
      <w:tr w:rsidR="00555BE4" w:rsidRPr="008447AC" w14:paraId="08183C47" w14:textId="77777777" w:rsidTr="006175B5">
        <w:trPr>
          <w:cantSplit/>
          <w:trHeight w:val="3958"/>
        </w:trPr>
        <w:tc>
          <w:tcPr>
            <w:tcW w:w="993" w:type="dxa"/>
            <w:vMerge/>
          </w:tcPr>
          <w:p w14:paraId="668BF60D" w14:textId="77777777" w:rsidR="00555BE4" w:rsidRDefault="00555BE4">
            <w:pPr>
              <w:pStyle w:val="1GAPara"/>
              <w:numPr>
                <w:ilvl w:val="0"/>
                <w:numId w:val="0"/>
              </w:numPr>
              <w:rPr>
                <w:b/>
                <w:bCs/>
              </w:rPr>
            </w:pPr>
          </w:p>
        </w:tc>
        <w:tc>
          <w:tcPr>
            <w:tcW w:w="8073" w:type="dxa"/>
            <w:shd w:val="clear" w:color="auto" w:fill="FDE9D9" w:themeFill="accent6" w:themeFillTint="33"/>
          </w:tcPr>
          <w:p w14:paraId="59FD1653" w14:textId="404BAAF3" w:rsidR="00555BE4" w:rsidRPr="00B87804" w:rsidRDefault="00555BE4" w:rsidP="006175B5">
            <w:pPr>
              <w:pStyle w:val="1GAPara"/>
              <w:numPr>
                <w:ilvl w:val="0"/>
                <w:numId w:val="0"/>
              </w:numPr>
              <w:spacing w:before="120"/>
              <w:rPr>
                <w:i/>
                <w:iCs/>
              </w:rPr>
            </w:pPr>
            <w:r w:rsidRPr="00B87804">
              <w:rPr>
                <w:i/>
                <w:iCs/>
              </w:rPr>
              <w:t xml:space="preserve">Transfer </w:t>
            </w:r>
            <w:r>
              <w:rPr>
                <w:i/>
                <w:iCs/>
              </w:rPr>
              <w:t xml:space="preserve">from the Representative List </w:t>
            </w:r>
            <w:r w:rsidRPr="00B87804">
              <w:rPr>
                <w:i/>
                <w:iCs/>
              </w:rPr>
              <w:t xml:space="preserve">to the </w:t>
            </w:r>
            <w:r>
              <w:rPr>
                <w:i/>
                <w:iCs/>
              </w:rPr>
              <w:t>Urgent Safeguarding List (11-month cycle)</w:t>
            </w:r>
          </w:p>
          <w:p w14:paraId="5D4E5B2C" w14:textId="7B50DAF2" w:rsidR="00555BE4" w:rsidRDefault="00272507">
            <w:pPr>
              <w:pStyle w:val="1GAPara"/>
              <w:numPr>
                <w:ilvl w:val="0"/>
                <w:numId w:val="4"/>
              </w:numPr>
              <w:ind w:left="455"/>
            </w:pPr>
            <w:r>
              <w:t>T</w:t>
            </w:r>
            <w:r w:rsidR="00555BE4" w:rsidRPr="008447AC">
              <w:t xml:space="preserve">he </w:t>
            </w:r>
            <w:r w:rsidR="00555BE4" w:rsidRPr="0025208E">
              <w:t>State(s) Party(</w:t>
            </w:r>
            <w:proofErr w:type="spellStart"/>
            <w:r w:rsidR="00555BE4" w:rsidRPr="0025208E">
              <w:t>ies</w:t>
            </w:r>
            <w:proofErr w:type="spellEnd"/>
            <w:r w:rsidR="00555BE4" w:rsidRPr="0025208E">
              <w:t>)</w:t>
            </w:r>
            <w:r>
              <w:t xml:space="preserve"> initiate(s) the process</w:t>
            </w:r>
            <w:r w:rsidR="00555BE4">
              <w:t xml:space="preserve">. </w:t>
            </w:r>
          </w:p>
          <w:p w14:paraId="220C8BD7" w14:textId="6796C781" w:rsidR="00555BE4" w:rsidRDefault="00272507">
            <w:pPr>
              <w:pStyle w:val="1GAPara"/>
              <w:numPr>
                <w:ilvl w:val="0"/>
                <w:numId w:val="4"/>
              </w:numPr>
              <w:ind w:left="455"/>
            </w:pPr>
            <w:r>
              <w:t xml:space="preserve">The </w:t>
            </w:r>
            <w:r w:rsidRPr="0025208E">
              <w:t>State(s) Party(</w:t>
            </w:r>
            <w:proofErr w:type="spellStart"/>
            <w:r w:rsidRPr="0025208E">
              <w:t>ies</w:t>
            </w:r>
            <w:proofErr w:type="spellEnd"/>
            <w:r w:rsidRPr="0025208E">
              <w:t>)</w:t>
            </w:r>
            <w:r>
              <w:t xml:space="preserve"> submit the transfer request</w:t>
            </w:r>
            <w:r w:rsidR="00555BE4">
              <w:t xml:space="preserve"> by a new 31 January statutory deadline. </w:t>
            </w:r>
            <w:r>
              <w:t>The Secretariat registers</w:t>
            </w:r>
            <w:r w:rsidR="00555BE4">
              <w:t xml:space="preserve"> the </w:t>
            </w:r>
            <w:r w:rsidR="00E7522A">
              <w:t>request</w:t>
            </w:r>
            <w:r w:rsidR="00555BE4">
              <w:t xml:space="preserve">. </w:t>
            </w:r>
          </w:p>
          <w:p w14:paraId="091A52DD" w14:textId="7999C8A2" w:rsidR="00555BE4" w:rsidRDefault="00555BE4">
            <w:pPr>
              <w:pStyle w:val="1GAPara"/>
              <w:numPr>
                <w:ilvl w:val="0"/>
                <w:numId w:val="4"/>
              </w:numPr>
              <w:ind w:left="455"/>
            </w:pPr>
            <w:r>
              <w:t xml:space="preserve">The transfer file is transmitted to the Evaluation Body </w:t>
            </w:r>
            <w:r w:rsidR="00272507">
              <w:t>o</w:t>
            </w:r>
            <w:r>
              <w:t xml:space="preserve">n the same year </w:t>
            </w:r>
            <w:r w:rsidR="00272507">
              <w:t>of its</w:t>
            </w:r>
            <w:r>
              <w:t xml:space="preserve"> submi</w:t>
            </w:r>
            <w:r w:rsidR="00272507">
              <w:t>ssion</w:t>
            </w:r>
            <w:r w:rsidR="00DA77C1">
              <w:t>,</w:t>
            </w:r>
            <w:r>
              <w:t xml:space="preserve"> without a completeness check.</w:t>
            </w:r>
          </w:p>
          <w:p w14:paraId="226B43E4" w14:textId="1E70A038" w:rsidR="00555BE4" w:rsidRPr="006175B5" w:rsidRDefault="00555BE4" w:rsidP="006175B5">
            <w:pPr>
              <w:pStyle w:val="1GAPara"/>
              <w:numPr>
                <w:ilvl w:val="0"/>
                <w:numId w:val="4"/>
              </w:numPr>
              <w:ind w:left="455"/>
            </w:pPr>
            <w:r>
              <w:t>A light transfer form is created, focusing on</w:t>
            </w:r>
            <w:r w:rsidR="00272507">
              <w:t>:</w:t>
            </w:r>
            <w:r>
              <w:t xml:space="preserve"> (</w:t>
            </w:r>
            <w:r w:rsidR="00272507">
              <w:t>a</w:t>
            </w:r>
            <w:r>
              <w:t>) an updated description of the element</w:t>
            </w:r>
            <w:r w:rsidR="00272507">
              <w:t>,</w:t>
            </w:r>
            <w:r>
              <w:t xml:space="preserve"> </w:t>
            </w:r>
            <w:r w:rsidRPr="00164A54">
              <w:t xml:space="preserve">including justification for the need </w:t>
            </w:r>
            <w:r w:rsidR="00272507">
              <w:t>f</w:t>
            </w:r>
            <w:r w:rsidRPr="00164A54">
              <w:t>o</w:t>
            </w:r>
            <w:r w:rsidR="00272507">
              <w:t>r</w:t>
            </w:r>
            <w:r w:rsidRPr="00164A54">
              <w:t xml:space="preserve"> urgent safeguarding</w:t>
            </w:r>
            <w:r w:rsidR="00272507">
              <w:t>;</w:t>
            </w:r>
            <w:r>
              <w:t xml:space="preserve"> (</w:t>
            </w:r>
            <w:r w:rsidR="00272507">
              <w:t>b</w:t>
            </w:r>
            <w:r>
              <w:t>)</w:t>
            </w:r>
            <w:r w:rsidR="007440CA">
              <w:t> </w:t>
            </w:r>
            <w:r>
              <w:t>a safeguarding plan</w:t>
            </w:r>
            <w:r w:rsidR="00EC751C">
              <w:t>,</w:t>
            </w:r>
            <w:r>
              <w:t xml:space="preserve"> </w:t>
            </w:r>
            <w:r w:rsidR="00EC751C">
              <w:t xml:space="preserve">including </w:t>
            </w:r>
            <w:r>
              <w:t>possible expression of the need for International Assistance to support its implementation</w:t>
            </w:r>
            <w:r w:rsidR="00272507">
              <w:t>;</w:t>
            </w:r>
            <w:r>
              <w:t xml:space="preserve"> and (</w:t>
            </w:r>
            <w:r w:rsidR="00272507">
              <w:t>c</w:t>
            </w:r>
            <w:r>
              <w:t>) community consent through written documents or audio-visual materials.</w:t>
            </w:r>
          </w:p>
        </w:tc>
      </w:tr>
      <w:tr w:rsidR="00555BE4" w:rsidRPr="008447AC" w14:paraId="5DA85566" w14:textId="77777777" w:rsidTr="006175B5">
        <w:trPr>
          <w:cantSplit/>
          <w:trHeight w:val="1543"/>
        </w:trPr>
        <w:tc>
          <w:tcPr>
            <w:tcW w:w="993" w:type="dxa"/>
            <w:vMerge/>
          </w:tcPr>
          <w:p w14:paraId="4E02ABFF" w14:textId="77777777" w:rsidR="00555BE4" w:rsidRDefault="00555BE4">
            <w:pPr>
              <w:pStyle w:val="1GAPara"/>
              <w:numPr>
                <w:ilvl w:val="0"/>
                <w:numId w:val="0"/>
              </w:numPr>
              <w:rPr>
                <w:b/>
                <w:bCs/>
              </w:rPr>
            </w:pPr>
            <w:bookmarkStart w:id="3" w:name="_Hlk80954828"/>
          </w:p>
        </w:tc>
        <w:tc>
          <w:tcPr>
            <w:tcW w:w="8073" w:type="dxa"/>
            <w:shd w:val="clear" w:color="auto" w:fill="D9D9D9" w:themeFill="background1" w:themeFillShade="D9"/>
          </w:tcPr>
          <w:p w14:paraId="36192CAD" w14:textId="77777777" w:rsidR="00555BE4" w:rsidRPr="00E17E9B" w:rsidRDefault="00555BE4">
            <w:pPr>
              <w:pStyle w:val="1GAPara"/>
              <w:numPr>
                <w:ilvl w:val="0"/>
                <w:numId w:val="0"/>
              </w:numPr>
              <w:spacing w:after="60"/>
              <w:rPr>
                <w:sz w:val="16"/>
                <w:szCs w:val="16"/>
              </w:rPr>
            </w:pPr>
            <w:r w:rsidRPr="00E17E9B">
              <w:rPr>
                <w:sz w:val="16"/>
                <w:szCs w:val="16"/>
              </w:rPr>
              <w:t xml:space="preserve">Cost implications (overall costs will depend on the number of requests): </w:t>
            </w:r>
          </w:p>
          <w:p w14:paraId="7ED3AAEE" w14:textId="77777777" w:rsidR="00555BE4" w:rsidRPr="00E17E9B" w:rsidRDefault="00555BE4">
            <w:pPr>
              <w:pStyle w:val="1GAPara"/>
              <w:numPr>
                <w:ilvl w:val="0"/>
                <w:numId w:val="48"/>
              </w:numPr>
              <w:spacing w:after="60"/>
              <w:rPr>
                <w:i/>
                <w:iCs/>
                <w:sz w:val="16"/>
                <w:szCs w:val="16"/>
              </w:rPr>
            </w:pPr>
            <w:r w:rsidRPr="00E17E9B">
              <w:rPr>
                <w:sz w:val="16"/>
                <w:szCs w:val="16"/>
              </w:rPr>
              <w:t xml:space="preserve"> Additional Secretariat time required for:  </w:t>
            </w:r>
          </w:p>
          <w:p w14:paraId="1951749C" w14:textId="6A8DDBD7" w:rsidR="00555BE4" w:rsidRPr="00E17E9B" w:rsidRDefault="00272507">
            <w:pPr>
              <w:pStyle w:val="1GAPara"/>
              <w:numPr>
                <w:ilvl w:val="1"/>
                <w:numId w:val="48"/>
              </w:numPr>
              <w:spacing w:after="60"/>
              <w:rPr>
                <w:sz w:val="16"/>
                <w:szCs w:val="16"/>
              </w:rPr>
            </w:pPr>
            <w:r>
              <w:rPr>
                <w:sz w:val="16"/>
                <w:szCs w:val="16"/>
              </w:rPr>
              <w:t>C</w:t>
            </w:r>
            <w:r w:rsidR="00555BE4" w:rsidRPr="00E17E9B">
              <w:rPr>
                <w:sz w:val="16"/>
                <w:szCs w:val="16"/>
              </w:rPr>
              <w:t>ommunication with States</w:t>
            </w:r>
            <w:r>
              <w:rPr>
                <w:sz w:val="16"/>
                <w:szCs w:val="16"/>
              </w:rPr>
              <w:t xml:space="preserve"> Parties</w:t>
            </w:r>
            <w:r w:rsidR="00555BE4" w:rsidRPr="00E17E9B">
              <w:rPr>
                <w:sz w:val="16"/>
                <w:szCs w:val="16"/>
              </w:rPr>
              <w:t xml:space="preserve"> intend</w:t>
            </w:r>
            <w:r>
              <w:rPr>
                <w:sz w:val="16"/>
                <w:szCs w:val="16"/>
              </w:rPr>
              <w:t>ing</w:t>
            </w:r>
            <w:r w:rsidR="00555BE4" w:rsidRPr="00E17E9B">
              <w:rPr>
                <w:sz w:val="16"/>
                <w:szCs w:val="16"/>
              </w:rPr>
              <w:t xml:space="preserve"> to submit a transfer request</w:t>
            </w:r>
          </w:p>
          <w:p w14:paraId="64F339CB" w14:textId="5F37C7E8" w:rsidR="00555BE4" w:rsidRPr="00E17E9B" w:rsidRDefault="00272507">
            <w:pPr>
              <w:pStyle w:val="1GAPara"/>
              <w:numPr>
                <w:ilvl w:val="1"/>
                <w:numId w:val="48"/>
              </w:numPr>
              <w:spacing w:after="60"/>
              <w:rPr>
                <w:sz w:val="16"/>
                <w:szCs w:val="16"/>
              </w:rPr>
            </w:pPr>
            <w:r>
              <w:rPr>
                <w:sz w:val="16"/>
                <w:szCs w:val="16"/>
              </w:rPr>
              <w:t>T</w:t>
            </w:r>
            <w:r w:rsidR="00555BE4" w:rsidRPr="00E17E9B">
              <w:rPr>
                <w:sz w:val="16"/>
                <w:szCs w:val="16"/>
              </w:rPr>
              <w:t>reatment of additional files (correspondence, completeness check, etc.)</w:t>
            </w:r>
          </w:p>
          <w:p w14:paraId="61FD18A1" w14:textId="65DB89BD" w:rsidR="00555BE4" w:rsidRPr="00E17E9B" w:rsidRDefault="00555BE4">
            <w:pPr>
              <w:pStyle w:val="1GAPara"/>
              <w:numPr>
                <w:ilvl w:val="0"/>
                <w:numId w:val="48"/>
              </w:numPr>
              <w:spacing w:after="60"/>
              <w:rPr>
                <w:sz w:val="16"/>
                <w:szCs w:val="16"/>
              </w:rPr>
            </w:pPr>
            <w:r w:rsidRPr="00E17E9B">
              <w:rPr>
                <w:sz w:val="16"/>
                <w:szCs w:val="16"/>
              </w:rPr>
              <w:t>Additional</w:t>
            </w:r>
            <w:r w:rsidR="00A510DB">
              <w:rPr>
                <w:sz w:val="16"/>
                <w:szCs w:val="16"/>
              </w:rPr>
              <w:t xml:space="preserve"> financial</w:t>
            </w:r>
            <w:r w:rsidRPr="00E17E9B">
              <w:rPr>
                <w:sz w:val="16"/>
                <w:szCs w:val="16"/>
              </w:rPr>
              <w:t xml:space="preserve"> resources for:</w:t>
            </w:r>
          </w:p>
          <w:p w14:paraId="578D2A9B" w14:textId="79FCF255" w:rsidR="00555BE4" w:rsidRPr="006175B5" w:rsidRDefault="00272507" w:rsidP="006175B5">
            <w:pPr>
              <w:pStyle w:val="1GAPara"/>
              <w:numPr>
                <w:ilvl w:val="1"/>
                <w:numId w:val="48"/>
              </w:numPr>
              <w:spacing w:after="60"/>
              <w:rPr>
                <w:sz w:val="16"/>
                <w:szCs w:val="16"/>
              </w:rPr>
            </w:pPr>
            <w:r>
              <w:rPr>
                <w:sz w:val="16"/>
                <w:szCs w:val="16"/>
              </w:rPr>
              <w:t>T</w:t>
            </w:r>
            <w:r w:rsidR="00555BE4" w:rsidRPr="00555BE4">
              <w:rPr>
                <w:sz w:val="16"/>
                <w:szCs w:val="16"/>
              </w:rPr>
              <w:t>ranslation of additional files</w:t>
            </w:r>
          </w:p>
        </w:tc>
      </w:tr>
      <w:bookmarkEnd w:id="3"/>
      <w:tr w:rsidR="00946C25" w:rsidRPr="008447AC" w14:paraId="10155EC3" w14:textId="77777777" w:rsidTr="006175B5">
        <w:trPr>
          <w:cantSplit/>
          <w:trHeight w:val="2125"/>
        </w:trPr>
        <w:tc>
          <w:tcPr>
            <w:tcW w:w="993" w:type="dxa"/>
            <w:vMerge w:val="restart"/>
          </w:tcPr>
          <w:p w14:paraId="45048F85" w14:textId="15124FA9" w:rsidR="00946C25" w:rsidRPr="008447AC" w:rsidRDefault="00946C25">
            <w:pPr>
              <w:pStyle w:val="1GAPara"/>
              <w:numPr>
                <w:ilvl w:val="0"/>
                <w:numId w:val="0"/>
              </w:numPr>
              <w:rPr>
                <w:b/>
                <w:bCs/>
              </w:rPr>
            </w:pPr>
            <w:r>
              <w:rPr>
                <w:b/>
                <w:bCs/>
              </w:rPr>
              <w:t>Step</w:t>
            </w:r>
            <w:r w:rsidRPr="008447AC">
              <w:rPr>
                <w:b/>
                <w:bCs/>
              </w:rPr>
              <w:t xml:space="preserve"> 2</w:t>
            </w:r>
          </w:p>
        </w:tc>
        <w:tc>
          <w:tcPr>
            <w:tcW w:w="8073" w:type="dxa"/>
          </w:tcPr>
          <w:p w14:paraId="163D04FB" w14:textId="77777777" w:rsidR="00946C25" w:rsidRPr="002E78DB" w:rsidRDefault="00946C25">
            <w:pPr>
              <w:pStyle w:val="1GAPara"/>
              <w:numPr>
                <w:ilvl w:val="0"/>
                <w:numId w:val="0"/>
              </w:numPr>
              <w:rPr>
                <w:b/>
                <w:bCs/>
              </w:rPr>
            </w:pPr>
            <w:r w:rsidRPr="002E78DB">
              <w:rPr>
                <w:b/>
                <w:bCs/>
              </w:rPr>
              <w:t>Evaluation</w:t>
            </w:r>
          </w:p>
          <w:p w14:paraId="17013247" w14:textId="21F241C5" w:rsidR="002E78DB" w:rsidRDefault="00DA77C1">
            <w:pPr>
              <w:pStyle w:val="1GAPara"/>
              <w:numPr>
                <w:ilvl w:val="0"/>
                <w:numId w:val="4"/>
              </w:numPr>
              <w:ind w:left="455"/>
            </w:pPr>
            <w:r>
              <w:t>The transfer request is e</w:t>
            </w:r>
            <w:r w:rsidR="00946C25">
              <w:t>valuat</w:t>
            </w:r>
            <w:r>
              <w:t>ed</w:t>
            </w:r>
            <w:r w:rsidR="00946C25" w:rsidRPr="00236F99">
              <w:t xml:space="preserve"> </w:t>
            </w:r>
            <w:r w:rsidR="005D6A25" w:rsidRPr="005D6A25">
              <w:t>by</w:t>
            </w:r>
            <w:r w:rsidR="002401D6">
              <w:t>:</w:t>
            </w:r>
            <w:r w:rsidR="005D6A25" w:rsidRPr="005D6A25">
              <w:t xml:space="preserve"> (</w:t>
            </w:r>
            <w:r w:rsidR="002401D6">
              <w:t>a</w:t>
            </w:r>
            <w:r w:rsidR="005D6A25" w:rsidRPr="005D6A25">
              <w:t xml:space="preserve">) the Evaluation Body </w:t>
            </w:r>
            <w:proofErr w:type="gramStart"/>
            <w:r w:rsidR="005D6A25" w:rsidRPr="005D6A25">
              <w:t>as a whole</w:t>
            </w:r>
            <w:r w:rsidR="00730945">
              <w:t xml:space="preserve"> following</w:t>
            </w:r>
            <w:proofErr w:type="gramEnd"/>
            <w:r w:rsidR="00730945">
              <w:t xml:space="preserve"> its current working methods</w:t>
            </w:r>
            <w:r>
              <w:t>,</w:t>
            </w:r>
            <w:r w:rsidR="005D6A25" w:rsidRPr="005D6A25">
              <w:t xml:space="preserve"> </w:t>
            </w:r>
            <w:r w:rsidR="005D6A25" w:rsidRPr="002E78DB">
              <w:t>or</w:t>
            </w:r>
            <w:r w:rsidR="005D6A25" w:rsidRPr="005D6A25">
              <w:t xml:space="preserve"> (</w:t>
            </w:r>
            <w:r w:rsidR="002401D6">
              <w:t>b</w:t>
            </w:r>
            <w:r w:rsidR="005D6A25" w:rsidRPr="005D6A25">
              <w:t xml:space="preserve">) two members </w:t>
            </w:r>
            <w:r w:rsidR="002401D6">
              <w:t>of</w:t>
            </w:r>
            <w:r w:rsidR="002401D6" w:rsidRPr="005D6A25">
              <w:t xml:space="preserve"> </w:t>
            </w:r>
            <w:r w:rsidR="005D6A25" w:rsidRPr="005D6A25">
              <w:t>the Evaluation Body (</w:t>
            </w:r>
            <w:r w:rsidR="002401D6">
              <w:t xml:space="preserve">an </w:t>
            </w:r>
            <w:r w:rsidR="005D6A25" w:rsidRPr="005D6A25">
              <w:t>accredited NGO and expert from the region concerned)</w:t>
            </w:r>
            <w:r w:rsidR="00730945">
              <w:t xml:space="preserve"> who carry out an initial assessment which would then be collectively discussed by all members of the Evaluation Body.</w:t>
            </w:r>
            <w:r w:rsidR="002B63D3">
              <w:t xml:space="preserve"> </w:t>
            </w:r>
          </w:p>
          <w:p w14:paraId="5B02A8DF" w14:textId="3F1889A4" w:rsidR="00AF2AAF" w:rsidRPr="006175B5" w:rsidRDefault="002401D6">
            <w:pPr>
              <w:pStyle w:val="1GAPara"/>
              <w:numPr>
                <w:ilvl w:val="0"/>
                <w:numId w:val="4"/>
              </w:numPr>
              <w:ind w:left="455"/>
            </w:pPr>
            <w:r>
              <w:t>For each type of transfer, t</w:t>
            </w:r>
            <w:r w:rsidR="00730945">
              <w:t xml:space="preserve">he evaluation </w:t>
            </w:r>
            <w:r w:rsidR="005D6A25">
              <w:t>o</w:t>
            </w:r>
            <w:r w:rsidR="00946C25" w:rsidRPr="006B64CF">
              <w:t>f the</w:t>
            </w:r>
            <w:r w:rsidR="00946C25" w:rsidRPr="00236F99">
              <w:t xml:space="preserve"> co</w:t>
            </w:r>
            <w:r w:rsidR="00946C25">
              <w:t xml:space="preserve">nformity </w:t>
            </w:r>
            <w:r w:rsidR="00946C25" w:rsidRPr="00236F99">
              <w:t xml:space="preserve">of the transfer </w:t>
            </w:r>
            <w:r w:rsidR="00946C25">
              <w:t>request</w:t>
            </w:r>
            <w:r w:rsidR="00946C25" w:rsidRPr="00236F99">
              <w:t xml:space="preserve"> </w:t>
            </w:r>
            <w:r w:rsidR="00730945">
              <w:t xml:space="preserve">is based on </w:t>
            </w:r>
            <w:r w:rsidR="00946C25">
              <w:t xml:space="preserve">a reduced number of </w:t>
            </w:r>
            <w:r w:rsidR="00946C25" w:rsidRPr="00236F99">
              <w:t>criteria</w:t>
            </w:r>
            <w:r>
              <w:t>,</w:t>
            </w:r>
            <w:r w:rsidR="008845A3">
              <w:t xml:space="preserve"> as follows:</w:t>
            </w:r>
          </w:p>
        </w:tc>
      </w:tr>
      <w:tr w:rsidR="00164A54" w14:paraId="79C8643E" w14:textId="77777777" w:rsidTr="006175B5">
        <w:trPr>
          <w:cantSplit/>
          <w:trHeight w:val="384"/>
        </w:trPr>
        <w:tc>
          <w:tcPr>
            <w:tcW w:w="993" w:type="dxa"/>
            <w:vMerge/>
          </w:tcPr>
          <w:p w14:paraId="6200F58E" w14:textId="77777777" w:rsidR="00164A54" w:rsidRDefault="00164A54">
            <w:pPr>
              <w:pStyle w:val="1GAPara"/>
              <w:numPr>
                <w:ilvl w:val="0"/>
                <w:numId w:val="0"/>
              </w:numPr>
            </w:pPr>
          </w:p>
        </w:tc>
        <w:tc>
          <w:tcPr>
            <w:tcW w:w="8073" w:type="dxa"/>
            <w:shd w:val="clear" w:color="auto" w:fill="DBE5F1" w:themeFill="accent1" w:themeFillTint="33"/>
          </w:tcPr>
          <w:p w14:paraId="6DC043E9" w14:textId="77777777" w:rsidR="00164A54" w:rsidRPr="00B87804" w:rsidRDefault="00164A54">
            <w:pPr>
              <w:pStyle w:val="1GAPara"/>
              <w:numPr>
                <w:ilvl w:val="0"/>
                <w:numId w:val="0"/>
              </w:numPr>
              <w:spacing w:before="120"/>
              <w:rPr>
                <w:i/>
                <w:iCs/>
              </w:rPr>
            </w:pPr>
            <w:r w:rsidRPr="00B87804">
              <w:rPr>
                <w:i/>
                <w:iCs/>
              </w:rPr>
              <w:t xml:space="preserve">Transfer </w:t>
            </w:r>
            <w:r>
              <w:rPr>
                <w:i/>
                <w:iCs/>
              </w:rPr>
              <w:t xml:space="preserve">from the Urgent Safeguarding List </w:t>
            </w:r>
            <w:r w:rsidRPr="00B87804">
              <w:rPr>
                <w:i/>
                <w:iCs/>
              </w:rPr>
              <w:t xml:space="preserve">to the </w:t>
            </w:r>
            <w:r>
              <w:rPr>
                <w:i/>
                <w:iCs/>
              </w:rPr>
              <w:t>Representative List (21-month cycle)</w:t>
            </w:r>
          </w:p>
          <w:p w14:paraId="39D15B98" w14:textId="1794A81F" w:rsidR="00164A54" w:rsidRDefault="00164A54" w:rsidP="006175B5">
            <w:pPr>
              <w:pStyle w:val="1GAPara"/>
              <w:numPr>
                <w:ilvl w:val="0"/>
                <w:numId w:val="4"/>
              </w:numPr>
              <w:ind w:left="455"/>
            </w:pPr>
            <w:r>
              <w:t>Criterion R.1: Updated description of the element addressing the changes in the viability of the element in relation to the original criterion U.2.</w:t>
            </w:r>
          </w:p>
          <w:p w14:paraId="2FB3ADBC" w14:textId="77777777" w:rsidR="00164A54" w:rsidRDefault="00164A54" w:rsidP="006175B5">
            <w:pPr>
              <w:pStyle w:val="1GAPara"/>
              <w:numPr>
                <w:ilvl w:val="0"/>
                <w:numId w:val="4"/>
              </w:numPr>
              <w:ind w:left="455"/>
            </w:pPr>
            <w:r>
              <w:t xml:space="preserve">Criterion R.3: Assessment of the implementation of the safeguarding plan described under the original criterion U.3 and safeguarding measures </w:t>
            </w:r>
            <w:proofErr w:type="gramStart"/>
            <w:r>
              <w:t>planned for the future</w:t>
            </w:r>
            <w:proofErr w:type="gramEnd"/>
            <w:r>
              <w:t>.</w:t>
            </w:r>
          </w:p>
          <w:p w14:paraId="59D920B3" w14:textId="34B2E12D" w:rsidR="00164A54" w:rsidRPr="006175B5" w:rsidRDefault="00164A54" w:rsidP="006175B5">
            <w:pPr>
              <w:pStyle w:val="1GAPara"/>
              <w:numPr>
                <w:ilvl w:val="0"/>
                <w:numId w:val="4"/>
              </w:numPr>
              <w:ind w:left="455"/>
            </w:pPr>
            <w:r>
              <w:t xml:space="preserve">Criterion R.4: Consent from the </w:t>
            </w:r>
            <w:r w:rsidR="00EC751C">
              <w:t xml:space="preserve">same </w:t>
            </w:r>
            <w:r>
              <w:t>communities, groups and individuals that had initially agreed to the inscription on the Urgent Safeguarding List.</w:t>
            </w:r>
          </w:p>
        </w:tc>
      </w:tr>
      <w:tr w:rsidR="00164A54" w14:paraId="6E7EE108" w14:textId="77777777" w:rsidTr="006175B5">
        <w:trPr>
          <w:cantSplit/>
          <w:trHeight w:val="384"/>
        </w:trPr>
        <w:tc>
          <w:tcPr>
            <w:tcW w:w="993" w:type="dxa"/>
            <w:vMerge/>
          </w:tcPr>
          <w:p w14:paraId="76C20D3D" w14:textId="77777777" w:rsidR="00164A54" w:rsidRDefault="00164A54">
            <w:pPr>
              <w:pStyle w:val="1GAPara"/>
              <w:numPr>
                <w:ilvl w:val="0"/>
                <w:numId w:val="0"/>
              </w:numPr>
            </w:pPr>
          </w:p>
        </w:tc>
        <w:tc>
          <w:tcPr>
            <w:tcW w:w="8073" w:type="dxa"/>
            <w:shd w:val="clear" w:color="auto" w:fill="FDE9D9" w:themeFill="accent6" w:themeFillTint="33"/>
          </w:tcPr>
          <w:p w14:paraId="156B8A6F" w14:textId="77777777" w:rsidR="00164A54" w:rsidRPr="00B87804" w:rsidRDefault="00164A54" w:rsidP="006175B5">
            <w:pPr>
              <w:pStyle w:val="1GAPara"/>
              <w:numPr>
                <w:ilvl w:val="0"/>
                <w:numId w:val="0"/>
              </w:numPr>
              <w:spacing w:before="240"/>
              <w:rPr>
                <w:i/>
                <w:iCs/>
              </w:rPr>
            </w:pPr>
            <w:r w:rsidRPr="00B87804">
              <w:rPr>
                <w:i/>
                <w:iCs/>
              </w:rPr>
              <w:t xml:space="preserve">Transfer </w:t>
            </w:r>
            <w:r>
              <w:rPr>
                <w:i/>
                <w:iCs/>
              </w:rPr>
              <w:t xml:space="preserve">from the Representative List </w:t>
            </w:r>
            <w:r w:rsidRPr="00B87804">
              <w:rPr>
                <w:i/>
                <w:iCs/>
              </w:rPr>
              <w:t xml:space="preserve">to the </w:t>
            </w:r>
            <w:r>
              <w:rPr>
                <w:i/>
                <w:iCs/>
              </w:rPr>
              <w:t>Urgent Safeguarding List (11-month cycle)</w:t>
            </w:r>
          </w:p>
          <w:p w14:paraId="326756BA" w14:textId="2B653258" w:rsidR="00164A54" w:rsidRDefault="00164A54">
            <w:pPr>
              <w:pStyle w:val="1GAPara"/>
              <w:numPr>
                <w:ilvl w:val="0"/>
                <w:numId w:val="4"/>
              </w:numPr>
              <w:ind w:left="455"/>
            </w:pPr>
            <w:r>
              <w:t>Criterion U.1: Updated description of the element</w:t>
            </w:r>
            <w:r w:rsidR="002401D6">
              <w:t>,</w:t>
            </w:r>
            <w:r>
              <w:t xml:space="preserve"> including justification for the need </w:t>
            </w:r>
            <w:r w:rsidR="002401D6">
              <w:t>f</w:t>
            </w:r>
            <w:r>
              <w:t>o</w:t>
            </w:r>
            <w:r w:rsidR="002401D6">
              <w:t>r</w:t>
            </w:r>
            <w:r>
              <w:t xml:space="preserve"> urgent safeguarding.</w:t>
            </w:r>
          </w:p>
          <w:p w14:paraId="4176FADB" w14:textId="644924AC" w:rsidR="00164A54" w:rsidRDefault="00164A54">
            <w:pPr>
              <w:pStyle w:val="1GAPara"/>
              <w:numPr>
                <w:ilvl w:val="0"/>
                <w:numId w:val="4"/>
              </w:numPr>
              <w:ind w:left="455"/>
            </w:pPr>
            <w:r>
              <w:t>Criterion U.3: Adequate safeguarding plan and conformity with criteria for International Assistance (if requested)</w:t>
            </w:r>
            <w:r w:rsidR="002401D6">
              <w:t>.</w:t>
            </w:r>
            <w:r>
              <w:t xml:space="preserve"> International Assistance could include the revision of the safeguarding plan</w:t>
            </w:r>
            <w:r w:rsidR="00DA77C1">
              <w:t>,</w:t>
            </w:r>
            <w:r>
              <w:t xml:space="preserve"> if it is not considered fully adequate to respond to the threats identified.</w:t>
            </w:r>
          </w:p>
          <w:p w14:paraId="0D82D054" w14:textId="1C2E248B" w:rsidR="00164A54" w:rsidRPr="0031227F" w:rsidRDefault="00164A54" w:rsidP="006175B5">
            <w:pPr>
              <w:pStyle w:val="1GAPara"/>
              <w:numPr>
                <w:ilvl w:val="0"/>
                <w:numId w:val="4"/>
              </w:numPr>
              <w:ind w:left="455"/>
            </w:pPr>
            <w:r>
              <w:t xml:space="preserve">Criterion U.4: Consent from the </w:t>
            </w:r>
            <w:r w:rsidR="00EC751C">
              <w:t xml:space="preserve">same </w:t>
            </w:r>
            <w:r>
              <w:t>communities, groups and individuals that had initially agreed to inscription on the Representative List.</w:t>
            </w:r>
          </w:p>
        </w:tc>
      </w:tr>
      <w:tr w:rsidR="00164A54" w14:paraId="722D4BC6" w14:textId="77777777" w:rsidTr="006175B5">
        <w:trPr>
          <w:cantSplit/>
          <w:trHeight w:val="384"/>
        </w:trPr>
        <w:tc>
          <w:tcPr>
            <w:tcW w:w="993" w:type="dxa"/>
            <w:vMerge/>
          </w:tcPr>
          <w:p w14:paraId="419E81C0" w14:textId="77777777" w:rsidR="00164A54" w:rsidRDefault="00164A54">
            <w:pPr>
              <w:pStyle w:val="1GAPara"/>
              <w:numPr>
                <w:ilvl w:val="0"/>
                <w:numId w:val="0"/>
              </w:numPr>
            </w:pPr>
          </w:p>
        </w:tc>
        <w:tc>
          <w:tcPr>
            <w:tcW w:w="8073" w:type="dxa"/>
            <w:shd w:val="clear" w:color="auto" w:fill="EAF1DD" w:themeFill="accent3" w:themeFillTint="33"/>
          </w:tcPr>
          <w:p w14:paraId="1073F86B" w14:textId="77777777" w:rsidR="00164A54" w:rsidRPr="008845A3" w:rsidRDefault="00164A54" w:rsidP="006175B5">
            <w:pPr>
              <w:pStyle w:val="1GAPara"/>
              <w:numPr>
                <w:ilvl w:val="0"/>
                <w:numId w:val="0"/>
              </w:numPr>
              <w:spacing w:before="120"/>
              <w:rPr>
                <w:i/>
                <w:iCs/>
              </w:rPr>
            </w:pPr>
            <w:r w:rsidRPr="008845A3">
              <w:rPr>
                <w:i/>
                <w:iCs/>
              </w:rPr>
              <w:t>Inclusion in the Register of Good Safeguarding Practices</w:t>
            </w:r>
          </w:p>
          <w:p w14:paraId="78E48773" w14:textId="61BF3D96" w:rsidR="00164A54" w:rsidRPr="006175B5" w:rsidRDefault="00164A54" w:rsidP="006175B5">
            <w:pPr>
              <w:pStyle w:val="1GAPara"/>
              <w:numPr>
                <w:ilvl w:val="0"/>
                <w:numId w:val="4"/>
              </w:numPr>
              <w:ind w:left="455"/>
              <w:rPr>
                <w:b/>
                <w:bCs/>
              </w:rPr>
            </w:pPr>
            <w:r w:rsidRPr="006175B5">
              <w:t xml:space="preserve">Following </w:t>
            </w:r>
            <w:r w:rsidR="008845A3" w:rsidRPr="006175B5">
              <w:t>its evaluation</w:t>
            </w:r>
            <w:r w:rsidRPr="006175B5">
              <w:t xml:space="preserve"> of the request for transfer from </w:t>
            </w:r>
            <w:r w:rsidR="008845A3" w:rsidRPr="006175B5">
              <w:t>the Urgent Safeguarding List to the Representative List</w:t>
            </w:r>
            <w:r w:rsidRPr="006175B5">
              <w:t>, the E</w:t>
            </w:r>
            <w:r w:rsidR="008845A3" w:rsidRPr="006175B5">
              <w:t xml:space="preserve">valuation </w:t>
            </w:r>
            <w:r w:rsidRPr="006175B5">
              <w:t>B</w:t>
            </w:r>
            <w:r w:rsidR="008845A3" w:rsidRPr="006175B5">
              <w:t>ody</w:t>
            </w:r>
            <w:r w:rsidRPr="006175B5">
              <w:t xml:space="preserve"> may recommend </w:t>
            </w:r>
            <w:r w:rsidR="008845A3" w:rsidRPr="006175B5">
              <w:t>including in the Register of Good Safeguarding Practices the successful safeguarding experience described in the transfer request</w:t>
            </w:r>
            <w:r w:rsidRPr="006175B5">
              <w:t xml:space="preserve">. </w:t>
            </w:r>
            <w:r w:rsidR="008845A3" w:rsidRPr="006175B5">
              <w:t>In this case, an expert (from the Evaluation Body, the arm’s</w:t>
            </w:r>
            <w:r w:rsidR="002401D6">
              <w:t>-</w:t>
            </w:r>
            <w:r w:rsidR="008845A3" w:rsidRPr="006175B5">
              <w:t xml:space="preserve">length </w:t>
            </w:r>
            <w:r w:rsidR="00EB23AF">
              <w:t>platform</w:t>
            </w:r>
            <w:r w:rsidR="008845A3" w:rsidRPr="006175B5">
              <w:t xml:space="preserve"> </w:t>
            </w:r>
            <w:r w:rsidR="00EC751C">
              <w:t>and/</w:t>
            </w:r>
            <w:r w:rsidR="008845A3" w:rsidRPr="006175B5">
              <w:t>or the ICH NGO Forum) draft</w:t>
            </w:r>
            <w:r w:rsidR="008845A3">
              <w:t>s</w:t>
            </w:r>
            <w:r w:rsidR="008845A3" w:rsidRPr="006175B5">
              <w:t xml:space="preserve"> the criteria-based justification to be confirmed by the State</w:t>
            </w:r>
            <w:r w:rsidR="00A23BE1">
              <w:t xml:space="preserve"> Party</w:t>
            </w:r>
            <w:r w:rsidR="008845A3" w:rsidRPr="006175B5">
              <w:t>.</w:t>
            </w:r>
          </w:p>
        </w:tc>
      </w:tr>
      <w:tr w:rsidR="00946C25" w14:paraId="1E0EB630" w14:textId="77777777" w:rsidTr="006175B5">
        <w:trPr>
          <w:cantSplit/>
          <w:trHeight w:val="384"/>
        </w:trPr>
        <w:tc>
          <w:tcPr>
            <w:tcW w:w="993" w:type="dxa"/>
            <w:vMerge/>
          </w:tcPr>
          <w:p w14:paraId="335EEC66" w14:textId="77777777" w:rsidR="00946C25" w:rsidRDefault="00946C25">
            <w:pPr>
              <w:pStyle w:val="1GAPara"/>
              <w:numPr>
                <w:ilvl w:val="0"/>
                <w:numId w:val="0"/>
              </w:numPr>
            </w:pPr>
          </w:p>
        </w:tc>
        <w:tc>
          <w:tcPr>
            <w:tcW w:w="8073" w:type="dxa"/>
            <w:shd w:val="clear" w:color="auto" w:fill="F2F2F2" w:themeFill="background1" w:themeFillShade="F2"/>
          </w:tcPr>
          <w:p w14:paraId="682E2ABE" w14:textId="2001F1E4" w:rsidR="00DF481E" w:rsidRPr="006175B5" w:rsidRDefault="00DF481E">
            <w:pPr>
              <w:pStyle w:val="1GAPara"/>
              <w:numPr>
                <w:ilvl w:val="0"/>
                <w:numId w:val="0"/>
              </w:numPr>
              <w:spacing w:after="60"/>
              <w:rPr>
                <w:sz w:val="16"/>
                <w:szCs w:val="16"/>
              </w:rPr>
            </w:pPr>
            <w:r w:rsidRPr="006175B5">
              <w:rPr>
                <w:sz w:val="16"/>
                <w:szCs w:val="16"/>
              </w:rPr>
              <w:t>Cost implications</w:t>
            </w:r>
            <w:r w:rsidR="00ED3293" w:rsidRPr="006175B5">
              <w:rPr>
                <w:sz w:val="16"/>
                <w:szCs w:val="16"/>
              </w:rPr>
              <w:t xml:space="preserve"> (overall costs will depend on the number of requests)</w:t>
            </w:r>
            <w:r w:rsidRPr="006175B5">
              <w:rPr>
                <w:sz w:val="16"/>
                <w:szCs w:val="16"/>
              </w:rPr>
              <w:t xml:space="preserve">: </w:t>
            </w:r>
          </w:p>
          <w:p w14:paraId="38E7717B" w14:textId="04CB6B12" w:rsidR="001D29D6" w:rsidRPr="006175B5" w:rsidRDefault="006525AC">
            <w:pPr>
              <w:pStyle w:val="1GAPara"/>
              <w:numPr>
                <w:ilvl w:val="0"/>
                <w:numId w:val="48"/>
              </w:numPr>
              <w:spacing w:after="60"/>
              <w:rPr>
                <w:i/>
                <w:iCs/>
                <w:sz w:val="16"/>
                <w:szCs w:val="16"/>
              </w:rPr>
            </w:pPr>
            <w:r w:rsidRPr="006175B5">
              <w:rPr>
                <w:sz w:val="16"/>
                <w:szCs w:val="16"/>
              </w:rPr>
              <w:t>Additional Secretariat time required for</w:t>
            </w:r>
            <w:r w:rsidR="001D29D6" w:rsidRPr="006175B5">
              <w:rPr>
                <w:sz w:val="16"/>
                <w:szCs w:val="16"/>
              </w:rPr>
              <w:t xml:space="preserve">: </w:t>
            </w:r>
          </w:p>
          <w:p w14:paraId="52AB5B80" w14:textId="52B552D0" w:rsidR="00E66618" w:rsidRPr="006175B5" w:rsidRDefault="002401D6">
            <w:pPr>
              <w:pStyle w:val="1GAPara"/>
              <w:numPr>
                <w:ilvl w:val="1"/>
                <w:numId w:val="48"/>
              </w:numPr>
              <w:spacing w:after="60"/>
              <w:rPr>
                <w:sz w:val="16"/>
                <w:szCs w:val="16"/>
              </w:rPr>
            </w:pPr>
            <w:r>
              <w:rPr>
                <w:sz w:val="16"/>
                <w:szCs w:val="16"/>
              </w:rPr>
              <w:t>A</w:t>
            </w:r>
            <w:r w:rsidR="00E66618" w:rsidRPr="006175B5">
              <w:rPr>
                <w:sz w:val="16"/>
                <w:szCs w:val="16"/>
              </w:rPr>
              <w:t>dditional meeting days to reach consensus on a higher number of files</w:t>
            </w:r>
          </w:p>
          <w:p w14:paraId="4F9F84ED" w14:textId="0171550E" w:rsidR="00DF481E" w:rsidRPr="006175B5" w:rsidRDefault="002401D6" w:rsidP="006175B5">
            <w:pPr>
              <w:pStyle w:val="1GAPara"/>
              <w:numPr>
                <w:ilvl w:val="1"/>
                <w:numId w:val="48"/>
              </w:numPr>
              <w:spacing w:after="60"/>
              <w:rPr>
                <w:sz w:val="16"/>
                <w:szCs w:val="16"/>
              </w:rPr>
            </w:pPr>
            <w:r>
              <w:rPr>
                <w:sz w:val="16"/>
                <w:szCs w:val="16"/>
              </w:rPr>
              <w:t>I</w:t>
            </w:r>
            <w:r w:rsidR="00DF481E" w:rsidRPr="006175B5">
              <w:rPr>
                <w:sz w:val="16"/>
                <w:szCs w:val="16"/>
              </w:rPr>
              <w:t>dentification of experts</w:t>
            </w:r>
            <w:r w:rsidR="00A23BE1">
              <w:rPr>
                <w:sz w:val="16"/>
                <w:szCs w:val="16"/>
              </w:rPr>
              <w:t>,</w:t>
            </w:r>
            <w:r w:rsidR="00DF481E" w:rsidRPr="006175B5">
              <w:rPr>
                <w:sz w:val="16"/>
                <w:szCs w:val="16"/>
              </w:rPr>
              <w:t xml:space="preserve"> contract establishment </w:t>
            </w:r>
            <w:r w:rsidR="00511ED4" w:rsidRPr="006175B5">
              <w:rPr>
                <w:sz w:val="16"/>
                <w:szCs w:val="16"/>
              </w:rPr>
              <w:t>and follow-up regarding the advisory services for</w:t>
            </w:r>
            <w:r w:rsidR="00DF481E" w:rsidRPr="006175B5">
              <w:rPr>
                <w:sz w:val="16"/>
                <w:szCs w:val="16"/>
              </w:rPr>
              <w:t xml:space="preserve"> the</w:t>
            </w:r>
            <w:r w:rsidR="00511ED4" w:rsidRPr="006175B5">
              <w:rPr>
                <w:sz w:val="16"/>
                <w:szCs w:val="16"/>
              </w:rPr>
              <w:t xml:space="preserve"> drafting of the</w:t>
            </w:r>
            <w:r w:rsidR="00DF481E" w:rsidRPr="006175B5">
              <w:rPr>
                <w:sz w:val="16"/>
                <w:szCs w:val="16"/>
              </w:rPr>
              <w:t xml:space="preserve"> criteria-based justification for inclusion in the Register of Good Safeguarding Practices</w:t>
            </w:r>
          </w:p>
          <w:p w14:paraId="628265F4" w14:textId="24E5C2A3" w:rsidR="00DF481E" w:rsidRPr="006175B5" w:rsidRDefault="001D403E">
            <w:pPr>
              <w:pStyle w:val="1GAPara"/>
              <w:numPr>
                <w:ilvl w:val="0"/>
                <w:numId w:val="48"/>
              </w:numPr>
              <w:spacing w:after="60"/>
              <w:rPr>
                <w:sz w:val="16"/>
                <w:szCs w:val="16"/>
              </w:rPr>
            </w:pPr>
            <w:r w:rsidRPr="006175B5">
              <w:rPr>
                <w:sz w:val="16"/>
                <w:szCs w:val="16"/>
              </w:rPr>
              <w:t xml:space="preserve">Additional </w:t>
            </w:r>
            <w:r w:rsidR="00A510DB">
              <w:rPr>
                <w:sz w:val="16"/>
                <w:szCs w:val="16"/>
              </w:rPr>
              <w:t xml:space="preserve">financial </w:t>
            </w:r>
            <w:r w:rsidRPr="006175B5">
              <w:rPr>
                <w:sz w:val="16"/>
                <w:szCs w:val="16"/>
              </w:rPr>
              <w:t>resources for:</w:t>
            </w:r>
          </w:p>
          <w:p w14:paraId="4E3BFBC1" w14:textId="73D8B580" w:rsidR="00DF481E" w:rsidRPr="006175B5" w:rsidRDefault="002401D6">
            <w:pPr>
              <w:pStyle w:val="1GAPara"/>
              <w:numPr>
                <w:ilvl w:val="1"/>
                <w:numId w:val="48"/>
              </w:numPr>
              <w:spacing w:after="60"/>
              <w:rPr>
                <w:sz w:val="16"/>
                <w:szCs w:val="16"/>
              </w:rPr>
            </w:pPr>
            <w:r>
              <w:rPr>
                <w:sz w:val="16"/>
                <w:szCs w:val="16"/>
              </w:rPr>
              <w:t>M</w:t>
            </w:r>
            <w:r w:rsidR="00511ED4" w:rsidRPr="006175B5">
              <w:rPr>
                <w:sz w:val="16"/>
                <w:szCs w:val="16"/>
              </w:rPr>
              <w:t>eeting organization costs (</w:t>
            </w:r>
            <w:r w:rsidR="00DF481E" w:rsidRPr="006175B5">
              <w:rPr>
                <w:sz w:val="16"/>
                <w:szCs w:val="16"/>
              </w:rPr>
              <w:t>interpretation</w:t>
            </w:r>
            <w:r w:rsidR="00511ED4" w:rsidRPr="006175B5">
              <w:rPr>
                <w:sz w:val="16"/>
                <w:szCs w:val="16"/>
              </w:rPr>
              <w:t>, technicians</w:t>
            </w:r>
            <w:r>
              <w:rPr>
                <w:sz w:val="16"/>
                <w:szCs w:val="16"/>
              </w:rPr>
              <w:t>,</w:t>
            </w:r>
            <w:r w:rsidR="00511ED4" w:rsidRPr="006175B5">
              <w:rPr>
                <w:sz w:val="16"/>
                <w:szCs w:val="16"/>
              </w:rPr>
              <w:t xml:space="preserve"> etc</w:t>
            </w:r>
            <w:r>
              <w:rPr>
                <w:sz w:val="16"/>
                <w:szCs w:val="16"/>
              </w:rPr>
              <w:t>.</w:t>
            </w:r>
            <w:r w:rsidR="00511ED4" w:rsidRPr="006175B5">
              <w:rPr>
                <w:sz w:val="16"/>
                <w:szCs w:val="16"/>
              </w:rPr>
              <w:t xml:space="preserve">) </w:t>
            </w:r>
            <w:r w:rsidR="00DF481E" w:rsidRPr="006175B5">
              <w:rPr>
                <w:sz w:val="16"/>
                <w:szCs w:val="16"/>
              </w:rPr>
              <w:t xml:space="preserve">for </w:t>
            </w:r>
            <w:r w:rsidR="00E66618" w:rsidRPr="006175B5">
              <w:rPr>
                <w:sz w:val="16"/>
                <w:szCs w:val="16"/>
              </w:rPr>
              <w:t>additional meeting days</w:t>
            </w:r>
            <w:r w:rsidR="00DF481E" w:rsidRPr="006175B5">
              <w:rPr>
                <w:sz w:val="16"/>
                <w:szCs w:val="16"/>
              </w:rPr>
              <w:t xml:space="preserve"> </w:t>
            </w:r>
          </w:p>
          <w:p w14:paraId="1D13BD59" w14:textId="18ACA3C5" w:rsidR="00E66618" w:rsidRPr="006175B5" w:rsidRDefault="00E66618">
            <w:pPr>
              <w:pStyle w:val="1GAPara"/>
              <w:numPr>
                <w:ilvl w:val="0"/>
                <w:numId w:val="48"/>
              </w:numPr>
              <w:spacing w:after="60"/>
              <w:rPr>
                <w:sz w:val="16"/>
                <w:szCs w:val="16"/>
              </w:rPr>
            </w:pPr>
            <w:r w:rsidRPr="006175B5">
              <w:rPr>
                <w:sz w:val="16"/>
                <w:szCs w:val="16"/>
              </w:rPr>
              <w:t xml:space="preserve">Additional resources </w:t>
            </w:r>
            <w:r w:rsidR="009153EF">
              <w:rPr>
                <w:sz w:val="16"/>
                <w:szCs w:val="16"/>
              </w:rPr>
              <w:t>(</w:t>
            </w:r>
            <w:r w:rsidRPr="006175B5">
              <w:rPr>
                <w:sz w:val="16"/>
                <w:szCs w:val="16"/>
              </w:rPr>
              <w:t>from the Intangible Cultural Heritage Fund</w:t>
            </w:r>
            <w:r w:rsidR="009153EF">
              <w:rPr>
                <w:sz w:val="16"/>
                <w:szCs w:val="16"/>
              </w:rPr>
              <w:t>)</w:t>
            </w:r>
            <w:r w:rsidRPr="006175B5">
              <w:rPr>
                <w:sz w:val="16"/>
                <w:szCs w:val="16"/>
              </w:rPr>
              <w:t xml:space="preserve"> for:</w:t>
            </w:r>
          </w:p>
          <w:p w14:paraId="03B09354" w14:textId="49FB59B0" w:rsidR="006525AC" w:rsidRPr="006175B5" w:rsidRDefault="006525AC">
            <w:pPr>
              <w:pStyle w:val="1GAPara"/>
              <w:numPr>
                <w:ilvl w:val="1"/>
                <w:numId w:val="48"/>
              </w:numPr>
              <w:spacing w:after="60"/>
              <w:rPr>
                <w:sz w:val="16"/>
                <w:szCs w:val="16"/>
              </w:rPr>
            </w:pPr>
            <w:r w:rsidRPr="006175B5">
              <w:rPr>
                <w:sz w:val="16"/>
                <w:szCs w:val="16"/>
              </w:rPr>
              <w:t>Evaluation Body’s work on additional files</w:t>
            </w:r>
          </w:p>
          <w:p w14:paraId="0730DB1C" w14:textId="4F0A2FC6" w:rsidR="001D403E" w:rsidRPr="006175B5" w:rsidRDefault="006525AC">
            <w:pPr>
              <w:pStyle w:val="1GAPara"/>
              <w:numPr>
                <w:ilvl w:val="1"/>
                <w:numId w:val="48"/>
              </w:numPr>
              <w:spacing w:after="60"/>
              <w:rPr>
                <w:i/>
                <w:iCs/>
                <w:sz w:val="16"/>
                <w:szCs w:val="16"/>
              </w:rPr>
            </w:pPr>
            <w:r w:rsidRPr="006175B5">
              <w:rPr>
                <w:sz w:val="16"/>
                <w:szCs w:val="16"/>
              </w:rPr>
              <w:t>Evaluation Body members’ additional meeting days</w:t>
            </w:r>
          </w:p>
          <w:p w14:paraId="5B9FD72D" w14:textId="089151A3" w:rsidR="00DF481E" w:rsidRPr="006175B5" w:rsidRDefault="002401D6" w:rsidP="006175B5">
            <w:pPr>
              <w:pStyle w:val="1GAPara"/>
              <w:numPr>
                <w:ilvl w:val="1"/>
                <w:numId w:val="48"/>
              </w:numPr>
              <w:spacing w:after="60"/>
              <w:rPr>
                <w:i/>
                <w:iCs/>
              </w:rPr>
            </w:pPr>
            <w:r>
              <w:rPr>
                <w:sz w:val="16"/>
                <w:szCs w:val="16"/>
              </w:rPr>
              <w:t>A</w:t>
            </w:r>
            <w:r w:rsidR="00511ED4" w:rsidRPr="006175B5">
              <w:rPr>
                <w:sz w:val="16"/>
                <w:szCs w:val="16"/>
              </w:rPr>
              <w:t xml:space="preserve">dvisory </w:t>
            </w:r>
            <w:r w:rsidR="006525AC" w:rsidRPr="006175B5">
              <w:rPr>
                <w:sz w:val="16"/>
                <w:szCs w:val="16"/>
              </w:rPr>
              <w:t>services</w:t>
            </w:r>
            <w:r w:rsidR="00DF481E" w:rsidRPr="006175B5">
              <w:rPr>
                <w:sz w:val="16"/>
                <w:szCs w:val="16"/>
              </w:rPr>
              <w:t xml:space="preserve"> </w:t>
            </w:r>
            <w:r w:rsidR="008E2F8A" w:rsidRPr="006175B5">
              <w:rPr>
                <w:sz w:val="16"/>
                <w:szCs w:val="16"/>
              </w:rPr>
              <w:t xml:space="preserve">provided by </w:t>
            </w:r>
            <w:r w:rsidR="00DF481E" w:rsidRPr="006175B5">
              <w:rPr>
                <w:sz w:val="16"/>
                <w:szCs w:val="16"/>
              </w:rPr>
              <w:t xml:space="preserve">experts, </w:t>
            </w:r>
            <w:r w:rsidR="004E20E0">
              <w:rPr>
                <w:sz w:val="16"/>
                <w:szCs w:val="16"/>
              </w:rPr>
              <w:t xml:space="preserve">the </w:t>
            </w:r>
            <w:r w:rsidR="00DF481E" w:rsidRPr="006175B5">
              <w:rPr>
                <w:sz w:val="16"/>
                <w:szCs w:val="16"/>
              </w:rPr>
              <w:t>arm’s</w:t>
            </w:r>
            <w:r w:rsidR="004E20E0">
              <w:rPr>
                <w:sz w:val="16"/>
                <w:szCs w:val="16"/>
              </w:rPr>
              <w:t>-</w:t>
            </w:r>
            <w:r w:rsidR="00DF481E" w:rsidRPr="006175B5">
              <w:rPr>
                <w:sz w:val="16"/>
                <w:szCs w:val="16"/>
              </w:rPr>
              <w:t xml:space="preserve">length </w:t>
            </w:r>
            <w:r w:rsidR="00EB23AF" w:rsidRPr="006175B5">
              <w:rPr>
                <w:sz w:val="16"/>
                <w:szCs w:val="16"/>
              </w:rPr>
              <w:t>platform</w:t>
            </w:r>
            <w:r w:rsidR="004E20E0">
              <w:rPr>
                <w:sz w:val="16"/>
                <w:szCs w:val="16"/>
              </w:rPr>
              <w:t>,</w:t>
            </w:r>
            <w:r w:rsidR="00DF481E" w:rsidRPr="006175B5">
              <w:rPr>
                <w:sz w:val="16"/>
                <w:szCs w:val="16"/>
              </w:rPr>
              <w:t xml:space="preserve"> </w:t>
            </w:r>
            <w:r w:rsidR="00ED0C6C" w:rsidRPr="006175B5">
              <w:rPr>
                <w:sz w:val="16"/>
                <w:szCs w:val="16"/>
              </w:rPr>
              <w:t>and/</w:t>
            </w:r>
            <w:r w:rsidR="00DF481E" w:rsidRPr="006175B5">
              <w:rPr>
                <w:sz w:val="16"/>
                <w:szCs w:val="16"/>
              </w:rPr>
              <w:t>or the ICH NGO Forum</w:t>
            </w:r>
          </w:p>
        </w:tc>
      </w:tr>
      <w:tr w:rsidR="00555BE4" w:rsidRPr="008447AC" w14:paraId="19FFCE45" w14:textId="77777777" w:rsidTr="006175B5">
        <w:trPr>
          <w:cantSplit/>
          <w:trHeight w:val="756"/>
        </w:trPr>
        <w:tc>
          <w:tcPr>
            <w:tcW w:w="993" w:type="dxa"/>
            <w:vMerge w:val="restart"/>
          </w:tcPr>
          <w:p w14:paraId="7C0CD3DC" w14:textId="62616506" w:rsidR="00555BE4" w:rsidRPr="008447AC" w:rsidRDefault="00555BE4" w:rsidP="006175B5">
            <w:pPr>
              <w:pStyle w:val="1GAPara"/>
              <w:numPr>
                <w:ilvl w:val="0"/>
                <w:numId w:val="0"/>
              </w:numPr>
              <w:rPr>
                <w:b/>
                <w:bCs/>
              </w:rPr>
            </w:pPr>
            <w:r>
              <w:rPr>
                <w:b/>
                <w:bCs/>
              </w:rPr>
              <w:t>Step</w:t>
            </w:r>
            <w:r w:rsidRPr="008447AC">
              <w:rPr>
                <w:b/>
                <w:bCs/>
              </w:rPr>
              <w:t xml:space="preserve"> 3</w:t>
            </w:r>
          </w:p>
        </w:tc>
        <w:tc>
          <w:tcPr>
            <w:tcW w:w="8073" w:type="dxa"/>
          </w:tcPr>
          <w:p w14:paraId="6046EAE6" w14:textId="77777777" w:rsidR="00555BE4" w:rsidRPr="008447AC" w:rsidRDefault="00555BE4" w:rsidP="006175B5">
            <w:pPr>
              <w:pStyle w:val="1GAPara"/>
              <w:numPr>
                <w:ilvl w:val="0"/>
                <w:numId w:val="0"/>
              </w:numPr>
              <w:rPr>
                <w:b/>
                <w:bCs/>
              </w:rPr>
            </w:pPr>
            <w:r w:rsidRPr="008447AC">
              <w:rPr>
                <w:b/>
                <w:bCs/>
              </w:rPr>
              <w:t>Examination</w:t>
            </w:r>
          </w:p>
          <w:p w14:paraId="1328A99E" w14:textId="3B80F77A" w:rsidR="00555BE4" w:rsidRPr="008447AC" w:rsidRDefault="00A23BE1" w:rsidP="006175B5">
            <w:pPr>
              <w:pStyle w:val="1GAPara"/>
              <w:ind w:left="0"/>
              <w:rPr>
                <w:b/>
                <w:bCs/>
              </w:rPr>
            </w:pPr>
            <w:r>
              <w:t>T</w:t>
            </w:r>
            <w:r w:rsidR="00555BE4" w:rsidRPr="001633E0">
              <w:t>he Committee</w:t>
            </w:r>
            <w:r>
              <w:t xml:space="preserve"> examines the request</w:t>
            </w:r>
            <w:r w:rsidR="00555BE4">
              <w:t xml:space="preserve"> based on the</w:t>
            </w:r>
            <w:r>
              <w:t xml:space="preserve"> Evaluation Body’s</w:t>
            </w:r>
            <w:r w:rsidR="00555BE4">
              <w:t xml:space="preserve"> recommendation</w:t>
            </w:r>
            <w:r>
              <w:t>s</w:t>
            </w:r>
            <w:r w:rsidR="00555BE4">
              <w:t>.</w:t>
            </w:r>
          </w:p>
        </w:tc>
      </w:tr>
      <w:tr w:rsidR="00555BE4" w:rsidRPr="008447AC" w14:paraId="7A688CDB" w14:textId="77777777" w:rsidTr="006175B5">
        <w:trPr>
          <w:cantSplit/>
          <w:trHeight w:val="756"/>
        </w:trPr>
        <w:tc>
          <w:tcPr>
            <w:tcW w:w="993" w:type="dxa"/>
            <w:vMerge/>
          </w:tcPr>
          <w:p w14:paraId="5C40881A" w14:textId="77777777" w:rsidR="00555BE4" w:rsidRDefault="00555BE4" w:rsidP="006175B5">
            <w:pPr>
              <w:pStyle w:val="1GAPara"/>
              <w:numPr>
                <w:ilvl w:val="0"/>
                <w:numId w:val="0"/>
              </w:numPr>
              <w:rPr>
                <w:b/>
                <w:bCs/>
              </w:rPr>
            </w:pPr>
          </w:p>
        </w:tc>
        <w:tc>
          <w:tcPr>
            <w:tcW w:w="8073" w:type="dxa"/>
            <w:shd w:val="clear" w:color="auto" w:fill="DBE5F1" w:themeFill="accent1" w:themeFillTint="33"/>
          </w:tcPr>
          <w:p w14:paraId="1AA63324" w14:textId="77777777" w:rsidR="00555BE4" w:rsidRPr="008845A3" w:rsidRDefault="00555BE4">
            <w:pPr>
              <w:pStyle w:val="1GAPara"/>
              <w:numPr>
                <w:ilvl w:val="0"/>
                <w:numId w:val="0"/>
              </w:numPr>
              <w:spacing w:before="120"/>
              <w:rPr>
                <w:i/>
                <w:iCs/>
              </w:rPr>
            </w:pPr>
            <w:r w:rsidRPr="008845A3">
              <w:rPr>
                <w:i/>
                <w:iCs/>
              </w:rPr>
              <w:t>Transfer from the Urgent Safeguarding List to the Representative List (21-month cycle)</w:t>
            </w:r>
          </w:p>
          <w:p w14:paraId="32B23A04" w14:textId="7878E8A4" w:rsidR="00555BE4" w:rsidRPr="008845A3" w:rsidRDefault="00555BE4" w:rsidP="006175B5">
            <w:pPr>
              <w:pStyle w:val="1GAPara"/>
              <w:numPr>
                <w:ilvl w:val="0"/>
                <w:numId w:val="4"/>
              </w:numPr>
              <w:ind w:left="455"/>
              <w:rPr>
                <w:b/>
                <w:bCs/>
              </w:rPr>
            </w:pPr>
            <w:r w:rsidRPr="008845A3">
              <w:t>The transfer request is examined by the Committee in the year following its submission by the State Party.</w:t>
            </w:r>
          </w:p>
        </w:tc>
      </w:tr>
      <w:tr w:rsidR="00555BE4" w:rsidRPr="008447AC" w14:paraId="29A12531" w14:textId="77777777" w:rsidTr="006175B5">
        <w:trPr>
          <w:cantSplit/>
          <w:trHeight w:val="756"/>
        </w:trPr>
        <w:tc>
          <w:tcPr>
            <w:tcW w:w="993" w:type="dxa"/>
            <w:vMerge/>
          </w:tcPr>
          <w:p w14:paraId="1049F26B" w14:textId="77777777" w:rsidR="00555BE4" w:rsidRDefault="00555BE4" w:rsidP="006175B5">
            <w:pPr>
              <w:pStyle w:val="1GAPara"/>
              <w:numPr>
                <w:ilvl w:val="0"/>
                <w:numId w:val="0"/>
              </w:numPr>
              <w:rPr>
                <w:b/>
                <w:bCs/>
              </w:rPr>
            </w:pPr>
          </w:p>
        </w:tc>
        <w:tc>
          <w:tcPr>
            <w:tcW w:w="8073" w:type="dxa"/>
            <w:shd w:val="clear" w:color="auto" w:fill="F2DBDB" w:themeFill="accent2" w:themeFillTint="33"/>
          </w:tcPr>
          <w:p w14:paraId="1CF12C1E" w14:textId="77777777" w:rsidR="00555BE4" w:rsidRPr="008845A3" w:rsidRDefault="00555BE4" w:rsidP="004E20E0">
            <w:pPr>
              <w:pStyle w:val="1GAPara"/>
              <w:numPr>
                <w:ilvl w:val="0"/>
                <w:numId w:val="0"/>
              </w:numPr>
              <w:spacing w:before="120"/>
              <w:rPr>
                <w:i/>
                <w:iCs/>
              </w:rPr>
            </w:pPr>
            <w:r w:rsidRPr="008845A3">
              <w:rPr>
                <w:i/>
                <w:iCs/>
              </w:rPr>
              <w:t>Transfer from the Representative List to the Urgent Safeguarding List (11-month cycle)</w:t>
            </w:r>
          </w:p>
          <w:p w14:paraId="7FE5B015" w14:textId="30C222AD" w:rsidR="00555BE4" w:rsidRPr="008845A3" w:rsidRDefault="00555BE4" w:rsidP="006175B5">
            <w:pPr>
              <w:pStyle w:val="1GAPara"/>
              <w:numPr>
                <w:ilvl w:val="0"/>
                <w:numId w:val="4"/>
              </w:numPr>
              <w:ind w:left="455"/>
              <w:rPr>
                <w:b/>
                <w:bCs/>
              </w:rPr>
            </w:pPr>
            <w:r w:rsidRPr="008845A3">
              <w:t xml:space="preserve">The transfer request is examined by the Committee in the same </w:t>
            </w:r>
            <w:r>
              <w:t xml:space="preserve">year </w:t>
            </w:r>
            <w:r w:rsidRPr="008845A3">
              <w:t>as it is submitted by the State Party.</w:t>
            </w:r>
          </w:p>
        </w:tc>
      </w:tr>
      <w:tr w:rsidR="00555BE4" w:rsidRPr="008447AC" w14:paraId="2A8516BB" w14:textId="77777777" w:rsidTr="006175B5">
        <w:trPr>
          <w:cantSplit/>
          <w:trHeight w:val="756"/>
        </w:trPr>
        <w:tc>
          <w:tcPr>
            <w:tcW w:w="993" w:type="dxa"/>
            <w:vMerge/>
          </w:tcPr>
          <w:p w14:paraId="0E377AE8" w14:textId="77777777" w:rsidR="00555BE4" w:rsidRDefault="00555BE4" w:rsidP="006175B5">
            <w:pPr>
              <w:pStyle w:val="1GAPara"/>
              <w:numPr>
                <w:ilvl w:val="0"/>
                <w:numId w:val="0"/>
              </w:numPr>
              <w:rPr>
                <w:b/>
                <w:bCs/>
              </w:rPr>
            </w:pPr>
          </w:p>
        </w:tc>
        <w:tc>
          <w:tcPr>
            <w:tcW w:w="8073" w:type="dxa"/>
            <w:shd w:val="clear" w:color="auto" w:fill="EAF1DD" w:themeFill="accent3" w:themeFillTint="33"/>
          </w:tcPr>
          <w:p w14:paraId="4946F6A3" w14:textId="77777777" w:rsidR="00555BE4" w:rsidRPr="00E05201" w:rsidRDefault="00555BE4" w:rsidP="006175B5">
            <w:pPr>
              <w:pStyle w:val="1GAPara"/>
              <w:numPr>
                <w:ilvl w:val="0"/>
                <w:numId w:val="0"/>
              </w:numPr>
              <w:spacing w:before="120"/>
              <w:rPr>
                <w:i/>
                <w:iCs/>
              </w:rPr>
            </w:pPr>
            <w:r w:rsidRPr="00E05201">
              <w:rPr>
                <w:i/>
                <w:iCs/>
              </w:rPr>
              <w:t>Inclusion in the Register</w:t>
            </w:r>
            <w:r>
              <w:rPr>
                <w:i/>
                <w:iCs/>
              </w:rPr>
              <w:t xml:space="preserve"> of Good Safeguarding Practices</w:t>
            </w:r>
          </w:p>
          <w:p w14:paraId="0172C1E5" w14:textId="5A6E700A" w:rsidR="00555BE4" w:rsidRPr="00B87804" w:rsidRDefault="00555BE4" w:rsidP="006175B5">
            <w:pPr>
              <w:pStyle w:val="1GAPara"/>
              <w:numPr>
                <w:ilvl w:val="0"/>
                <w:numId w:val="4"/>
              </w:numPr>
              <w:ind w:left="455"/>
              <w:rPr>
                <w:i/>
                <w:iCs/>
              </w:rPr>
            </w:pPr>
            <w:r w:rsidRPr="00E17E9B">
              <w:t xml:space="preserve">The </w:t>
            </w:r>
            <w:r>
              <w:t>criteria-based justification drafted by the expert (</w:t>
            </w:r>
            <w:r w:rsidRPr="008845A3">
              <w:t>from the Evaluation Body, the arm’s</w:t>
            </w:r>
            <w:r w:rsidR="002401D6">
              <w:t>-</w:t>
            </w:r>
            <w:r w:rsidRPr="008845A3">
              <w:t xml:space="preserve">length </w:t>
            </w:r>
            <w:r>
              <w:t>platform</w:t>
            </w:r>
            <w:r w:rsidRPr="008845A3">
              <w:t xml:space="preserve"> </w:t>
            </w:r>
            <w:r w:rsidR="009153EF">
              <w:t>and/</w:t>
            </w:r>
            <w:r w:rsidRPr="008845A3">
              <w:t>or the ICH NGO Forum)</w:t>
            </w:r>
            <w:r>
              <w:t xml:space="preserve"> and approved by the State Party concerned is </w:t>
            </w:r>
            <w:r w:rsidRPr="008845A3">
              <w:t xml:space="preserve">examined by the Committee in the year following </w:t>
            </w:r>
            <w:r>
              <w:t>the</w:t>
            </w:r>
            <w:r w:rsidRPr="008845A3">
              <w:t xml:space="preserve"> submission</w:t>
            </w:r>
            <w:r>
              <w:t xml:space="preserve"> of the transfer request </w:t>
            </w:r>
            <w:r w:rsidRPr="008845A3">
              <w:t>by the State Party</w:t>
            </w:r>
            <w:r w:rsidRPr="00E17E9B">
              <w:t>.</w:t>
            </w:r>
          </w:p>
        </w:tc>
      </w:tr>
      <w:tr w:rsidR="00555BE4" w:rsidRPr="008447AC" w14:paraId="7E61C097" w14:textId="77777777" w:rsidTr="006175B5">
        <w:trPr>
          <w:cantSplit/>
          <w:trHeight w:val="756"/>
        </w:trPr>
        <w:tc>
          <w:tcPr>
            <w:tcW w:w="993" w:type="dxa"/>
            <w:vMerge/>
          </w:tcPr>
          <w:p w14:paraId="7DC7070A" w14:textId="77777777" w:rsidR="00555BE4" w:rsidRDefault="00555BE4" w:rsidP="006175B5">
            <w:pPr>
              <w:pStyle w:val="1GAPara"/>
              <w:numPr>
                <w:ilvl w:val="0"/>
                <w:numId w:val="0"/>
              </w:numPr>
              <w:rPr>
                <w:b/>
                <w:bCs/>
              </w:rPr>
            </w:pPr>
          </w:p>
        </w:tc>
        <w:tc>
          <w:tcPr>
            <w:tcW w:w="8073" w:type="dxa"/>
            <w:shd w:val="clear" w:color="auto" w:fill="F2F2F2" w:themeFill="background1" w:themeFillShade="F2"/>
          </w:tcPr>
          <w:p w14:paraId="52E1DA57" w14:textId="77777777" w:rsidR="00555BE4" w:rsidRPr="006175B5" w:rsidRDefault="00555BE4">
            <w:pPr>
              <w:pStyle w:val="1GAPara"/>
              <w:numPr>
                <w:ilvl w:val="0"/>
                <w:numId w:val="0"/>
              </w:numPr>
              <w:spacing w:after="60"/>
              <w:rPr>
                <w:sz w:val="16"/>
                <w:szCs w:val="16"/>
              </w:rPr>
            </w:pPr>
            <w:r w:rsidRPr="006175B5">
              <w:rPr>
                <w:sz w:val="16"/>
                <w:szCs w:val="16"/>
              </w:rPr>
              <w:t xml:space="preserve">Cost implications (overall costs will depend on the number of requests): </w:t>
            </w:r>
          </w:p>
          <w:p w14:paraId="633C7DB2" w14:textId="4B27B3A3" w:rsidR="00555BE4" w:rsidRPr="006175B5" w:rsidRDefault="00555BE4" w:rsidP="006175B5">
            <w:pPr>
              <w:pStyle w:val="1GAPara"/>
              <w:numPr>
                <w:ilvl w:val="0"/>
                <w:numId w:val="48"/>
              </w:numPr>
              <w:spacing w:after="60"/>
              <w:rPr>
                <w:i/>
                <w:iCs/>
                <w:sz w:val="16"/>
                <w:szCs w:val="16"/>
              </w:rPr>
            </w:pPr>
            <w:r w:rsidRPr="006175B5">
              <w:rPr>
                <w:sz w:val="16"/>
                <w:szCs w:val="16"/>
              </w:rPr>
              <w:t xml:space="preserve">Additional Secretariat time required for: </w:t>
            </w:r>
          </w:p>
          <w:p w14:paraId="22AEFF9D" w14:textId="2C38BE61" w:rsidR="00555BE4" w:rsidRPr="006175B5" w:rsidRDefault="002401D6" w:rsidP="006175B5">
            <w:pPr>
              <w:pStyle w:val="1GAPara"/>
              <w:numPr>
                <w:ilvl w:val="1"/>
                <w:numId w:val="48"/>
              </w:numPr>
              <w:spacing w:after="60"/>
              <w:rPr>
                <w:sz w:val="16"/>
                <w:szCs w:val="16"/>
              </w:rPr>
            </w:pPr>
            <w:r>
              <w:rPr>
                <w:sz w:val="16"/>
                <w:szCs w:val="16"/>
              </w:rPr>
              <w:t>A</w:t>
            </w:r>
            <w:r w:rsidR="00555BE4" w:rsidRPr="006175B5">
              <w:rPr>
                <w:sz w:val="16"/>
                <w:szCs w:val="16"/>
              </w:rPr>
              <w:t>dditional meeting days to examine</w:t>
            </w:r>
            <w:r>
              <w:rPr>
                <w:sz w:val="16"/>
                <w:szCs w:val="16"/>
              </w:rPr>
              <w:t xml:space="preserve"> a</w:t>
            </w:r>
            <w:r w:rsidR="00555BE4" w:rsidRPr="006175B5">
              <w:rPr>
                <w:sz w:val="16"/>
                <w:szCs w:val="16"/>
              </w:rPr>
              <w:t xml:space="preserve"> higher number of files </w:t>
            </w:r>
            <w:r w:rsidR="00194FC0">
              <w:rPr>
                <w:sz w:val="16"/>
                <w:szCs w:val="16"/>
              </w:rPr>
              <w:t xml:space="preserve">and </w:t>
            </w:r>
            <w:r w:rsidR="00555BE4" w:rsidRPr="006175B5">
              <w:rPr>
                <w:sz w:val="16"/>
                <w:szCs w:val="16"/>
              </w:rPr>
              <w:t>additional item</w:t>
            </w:r>
            <w:r w:rsidR="00194FC0">
              <w:rPr>
                <w:sz w:val="16"/>
                <w:szCs w:val="16"/>
              </w:rPr>
              <w:t>s</w:t>
            </w:r>
            <w:r w:rsidR="00555BE4" w:rsidRPr="006175B5">
              <w:rPr>
                <w:sz w:val="16"/>
                <w:szCs w:val="16"/>
              </w:rPr>
              <w:t xml:space="preserve"> o</w:t>
            </w:r>
            <w:r w:rsidR="00194FC0">
              <w:rPr>
                <w:sz w:val="16"/>
                <w:szCs w:val="16"/>
              </w:rPr>
              <w:t>n</w:t>
            </w:r>
            <w:r w:rsidR="00555BE4" w:rsidRPr="006175B5">
              <w:rPr>
                <w:sz w:val="16"/>
                <w:szCs w:val="16"/>
              </w:rPr>
              <w:t xml:space="preserve"> the agenda</w:t>
            </w:r>
          </w:p>
          <w:p w14:paraId="629612F8" w14:textId="17EC49AF" w:rsidR="00555BE4" w:rsidRPr="006175B5" w:rsidRDefault="002401D6" w:rsidP="006175B5">
            <w:pPr>
              <w:pStyle w:val="1GAPara"/>
              <w:numPr>
                <w:ilvl w:val="1"/>
                <w:numId w:val="48"/>
              </w:numPr>
              <w:spacing w:after="60"/>
              <w:rPr>
                <w:sz w:val="16"/>
                <w:szCs w:val="16"/>
              </w:rPr>
            </w:pPr>
            <w:r>
              <w:rPr>
                <w:sz w:val="16"/>
                <w:szCs w:val="16"/>
              </w:rPr>
              <w:t>D</w:t>
            </w:r>
            <w:r w:rsidR="00555BE4" w:rsidRPr="006175B5">
              <w:rPr>
                <w:sz w:val="16"/>
                <w:szCs w:val="16"/>
              </w:rPr>
              <w:t>rafting additional meeting documents</w:t>
            </w:r>
          </w:p>
          <w:p w14:paraId="264CBF67" w14:textId="1D68A0D6" w:rsidR="00555BE4" w:rsidRPr="006175B5" w:rsidRDefault="00555BE4" w:rsidP="006175B5">
            <w:pPr>
              <w:pStyle w:val="1GAPara"/>
              <w:numPr>
                <w:ilvl w:val="0"/>
                <w:numId w:val="48"/>
              </w:numPr>
              <w:spacing w:after="60"/>
              <w:rPr>
                <w:sz w:val="16"/>
                <w:szCs w:val="16"/>
              </w:rPr>
            </w:pPr>
            <w:r w:rsidRPr="006175B5">
              <w:rPr>
                <w:sz w:val="16"/>
                <w:szCs w:val="16"/>
              </w:rPr>
              <w:t xml:space="preserve">Additional </w:t>
            </w:r>
            <w:r w:rsidR="00A510DB">
              <w:rPr>
                <w:sz w:val="16"/>
                <w:szCs w:val="16"/>
              </w:rPr>
              <w:t xml:space="preserve">financial </w:t>
            </w:r>
            <w:r w:rsidRPr="006175B5">
              <w:rPr>
                <w:sz w:val="16"/>
                <w:szCs w:val="16"/>
              </w:rPr>
              <w:t>resources for:</w:t>
            </w:r>
          </w:p>
          <w:p w14:paraId="34C5BF5C" w14:textId="5ED38C20" w:rsidR="00555BE4" w:rsidRPr="006175B5" w:rsidRDefault="002401D6" w:rsidP="006175B5">
            <w:pPr>
              <w:pStyle w:val="1GAPara"/>
              <w:numPr>
                <w:ilvl w:val="1"/>
                <w:numId w:val="48"/>
              </w:numPr>
              <w:spacing w:after="60"/>
              <w:rPr>
                <w:sz w:val="16"/>
                <w:szCs w:val="16"/>
              </w:rPr>
            </w:pPr>
            <w:r>
              <w:rPr>
                <w:sz w:val="16"/>
                <w:szCs w:val="16"/>
              </w:rPr>
              <w:t>M</w:t>
            </w:r>
            <w:r w:rsidR="00555BE4" w:rsidRPr="006175B5">
              <w:rPr>
                <w:sz w:val="16"/>
                <w:szCs w:val="16"/>
              </w:rPr>
              <w:t>eeting organization costs (interpretation, technicians</w:t>
            </w:r>
            <w:r>
              <w:rPr>
                <w:sz w:val="16"/>
                <w:szCs w:val="16"/>
              </w:rPr>
              <w:t>,</w:t>
            </w:r>
            <w:r w:rsidR="00555BE4" w:rsidRPr="006175B5">
              <w:rPr>
                <w:sz w:val="16"/>
                <w:szCs w:val="16"/>
              </w:rPr>
              <w:t xml:space="preserve"> etc</w:t>
            </w:r>
            <w:r>
              <w:rPr>
                <w:sz w:val="16"/>
                <w:szCs w:val="16"/>
              </w:rPr>
              <w:t>.</w:t>
            </w:r>
            <w:r w:rsidR="00555BE4" w:rsidRPr="006175B5">
              <w:rPr>
                <w:sz w:val="16"/>
                <w:szCs w:val="16"/>
              </w:rPr>
              <w:t>) for additional meeting days</w:t>
            </w:r>
          </w:p>
          <w:p w14:paraId="60369727" w14:textId="74B38163" w:rsidR="00555BE4" w:rsidRPr="006175B5" w:rsidRDefault="002401D6" w:rsidP="006175B5">
            <w:pPr>
              <w:pStyle w:val="1GAPara"/>
              <w:numPr>
                <w:ilvl w:val="1"/>
                <w:numId w:val="48"/>
              </w:numPr>
              <w:spacing w:after="60"/>
              <w:rPr>
                <w:sz w:val="16"/>
                <w:szCs w:val="16"/>
              </w:rPr>
            </w:pPr>
            <w:r>
              <w:rPr>
                <w:sz w:val="16"/>
                <w:szCs w:val="16"/>
              </w:rPr>
              <w:t>T</w:t>
            </w:r>
            <w:r w:rsidR="00555BE4" w:rsidRPr="006175B5">
              <w:rPr>
                <w:sz w:val="16"/>
                <w:szCs w:val="16"/>
              </w:rPr>
              <w:t xml:space="preserve">ranslation of meeting documents </w:t>
            </w:r>
          </w:p>
          <w:p w14:paraId="29519267" w14:textId="044B699A" w:rsidR="00555BE4" w:rsidRPr="006175B5" w:rsidRDefault="00555BE4" w:rsidP="006175B5">
            <w:pPr>
              <w:pStyle w:val="1GAPara"/>
              <w:numPr>
                <w:ilvl w:val="0"/>
                <w:numId w:val="48"/>
              </w:numPr>
              <w:spacing w:after="60"/>
              <w:rPr>
                <w:sz w:val="16"/>
                <w:szCs w:val="16"/>
              </w:rPr>
            </w:pPr>
            <w:r w:rsidRPr="006175B5">
              <w:rPr>
                <w:sz w:val="16"/>
                <w:szCs w:val="16"/>
              </w:rPr>
              <w:t xml:space="preserve">Additional resources </w:t>
            </w:r>
            <w:r w:rsidR="009153EF">
              <w:rPr>
                <w:sz w:val="16"/>
                <w:szCs w:val="16"/>
              </w:rPr>
              <w:t>(</w:t>
            </w:r>
            <w:r w:rsidRPr="006175B5">
              <w:rPr>
                <w:sz w:val="16"/>
                <w:szCs w:val="16"/>
              </w:rPr>
              <w:t>from the Intangible Cultural Heritage Fund</w:t>
            </w:r>
            <w:r w:rsidR="009153EF">
              <w:rPr>
                <w:sz w:val="16"/>
                <w:szCs w:val="16"/>
              </w:rPr>
              <w:t>)</w:t>
            </w:r>
            <w:r w:rsidRPr="006175B5">
              <w:rPr>
                <w:sz w:val="16"/>
                <w:szCs w:val="16"/>
              </w:rPr>
              <w:t xml:space="preserve"> for:</w:t>
            </w:r>
          </w:p>
          <w:p w14:paraId="5765FB2D" w14:textId="4C3D4ED4" w:rsidR="00555BE4" w:rsidRPr="006175B5" w:rsidRDefault="00555BE4" w:rsidP="006175B5">
            <w:pPr>
              <w:pStyle w:val="1GAPara"/>
              <w:numPr>
                <w:ilvl w:val="1"/>
                <w:numId w:val="48"/>
              </w:numPr>
              <w:spacing w:after="60"/>
              <w:rPr>
                <w:i/>
                <w:iCs/>
                <w:sz w:val="16"/>
                <w:szCs w:val="16"/>
              </w:rPr>
            </w:pPr>
            <w:r w:rsidRPr="006175B5">
              <w:rPr>
                <w:sz w:val="16"/>
                <w:szCs w:val="16"/>
              </w:rPr>
              <w:t>Committee members’ additional meeting days</w:t>
            </w:r>
          </w:p>
        </w:tc>
      </w:tr>
    </w:tbl>
    <w:p w14:paraId="4729247E" w14:textId="4ED3D107" w:rsidR="00222AB7" w:rsidRPr="0012313A" w:rsidRDefault="0079544F" w:rsidP="006175B5">
      <w:pPr>
        <w:pStyle w:val="1GAPara"/>
        <w:keepNext/>
        <w:numPr>
          <w:ilvl w:val="0"/>
          <w:numId w:val="68"/>
        </w:numPr>
        <w:spacing w:before="120"/>
        <w:ind w:left="567" w:hanging="567"/>
        <w:jc w:val="both"/>
      </w:pPr>
      <w:r>
        <w:lastRenderedPageBreak/>
        <w:t>T</w:t>
      </w:r>
      <w:r w:rsidR="00BF46ED" w:rsidRPr="001C0BA4">
        <w:t>o</w:t>
      </w:r>
      <w:r>
        <w:t xml:space="preserve"> complete</w:t>
      </w:r>
      <w:r w:rsidR="00BF46ED" w:rsidRPr="001C0BA4">
        <w:t xml:space="preserve"> the procedure described </w:t>
      </w:r>
      <w:r w:rsidR="00BF46ED" w:rsidRPr="000A5B59">
        <w:t xml:space="preserve">above, </w:t>
      </w:r>
      <w:r w:rsidR="00BF46ED" w:rsidRPr="0012313A">
        <w:t>the f</w:t>
      </w:r>
      <w:r w:rsidR="00222AB7" w:rsidRPr="0012313A">
        <w:t xml:space="preserve">ollowing </w:t>
      </w:r>
      <w:r w:rsidR="002401D6">
        <w:t>questions</w:t>
      </w:r>
      <w:r w:rsidR="002401D6" w:rsidRPr="0012313A">
        <w:t xml:space="preserve"> </w:t>
      </w:r>
      <w:r>
        <w:t>must also</w:t>
      </w:r>
      <w:r w:rsidR="00222AB7" w:rsidRPr="0012313A">
        <w:t xml:space="preserve"> be considered:</w:t>
      </w:r>
    </w:p>
    <w:p w14:paraId="02655BEC" w14:textId="2F06D8EE" w:rsidR="00222AB7" w:rsidRPr="0012313A" w:rsidRDefault="00BF46ED">
      <w:pPr>
        <w:pStyle w:val="1GAPara"/>
        <w:numPr>
          <w:ilvl w:val="1"/>
          <w:numId w:val="3"/>
        </w:numPr>
        <w:ind w:left="1134" w:hanging="567"/>
        <w:jc w:val="both"/>
      </w:pPr>
      <w:r w:rsidRPr="0012313A">
        <w:t>Would</w:t>
      </w:r>
      <w:r w:rsidR="00222AB7" w:rsidRPr="0012313A">
        <w:t xml:space="preserve"> transfer </w:t>
      </w:r>
      <w:r w:rsidRPr="0012313A">
        <w:t>requests</w:t>
      </w:r>
      <w:r w:rsidR="000A6C5C">
        <w:t xml:space="preserve"> from the Urgent Safeguarding List to the Representative Li</w:t>
      </w:r>
      <w:r w:rsidR="002401D6">
        <w:t>st</w:t>
      </w:r>
      <w:r w:rsidRPr="0012313A">
        <w:t xml:space="preserve"> be treated as</w:t>
      </w:r>
      <w:r w:rsidR="00222AB7" w:rsidRPr="0012313A">
        <w:t xml:space="preserve"> part of the annual ceiling</w:t>
      </w:r>
      <w:r w:rsidRPr="0012313A">
        <w:t xml:space="preserve"> approved by the Committee</w:t>
      </w:r>
      <w:r w:rsidR="00222AB7" w:rsidRPr="0012313A">
        <w:t>?</w:t>
      </w:r>
      <w:r w:rsidR="00ED51CD">
        <w:t xml:space="preserve"> </w:t>
      </w:r>
      <w:r w:rsidR="000A6C5C">
        <w:t>If not, how will the Secretariat and the Evaluation Body absorb the extra workload</w:t>
      </w:r>
      <w:r w:rsidR="00ED51CD">
        <w:t>?</w:t>
      </w:r>
    </w:p>
    <w:p w14:paraId="0D1D2D27" w14:textId="1BEC589C" w:rsidR="00A23422" w:rsidRPr="000A5B59" w:rsidRDefault="00ED51CD">
      <w:pPr>
        <w:pStyle w:val="1GAPara"/>
        <w:numPr>
          <w:ilvl w:val="1"/>
          <w:numId w:val="3"/>
        </w:numPr>
        <w:ind w:left="1134" w:hanging="567"/>
        <w:jc w:val="both"/>
      </w:pPr>
      <w:r>
        <w:t>What to do i</w:t>
      </w:r>
      <w:r w:rsidR="00A23422" w:rsidRPr="000A5B59">
        <w:t xml:space="preserve">n case of multinational inscriptions, </w:t>
      </w:r>
      <w:r w:rsidR="000A6C5C">
        <w:t xml:space="preserve">if only </w:t>
      </w:r>
      <w:r>
        <w:t>one or</w:t>
      </w:r>
      <w:r w:rsidR="00A23422" w:rsidRPr="000A5B59">
        <w:t xml:space="preserve"> </w:t>
      </w:r>
      <w:r w:rsidR="000A6C5C">
        <w:t>some</w:t>
      </w:r>
      <w:r w:rsidR="000A6C5C" w:rsidRPr="000A5B59">
        <w:t xml:space="preserve"> </w:t>
      </w:r>
      <w:r w:rsidR="00A23422" w:rsidRPr="000A5B59">
        <w:t>of the</w:t>
      </w:r>
      <w:r>
        <w:t xml:space="preserve"> community(</w:t>
      </w:r>
      <w:proofErr w:type="spellStart"/>
      <w:r>
        <w:t>ies</w:t>
      </w:r>
      <w:proofErr w:type="spellEnd"/>
      <w:r>
        <w:t xml:space="preserve">) concerned in </w:t>
      </w:r>
      <w:r w:rsidR="000A6C5C">
        <w:t xml:space="preserve">only one or some of the </w:t>
      </w:r>
      <w:r w:rsidR="00A23422" w:rsidRPr="000A5B59">
        <w:t>submitting States</w:t>
      </w:r>
      <w:r w:rsidR="002401D6">
        <w:t xml:space="preserve"> Parties</w:t>
      </w:r>
      <w:r w:rsidR="00A23422" w:rsidRPr="000A5B59">
        <w:t xml:space="preserve"> request</w:t>
      </w:r>
      <w:r w:rsidR="002401D6">
        <w:t>(s)</w:t>
      </w:r>
      <w:r w:rsidR="00A23422" w:rsidRPr="000A5B59">
        <w:t xml:space="preserve"> a transfer?</w:t>
      </w:r>
    </w:p>
    <w:p w14:paraId="30A12054" w14:textId="144A32CC" w:rsidR="001C1BC0" w:rsidRPr="004172B7" w:rsidRDefault="00496702">
      <w:pPr>
        <w:pStyle w:val="1GAPara"/>
        <w:numPr>
          <w:ilvl w:val="0"/>
          <w:numId w:val="7"/>
        </w:numPr>
        <w:spacing w:before="240"/>
        <w:ind w:left="567" w:hanging="567"/>
        <w:rPr>
          <w:b/>
          <w:bCs/>
        </w:rPr>
      </w:pPr>
      <w:r>
        <w:rPr>
          <w:b/>
          <w:bCs/>
        </w:rPr>
        <w:t>P</w:t>
      </w:r>
      <w:r w:rsidR="001C1BC0" w:rsidRPr="004172B7">
        <w:rPr>
          <w:b/>
          <w:bCs/>
        </w:rPr>
        <w:t>rocedure for removing elements</w:t>
      </w:r>
      <w:r>
        <w:rPr>
          <w:b/>
          <w:bCs/>
        </w:rPr>
        <w:t xml:space="preserve"> from the Lists of the Convention</w:t>
      </w:r>
    </w:p>
    <w:p w14:paraId="092654D9" w14:textId="682745DA" w:rsidR="00496702" w:rsidRDefault="00DA705B" w:rsidP="00E37609">
      <w:pPr>
        <w:pStyle w:val="1GAPara"/>
        <w:numPr>
          <w:ilvl w:val="0"/>
          <w:numId w:val="68"/>
        </w:numPr>
        <w:ind w:left="567" w:hanging="567"/>
        <w:jc w:val="both"/>
      </w:pPr>
      <w:r w:rsidRPr="00DA705B">
        <w:t>At their</w:t>
      </w:r>
      <w:r w:rsidR="008562EF">
        <w:t xml:space="preserve"> Category VI</w:t>
      </w:r>
      <w:r w:rsidRPr="00DA705B">
        <w:t xml:space="preserve"> meeting in May 2021, experts </w:t>
      </w:r>
      <w:r>
        <w:t xml:space="preserve">agreed on the need to define a clear procedure </w:t>
      </w:r>
      <w:r w:rsidR="008562EF">
        <w:t xml:space="preserve">for </w:t>
      </w:r>
      <w:r>
        <w:t xml:space="preserve">the removal of elements </w:t>
      </w:r>
      <w:r w:rsidR="00772823">
        <w:t>when they</w:t>
      </w:r>
      <w:r w:rsidR="0027089E">
        <w:t xml:space="preserve"> no longer satisf</w:t>
      </w:r>
      <w:r w:rsidR="00772823">
        <w:t>y</w:t>
      </w:r>
      <w:r w:rsidR="0027089E">
        <w:t xml:space="preserve"> one or more criteria for inscription. However, given the impact that removing an element from a List could have on its viability and on its practising community, a </w:t>
      </w:r>
      <w:r w:rsidR="0027089E" w:rsidRPr="0027089E">
        <w:t xml:space="preserve">clear and transparent </w:t>
      </w:r>
      <w:r w:rsidR="0027089E">
        <w:t xml:space="preserve">decision-making </w:t>
      </w:r>
      <w:r w:rsidR="0027089E" w:rsidRPr="0027089E">
        <w:t>process is important, ensuring proper communication</w:t>
      </w:r>
      <w:r w:rsidR="0079544F">
        <w:t xml:space="preserve"> and information-sharing</w:t>
      </w:r>
      <w:r w:rsidR="0027089E" w:rsidRPr="0027089E">
        <w:t xml:space="preserve"> with the community </w:t>
      </w:r>
      <w:r w:rsidR="0027089E">
        <w:t>throughout the process</w:t>
      </w:r>
      <w:r w:rsidR="0027089E" w:rsidRPr="0027089E">
        <w:t>.</w:t>
      </w:r>
      <w:r w:rsidR="000A5B59">
        <w:t xml:space="preserve"> This would allow for</w:t>
      </w:r>
      <w:r w:rsidR="0092603B">
        <w:t xml:space="preserve"> the expression of</w:t>
      </w:r>
      <w:r w:rsidR="000A5B59">
        <w:t xml:space="preserve"> possibly diverging perspectives from within the community.</w:t>
      </w:r>
      <w:r w:rsidR="0027089E" w:rsidRPr="0027089E">
        <w:t xml:space="preserve"> </w:t>
      </w:r>
      <w:r w:rsidR="0027089E">
        <w:t xml:space="preserve">Raising similar concerns, the working group stressed the </w:t>
      </w:r>
      <w:r w:rsidR="0092603B">
        <w:t>need for</w:t>
      </w:r>
      <w:r w:rsidR="0027089E">
        <w:t xml:space="preserve"> a cautious approach and a clear procedure.</w:t>
      </w:r>
    </w:p>
    <w:p w14:paraId="3061F11C" w14:textId="3B53F074" w:rsidR="001C1BC0" w:rsidRDefault="00D73925" w:rsidP="006175B5">
      <w:pPr>
        <w:pStyle w:val="1GAPara"/>
        <w:keepNext/>
        <w:numPr>
          <w:ilvl w:val="0"/>
          <w:numId w:val="68"/>
        </w:numPr>
        <w:ind w:left="567" w:hanging="567"/>
        <w:jc w:val="both"/>
      </w:pPr>
      <w:r>
        <w:t xml:space="preserve">The working group </w:t>
      </w:r>
      <w:r w:rsidR="008562EF">
        <w:t xml:space="preserve">might base its discussion on the </w:t>
      </w:r>
      <w:r w:rsidR="0027089E">
        <w:t>following</w:t>
      </w:r>
      <w:r w:rsidR="008562EF">
        <w:t xml:space="preserve"> proposals</w:t>
      </w:r>
      <w:r w:rsidR="0027089E">
        <w:t>:</w:t>
      </w:r>
    </w:p>
    <w:p w14:paraId="131916EB" w14:textId="77777777" w:rsidR="001C1BC0" w:rsidRPr="0012313A" w:rsidRDefault="001C1BC0" w:rsidP="006175B5">
      <w:pPr>
        <w:pStyle w:val="1GAPara"/>
        <w:keepNext/>
        <w:numPr>
          <w:ilvl w:val="0"/>
          <w:numId w:val="0"/>
        </w:numPr>
        <w:spacing w:before="240"/>
        <w:ind w:left="567"/>
        <w:jc w:val="both"/>
        <w:rPr>
          <w:b/>
          <w:bCs/>
        </w:rPr>
      </w:pPr>
      <w:r w:rsidRPr="0012313A">
        <w:rPr>
          <w:b/>
          <w:bCs/>
        </w:rPr>
        <w:t xml:space="preserve">Proposed procedure for </w:t>
      </w:r>
      <w:r w:rsidRPr="00F20414">
        <w:rPr>
          <w:b/>
          <w:bCs/>
          <w:u w:val="single"/>
        </w:rPr>
        <w:t>removing</w:t>
      </w:r>
      <w:r w:rsidRPr="0012313A">
        <w:rPr>
          <w:b/>
          <w:bCs/>
        </w:rPr>
        <w:t xml:space="preserve"> elements from the Lists of the Convention </w:t>
      </w:r>
    </w:p>
    <w:tbl>
      <w:tblPr>
        <w:tblStyle w:val="TableGrid"/>
        <w:tblW w:w="0" w:type="auto"/>
        <w:tblInd w:w="567" w:type="dxa"/>
        <w:tblLook w:val="04A0" w:firstRow="1" w:lastRow="0" w:firstColumn="1" w:lastColumn="0" w:noHBand="0" w:noVBand="1"/>
      </w:tblPr>
      <w:tblGrid>
        <w:gridCol w:w="1129"/>
        <w:gridCol w:w="3966"/>
        <w:gridCol w:w="3966"/>
      </w:tblGrid>
      <w:tr w:rsidR="001C1BC0" w14:paraId="192A90BA" w14:textId="77777777" w:rsidTr="00873D40">
        <w:tc>
          <w:tcPr>
            <w:tcW w:w="1129" w:type="dxa"/>
          </w:tcPr>
          <w:p w14:paraId="449100D3" w14:textId="77777777" w:rsidR="001C1BC0" w:rsidRPr="0012313A" w:rsidRDefault="001C1BC0">
            <w:pPr>
              <w:pStyle w:val="1GAPara"/>
              <w:numPr>
                <w:ilvl w:val="0"/>
                <w:numId w:val="0"/>
              </w:numPr>
              <w:rPr>
                <w:b/>
                <w:bCs/>
              </w:rPr>
            </w:pPr>
            <w:r w:rsidRPr="0012313A">
              <w:rPr>
                <w:b/>
                <w:bCs/>
              </w:rPr>
              <w:t>Step 1</w:t>
            </w:r>
          </w:p>
        </w:tc>
        <w:tc>
          <w:tcPr>
            <w:tcW w:w="7932" w:type="dxa"/>
            <w:gridSpan w:val="2"/>
          </w:tcPr>
          <w:p w14:paraId="09D97520" w14:textId="22B9DCFC" w:rsidR="001C1BC0" w:rsidRPr="00C5154D" w:rsidRDefault="008562EF">
            <w:pPr>
              <w:pStyle w:val="1GAPara"/>
              <w:numPr>
                <w:ilvl w:val="0"/>
                <w:numId w:val="0"/>
              </w:numPr>
              <w:rPr>
                <w:b/>
                <w:bCs/>
              </w:rPr>
            </w:pPr>
            <w:r>
              <w:rPr>
                <w:b/>
                <w:bCs/>
              </w:rPr>
              <w:t>Removal request or other i</w:t>
            </w:r>
            <w:r w:rsidR="001C1BC0" w:rsidRPr="00C5154D">
              <w:rPr>
                <w:b/>
                <w:bCs/>
              </w:rPr>
              <w:t xml:space="preserve">nformation received </w:t>
            </w:r>
            <w:r w:rsidR="00624172">
              <w:rPr>
                <w:b/>
                <w:bCs/>
              </w:rPr>
              <w:t>about</w:t>
            </w:r>
            <w:r w:rsidR="001C1BC0" w:rsidRPr="00C5154D">
              <w:rPr>
                <w:b/>
                <w:bCs/>
              </w:rPr>
              <w:t xml:space="preserve"> developments </w:t>
            </w:r>
            <w:r w:rsidR="00624172">
              <w:rPr>
                <w:b/>
                <w:bCs/>
              </w:rPr>
              <w:t>affecting the</w:t>
            </w:r>
            <w:r w:rsidR="001C1BC0" w:rsidRPr="00C5154D">
              <w:rPr>
                <w:b/>
                <w:bCs/>
              </w:rPr>
              <w:t xml:space="preserve"> situation of an inscribed element</w:t>
            </w:r>
          </w:p>
          <w:p w14:paraId="766EF143" w14:textId="7F070750" w:rsidR="00F162B4" w:rsidRDefault="001C1BC0">
            <w:pPr>
              <w:pStyle w:val="1GAPara"/>
              <w:numPr>
                <w:ilvl w:val="0"/>
                <w:numId w:val="0"/>
              </w:numPr>
            </w:pPr>
            <w:r>
              <w:t xml:space="preserve">Correspondence from </w:t>
            </w:r>
            <w:r w:rsidR="008562EF">
              <w:t xml:space="preserve">the </w:t>
            </w:r>
            <w:r w:rsidR="0079544F">
              <w:t xml:space="preserve">submitting </w:t>
            </w:r>
            <w:r w:rsidR="008562EF">
              <w:t xml:space="preserve">entity </w:t>
            </w:r>
            <w:r w:rsidR="00943BB0">
              <w:t>(</w:t>
            </w:r>
            <w:proofErr w:type="gramStart"/>
            <w:r w:rsidR="008562EF">
              <w:t>i.e.</w:t>
            </w:r>
            <w:proofErr w:type="gramEnd"/>
            <w:r w:rsidR="008562EF">
              <w:t xml:space="preserve"> </w:t>
            </w:r>
            <w:r>
              <w:t>State</w:t>
            </w:r>
            <w:r w:rsidR="008562EF">
              <w:t>(s)</w:t>
            </w:r>
            <w:r>
              <w:t xml:space="preserve"> Party</w:t>
            </w:r>
            <w:r w:rsidR="008562EF">
              <w:t>(</w:t>
            </w:r>
            <w:proofErr w:type="spellStart"/>
            <w:r w:rsidR="008562EF">
              <w:t>ies</w:t>
            </w:r>
            <w:proofErr w:type="spellEnd"/>
            <w:r w:rsidR="008562EF">
              <w:t>)</w:t>
            </w:r>
            <w:r>
              <w:t xml:space="preserve"> concerned, community member(s) or </w:t>
            </w:r>
            <w:r w:rsidR="008562EF">
              <w:t xml:space="preserve">a </w:t>
            </w:r>
            <w:r>
              <w:t>third party</w:t>
            </w:r>
            <w:r w:rsidR="00943BB0">
              <w:t>)</w:t>
            </w:r>
            <w:r>
              <w:t xml:space="preserve"> is registered by the Secretariat.</w:t>
            </w:r>
          </w:p>
        </w:tc>
      </w:tr>
      <w:tr w:rsidR="001C1BC0" w14:paraId="7AF376C3" w14:textId="77777777" w:rsidTr="00873D40">
        <w:tc>
          <w:tcPr>
            <w:tcW w:w="1129" w:type="dxa"/>
          </w:tcPr>
          <w:p w14:paraId="10FEECF1" w14:textId="77777777" w:rsidR="001C1BC0" w:rsidRPr="0012313A" w:rsidRDefault="001C1BC0">
            <w:pPr>
              <w:pStyle w:val="1GAPara"/>
              <w:numPr>
                <w:ilvl w:val="0"/>
                <w:numId w:val="0"/>
              </w:numPr>
              <w:rPr>
                <w:b/>
                <w:bCs/>
              </w:rPr>
            </w:pPr>
            <w:r w:rsidRPr="0012313A">
              <w:rPr>
                <w:b/>
                <w:bCs/>
              </w:rPr>
              <w:t>Step 2</w:t>
            </w:r>
          </w:p>
        </w:tc>
        <w:tc>
          <w:tcPr>
            <w:tcW w:w="7932" w:type="dxa"/>
            <w:gridSpan w:val="2"/>
          </w:tcPr>
          <w:p w14:paraId="1ED483F6" w14:textId="77777777" w:rsidR="001C1BC0" w:rsidRPr="00C5154D" w:rsidRDefault="001C1BC0">
            <w:pPr>
              <w:pStyle w:val="1GAPara"/>
              <w:numPr>
                <w:ilvl w:val="0"/>
                <w:numId w:val="0"/>
              </w:numPr>
              <w:rPr>
                <w:b/>
                <w:bCs/>
              </w:rPr>
            </w:pPr>
            <w:r w:rsidRPr="00C5154D">
              <w:rPr>
                <w:b/>
                <w:bCs/>
              </w:rPr>
              <w:t xml:space="preserve">Transmission of information </w:t>
            </w:r>
          </w:p>
          <w:p w14:paraId="0520A3E7" w14:textId="4A294F65" w:rsidR="0038493F" w:rsidRDefault="001C1BC0">
            <w:pPr>
              <w:pStyle w:val="1GAPara"/>
              <w:numPr>
                <w:ilvl w:val="0"/>
                <w:numId w:val="5"/>
              </w:numPr>
              <w:ind w:left="466"/>
            </w:pPr>
            <w:r>
              <w:t xml:space="preserve">The Secretariat transmits information </w:t>
            </w:r>
            <w:r w:rsidRPr="00C5154D">
              <w:t>to</w:t>
            </w:r>
            <w:r w:rsidR="0079544F">
              <w:t xml:space="preserve"> the</w:t>
            </w:r>
            <w:r w:rsidRPr="00C5154D">
              <w:t xml:space="preserve"> State Party,</w:t>
            </w:r>
            <w:r w:rsidR="0079544F">
              <w:t xml:space="preserve"> the</w:t>
            </w:r>
            <w:r w:rsidRPr="00C5154D">
              <w:t xml:space="preserve"> nomination </w:t>
            </w:r>
            <w:r w:rsidR="00926E8B">
              <w:t>contact person</w:t>
            </w:r>
            <w:r w:rsidRPr="00C5154D">
              <w:t xml:space="preserve"> and community representatives (as identified in</w:t>
            </w:r>
            <w:r w:rsidR="00943BB0">
              <w:t xml:space="preserve"> the</w:t>
            </w:r>
            <w:r w:rsidRPr="00C5154D">
              <w:t xml:space="preserve"> nomination file)</w:t>
            </w:r>
            <w:r w:rsidR="00966687">
              <w:t>, who may provide a response and complementary information.</w:t>
            </w:r>
          </w:p>
          <w:p w14:paraId="00348C35" w14:textId="4BB08A83" w:rsidR="0081595F" w:rsidRDefault="001C1BC0">
            <w:pPr>
              <w:pStyle w:val="1GAPara"/>
              <w:numPr>
                <w:ilvl w:val="0"/>
                <w:numId w:val="5"/>
              </w:numPr>
              <w:ind w:left="466"/>
            </w:pPr>
            <w:r>
              <w:t xml:space="preserve">If </w:t>
            </w:r>
            <w:r w:rsidR="008562EF">
              <w:t xml:space="preserve">the </w:t>
            </w:r>
            <w:r w:rsidR="005D628E">
              <w:t xml:space="preserve">submitting </w:t>
            </w:r>
            <w:r>
              <w:t xml:space="preserve">entity wishes to remain anonymous, </w:t>
            </w:r>
            <w:r w:rsidR="008562EF">
              <w:t xml:space="preserve">the </w:t>
            </w:r>
            <w:r>
              <w:t>Secretariat transmits an edited version of the original correspondence.</w:t>
            </w:r>
          </w:p>
        </w:tc>
      </w:tr>
      <w:tr w:rsidR="0081595F" w14:paraId="4D119788" w14:textId="77777777" w:rsidTr="00873D40">
        <w:tc>
          <w:tcPr>
            <w:tcW w:w="1129" w:type="dxa"/>
            <w:vMerge w:val="restart"/>
          </w:tcPr>
          <w:p w14:paraId="17123C4C" w14:textId="151000E6" w:rsidR="0081595F" w:rsidRPr="0012313A" w:rsidRDefault="0081595F" w:rsidP="0079773C">
            <w:pPr>
              <w:pStyle w:val="1GAPara"/>
              <w:numPr>
                <w:ilvl w:val="0"/>
                <w:numId w:val="0"/>
              </w:numPr>
              <w:rPr>
                <w:b/>
                <w:bCs/>
              </w:rPr>
            </w:pPr>
            <w:r w:rsidRPr="0012313A">
              <w:rPr>
                <w:b/>
                <w:bCs/>
              </w:rPr>
              <w:t>Step 3</w:t>
            </w:r>
          </w:p>
        </w:tc>
        <w:tc>
          <w:tcPr>
            <w:tcW w:w="7932" w:type="dxa"/>
            <w:gridSpan w:val="2"/>
          </w:tcPr>
          <w:p w14:paraId="6080ED04" w14:textId="7F927C04" w:rsidR="00F029D9" w:rsidRPr="00966687" w:rsidRDefault="0081595F" w:rsidP="0079773C">
            <w:pPr>
              <w:pStyle w:val="1GAPara"/>
              <w:numPr>
                <w:ilvl w:val="0"/>
                <w:numId w:val="0"/>
              </w:numPr>
              <w:ind w:left="720" w:hanging="687"/>
              <w:rPr>
                <w:b/>
                <w:bCs/>
              </w:rPr>
            </w:pPr>
            <w:r>
              <w:rPr>
                <w:b/>
                <w:bCs/>
              </w:rPr>
              <w:t xml:space="preserve">Preliminary </w:t>
            </w:r>
            <w:r w:rsidR="008679F6">
              <w:rPr>
                <w:b/>
                <w:bCs/>
              </w:rPr>
              <w:t>check</w:t>
            </w:r>
          </w:p>
        </w:tc>
      </w:tr>
      <w:tr w:rsidR="0081595F" w14:paraId="78D4142D" w14:textId="77777777" w:rsidTr="006175B5">
        <w:trPr>
          <w:trHeight w:val="4164"/>
        </w:trPr>
        <w:tc>
          <w:tcPr>
            <w:tcW w:w="1129" w:type="dxa"/>
            <w:vMerge/>
          </w:tcPr>
          <w:p w14:paraId="692008CE" w14:textId="05EB7DBA" w:rsidR="0081595F" w:rsidRPr="0012313A" w:rsidRDefault="0081595F" w:rsidP="0079773C">
            <w:pPr>
              <w:pStyle w:val="1GAPara"/>
              <w:numPr>
                <w:ilvl w:val="0"/>
                <w:numId w:val="0"/>
              </w:numPr>
              <w:rPr>
                <w:b/>
                <w:bCs/>
              </w:rPr>
            </w:pPr>
          </w:p>
        </w:tc>
        <w:tc>
          <w:tcPr>
            <w:tcW w:w="3966" w:type="dxa"/>
          </w:tcPr>
          <w:p w14:paraId="0CFEB9B4" w14:textId="51E05218" w:rsidR="0081595F" w:rsidRPr="006175B5" w:rsidRDefault="00B71A5B">
            <w:r w:rsidRPr="006175B5">
              <w:rPr>
                <w:rFonts w:ascii="Arial" w:hAnsi="Arial" w:cs="Arial"/>
                <w:snapToGrid w:val="0"/>
                <w:szCs w:val="22"/>
                <w:lang w:eastAsia="en-US"/>
              </w:rPr>
              <w:t xml:space="preserve">If the removal request is submitted by the </w:t>
            </w:r>
            <w:r w:rsidRPr="006175B5">
              <w:rPr>
                <w:rFonts w:ascii="Arial" w:hAnsi="Arial" w:cs="Arial"/>
                <w:snapToGrid w:val="0"/>
                <w:szCs w:val="22"/>
                <w:u w:val="single"/>
                <w:lang w:eastAsia="en-US"/>
              </w:rPr>
              <w:t>State Party concerned</w:t>
            </w:r>
            <w:r w:rsidRPr="006175B5">
              <w:rPr>
                <w:rFonts w:ascii="Arial" w:hAnsi="Arial" w:cs="Arial"/>
                <w:snapToGrid w:val="0"/>
                <w:szCs w:val="22"/>
                <w:lang w:eastAsia="en-US"/>
              </w:rPr>
              <w:t xml:space="preserve"> as identified in the nomination file:</w:t>
            </w:r>
          </w:p>
          <w:p w14:paraId="68B4255A" w14:textId="4EBEA692" w:rsidR="00B71A5B" w:rsidRDefault="00B71A5B">
            <w:pPr>
              <w:pStyle w:val="ListParagraph"/>
              <w:numPr>
                <w:ilvl w:val="0"/>
                <w:numId w:val="15"/>
              </w:numPr>
              <w:ind w:left="458" w:hanging="357"/>
              <w:contextualSpacing w:val="0"/>
              <w:rPr>
                <w:rFonts w:ascii="Arial" w:hAnsi="Arial" w:cs="Arial"/>
                <w:snapToGrid w:val="0"/>
                <w:szCs w:val="22"/>
                <w:lang w:eastAsia="en-US"/>
              </w:rPr>
            </w:pPr>
            <w:r>
              <w:rPr>
                <w:rFonts w:ascii="Arial" w:hAnsi="Arial" w:cs="Arial"/>
                <w:snapToGrid w:val="0"/>
                <w:szCs w:val="22"/>
                <w:lang w:eastAsia="en-US"/>
              </w:rPr>
              <w:t>T</w:t>
            </w:r>
            <w:r w:rsidRPr="00B71A5B">
              <w:rPr>
                <w:rFonts w:ascii="Arial" w:hAnsi="Arial" w:cs="Arial"/>
                <w:snapToGrid w:val="0"/>
                <w:szCs w:val="22"/>
                <w:lang w:eastAsia="en-US"/>
              </w:rPr>
              <w:t>he Secretariat gathers information (from the arm’s</w:t>
            </w:r>
            <w:r w:rsidR="00943BB0">
              <w:rPr>
                <w:rFonts w:ascii="Arial" w:hAnsi="Arial" w:cs="Arial"/>
                <w:snapToGrid w:val="0"/>
                <w:szCs w:val="22"/>
                <w:lang w:eastAsia="en-US"/>
              </w:rPr>
              <w:t>-</w:t>
            </w:r>
            <w:r w:rsidRPr="00B71A5B">
              <w:rPr>
                <w:rFonts w:ascii="Arial" w:hAnsi="Arial" w:cs="Arial"/>
                <w:snapToGrid w:val="0"/>
                <w:szCs w:val="22"/>
                <w:lang w:eastAsia="en-US"/>
              </w:rPr>
              <w:t>length platform</w:t>
            </w:r>
            <w:r w:rsidR="00ED51CD">
              <w:rPr>
                <w:rFonts w:ascii="Arial" w:hAnsi="Arial" w:cs="Arial"/>
                <w:snapToGrid w:val="0"/>
                <w:szCs w:val="22"/>
                <w:lang w:eastAsia="en-US"/>
              </w:rPr>
              <w:t xml:space="preserve"> </w:t>
            </w:r>
            <w:r w:rsidR="00EC751C">
              <w:rPr>
                <w:rFonts w:ascii="Arial" w:hAnsi="Arial" w:cs="Arial"/>
                <w:snapToGrid w:val="0"/>
                <w:szCs w:val="22"/>
                <w:lang w:eastAsia="en-US"/>
              </w:rPr>
              <w:t>and/</w:t>
            </w:r>
            <w:r w:rsidR="00ED51CD">
              <w:rPr>
                <w:rFonts w:ascii="Arial" w:hAnsi="Arial" w:cs="Arial"/>
                <w:snapToGrid w:val="0"/>
                <w:szCs w:val="22"/>
                <w:lang w:eastAsia="en-US"/>
              </w:rPr>
              <w:t>or</w:t>
            </w:r>
            <w:r w:rsidR="005D628E">
              <w:rPr>
                <w:rFonts w:ascii="Arial" w:hAnsi="Arial" w:cs="Arial"/>
                <w:snapToGrid w:val="0"/>
                <w:szCs w:val="22"/>
                <w:lang w:eastAsia="en-US"/>
              </w:rPr>
              <w:t xml:space="preserve"> the</w:t>
            </w:r>
            <w:r w:rsidR="00ED51CD">
              <w:rPr>
                <w:rFonts w:ascii="Arial" w:hAnsi="Arial" w:cs="Arial"/>
                <w:snapToGrid w:val="0"/>
                <w:szCs w:val="22"/>
                <w:lang w:eastAsia="en-US"/>
              </w:rPr>
              <w:t xml:space="preserve"> ICH NGO Forum</w:t>
            </w:r>
            <w:r w:rsidR="00943BB0">
              <w:rPr>
                <w:rFonts w:ascii="Arial" w:hAnsi="Arial" w:cs="Arial"/>
                <w:snapToGrid w:val="0"/>
                <w:szCs w:val="22"/>
                <w:lang w:eastAsia="en-US"/>
              </w:rPr>
              <w:t>,</w:t>
            </w:r>
            <w:r w:rsidRPr="00B71A5B">
              <w:rPr>
                <w:rFonts w:ascii="Arial" w:hAnsi="Arial" w:cs="Arial"/>
                <w:snapToGrid w:val="0"/>
                <w:szCs w:val="22"/>
                <w:lang w:eastAsia="en-US"/>
              </w:rPr>
              <w:t xml:space="preserve"> if appropriate</w:t>
            </w:r>
            <w:r w:rsidR="00943BB0">
              <w:rPr>
                <w:rFonts w:ascii="Arial" w:hAnsi="Arial" w:cs="Arial"/>
                <w:snapToGrid w:val="0"/>
                <w:szCs w:val="22"/>
                <w:lang w:eastAsia="en-US"/>
              </w:rPr>
              <w:t>,</w:t>
            </w:r>
            <w:r w:rsidRPr="00B71A5B">
              <w:rPr>
                <w:rFonts w:ascii="Arial" w:hAnsi="Arial" w:cs="Arial"/>
                <w:snapToGrid w:val="0"/>
                <w:szCs w:val="22"/>
                <w:lang w:eastAsia="en-US"/>
              </w:rPr>
              <w:t xml:space="preserve"> through a</w:t>
            </w:r>
            <w:r w:rsidR="00966687">
              <w:rPr>
                <w:rFonts w:ascii="Arial" w:hAnsi="Arial" w:cs="Arial"/>
                <w:snapToGrid w:val="0"/>
                <w:szCs w:val="22"/>
                <w:lang w:eastAsia="en-US"/>
              </w:rPr>
              <w:t xml:space="preserve"> fast-track preliminary</w:t>
            </w:r>
            <w:r w:rsidRPr="00B71A5B">
              <w:rPr>
                <w:rFonts w:ascii="Arial" w:hAnsi="Arial" w:cs="Arial"/>
                <w:snapToGrid w:val="0"/>
                <w:szCs w:val="22"/>
                <w:lang w:eastAsia="en-US"/>
              </w:rPr>
              <w:t xml:space="preserve"> advice option). </w:t>
            </w:r>
          </w:p>
          <w:p w14:paraId="2326F354" w14:textId="2C094457" w:rsidR="0081595F" w:rsidRPr="00966687" w:rsidRDefault="00B71A5B">
            <w:pPr>
              <w:pStyle w:val="ListParagraph"/>
              <w:numPr>
                <w:ilvl w:val="0"/>
                <w:numId w:val="15"/>
              </w:numPr>
              <w:ind w:left="458" w:hanging="357"/>
              <w:contextualSpacing w:val="0"/>
            </w:pPr>
            <w:r w:rsidRPr="00B71A5B">
              <w:rPr>
                <w:rFonts w:ascii="Arial" w:hAnsi="Arial" w:cs="Arial"/>
                <w:snapToGrid w:val="0"/>
                <w:szCs w:val="22"/>
                <w:lang w:eastAsia="en-US"/>
              </w:rPr>
              <w:t xml:space="preserve">The </w:t>
            </w:r>
            <w:r w:rsidR="00966687">
              <w:rPr>
                <w:rFonts w:ascii="Arial" w:hAnsi="Arial" w:cs="Arial"/>
                <w:snapToGrid w:val="0"/>
                <w:szCs w:val="22"/>
                <w:lang w:eastAsia="en-US"/>
              </w:rPr>
              <w:t xml:space="preserve">removal </w:t>
            </w:r>
            <w:r w:rsidRPr="00B71A5B">
              <w:rPr>
                <w:rFonts w:ascii="Arial" w:hAnsi="Arial" w:cs="Arial"/>
                <w:snapToGrid w:val="0"/>
                <w:szCs w:val="22"/>
                <w:lang w:eastAsia="en-US"/>
              </w:rPr>
              <w:t>request is then directly transmitted to the Committee</w:t>
            </w:r>
            <w:r w:rsidR="005D628E">
              <w:rPr>
                <w:rFonts w:ascii="Arial" w:hAnsi="Arial" w:cs="Arial"/>
                <w:snapToGrid w:val="0"/>
                <w:szCs w:val="22"/>
                <w:lang w:eastAsia="en-US"/>
              </w:rPr>
              <w:t>,</w:t>
            </w:r>
            <w:r w:rsidRPr="00B71A5B">
              <w:rPr>
                <w:rFonts w:ascii="Arial" w:hAnsi="Arial" w:cs="Arial"/>
                <w:snapToGrid w:val="0"/>
                <w:szCs w:val="22"/>
                <w:lang w:eastAsia="en-US"/>
              </w:rPr>
              <w:t xml:space="preserve"> </w:t>
            </w:r>
            <w:r w:rsidR="00966687">
              <w:rPr>
                <w:rFonts w:ascii="Arial" w:hAnsi="Arial" w:cs="Arial"/>
                <w:snapToGrid w:val="0"/>
                <w:szCs w:val="22"/>
                <w:lang w:eastAsia="en-US"/>
              </w:rPr>
              <w:t>together with the</w:t>
            </w:r>
            <w:r w:rsidR="00CE36F9">
              <w:rPr>
                <w:rFonts w:ascii="Arial" w:hAnsi="Arial" w:cs="Arial"/>
                <w:snapToGrid w:val="0"/>
                <w:szCs w:val="22"/>
                <w:lang w:eastAsia="en-US"/>
              </w:rPr>
              <w:t xml:space="preserve"> reply from the State </w:t>
            </w:r>
            <w:r w:rsidR="00943BB0">
              <w:rPr>
                <w:rFonts w:ascii="Arial" w:hAnsi="Arial" w:cs="Arial"/>
                <w:snapToGrid w:val="0"/>
                <w:szCs w:val="22"/>
                <w:lang w:eastAsia="en-US"/>
              </w:rPr>
              <w:t xml:space="preserve">Party </w:t>
            </w:r>
            <w:r w:rsidR="00CE36F9">
              <w:rPr>
                <w:rFonts w:ascii="Arial" w:hAnsi="Arial" w:cs="Arial"/>
                <w:snapToGrid w:val="0"/>
                <w:szCs w:val="22"/>
                <w:lang w:eastAsia="en-US"/>
              </w:rPr>
              <w:t>and communities, as well as</w:t>
            </w:r>
            <w:r w:rsidR="00966687">
              <w:rPr>
                <w:rFonts w:ascii="Arial" w:hAnsi="Arial" w:cs="Arial"/>
                <w:snapToGrid w:val="0"/>
                <w:szCs w:val="22"/>
                <w:lang w:eastAsia="en-US"/>
              </w:rPr>
              <w:t xml:space="preserve"> preliminary advice from the </w:t>
            </w:r>
            <w:r w:rsidR="00966687" w:rsidRPr="00966687">
              <w:rPr>
                <w:rFonts w:ascii="Arial" w:hAnsi="Arial" w:cs="Arial"/>
                <w:snapToGrid w:val="0"/>
                <w:szCs w:val="22"/>
                <w:lang w:eastAsia="en-US"/>
              </w:rPr>
              <w:t>arm’s</w:t>
            </w:r>
            <w:r w:rsidR="00B07E63">
              <w:rPr>
                <w:rFonts w:ascii="Arial" w:hAnsi="Arial" w:cs="Arial"/>
                <w:snapToGrid w:val="0"/>
                <w:szCs w:val="22"/>
                <w:lang w:eastAsia="en-US"/>
              </w:rPr>
              <w:t>-</w:t>
            </w:r>
            <w:r w:rsidR="00966687" w:rsidRPr="00966687">
              <w:rPr>
                <w:rFonts w:ascii="Arial" w:hAnsi="Arial" w:cs="Arial"/>
                <w:snapToGrid w:val="0"/>
                <w:szCs w:val="22"/>
                <w:lang w:eastAsia="en-US"/>
              </w:rPr>
              <w:t>length platform</w:t>
            </w:r>
            <w:r w:rsidR="005622C5">
              <w:rPr>
                <w:rFonts w:ascii="Arial" w:hAnsi="Arial" w:cs="Arial"/>
                <w:snapToGrid w:val="0"/>
                <w:szCs w:val="22"/>
                <w:lang w:eastAsia="en-US"/>
              </w:rPr>
              <w:t xml:space="preserve"> </w:t>
            </w:r>
            <w:r w:rsidR="00EC751C">
              <w:rPr>
                <w:rFonts w:ascii="Arial" w:hAnsi="Arial" w:cs="Arial"/>
                <w:snapToGrid w:val="0"/>
                <w:szCs w:val="22"/>
                <w:lang w:eastAsia="en-US"/>
              </w:rPr>
              <w:t>and/</w:t>
            </w:r>
            <w:r w:rsidR="005622C5">
              <w:rPr>
                <w:rFonts w:ascii="Arial" w:hAnsi="Arial" w:cs="Arial"/>
                <w:snapToGrid w:val="0"/>
                <w:szCs w:val="22"/>
                <w:lang w:eastAsia="en-US"/>
              </w:rPr>
              <w:t xml:space="preserve">or </w:t>
            </w:r>
            <w:r w:rsidR="005D628E">
              <w:rPr>
                <w:rFonts w:ascii="Arial" w:hAnsi="Arial" w:cs="Arial"/>
                <w:snapToGrid w:val="0"/>
                <w:szCs w:val="22"/>
                <w:lang w:eastAsia="en-US"/>
              </w:rPr>
              <w:t xml:space="preserve">the </w:t>
            </w:r>
            <w:r w:rsidR="005622C5">
              <w:rPr>
                <w:rFonts w:ascii="Arial" w:hAnsi="Arial" w:cs="Arial"/>
                <w:snapToGrid w:val="0"/>
                <w:szCs w:val="22"/>
                <w:lang w:eastAsia="en-US"/>
              </w:rPr>
              <w:t>ICH NGO Forum</w:t>
            </w:r>
            <w:r w:rsidRPr="00B71A5B">
              <w:rPr>
                <w:rFonts w:ascii="Arial" w:hAnsi="Arial" w:cs="Arial"/>
                <w:snapToGrid w:val="0"/>
                <w:szCs w:val="22"/>
                <w:lang w:eastAsia="en-US"/>
              </w:rPr>
              <w:t>.</w:t>
            </w:r>
          </w:p>
        </w:tc>
        <w:tc>
          <w:tcPr>
            <w:tcW w:w="3966" w:type="dxa"/>
          </w:tcPr>
          <w:p w14:paraId="5C296FC3" w14:textId="0C58D4E8" w:rsidR="005622C5" w:rsidRPr="006175B5" w:rsidRDefault="005622C5">
            <w:pPr>
              <w:ind w:left="101"/>
              <w:rPr>
                <w:rFonts w:ascii="Arial" w:hAnsi="Arial" w:cs="Arial"/>
                <w:snapToGrid w:val="0"/>
                <w:szCs w:val="22"/>
                <w:lang w:eastAsia="en-US"/>
              </w:rPr>
            </w:pPr>
            <w:r w:rsidRPr="006175B5">
              <w:rPr>
                <w:rFonts w:ascii="Arial" w:hAnsi="Arial" w:cs="Arial"/>
                <w:snapToGrid w:val="0"/>
                <w:szCs w:val="22"/>
                <w:lang w:eastAsia="en-US"/>
              </w:rPr>
              <w:t xml:space="preserve">If the removal request or correspondence is submitted by the </w:t>
            </w:r>
            <w:r w:rsidRPr="006175B5">
              <w:rPr>
                <w:rFonts w:ascii="Arial" w:hAnsi="Arial" w:cs="Arial"/>
                <w:snapToGrid w:val="0"/>
                <w:szCs w:val="22"/>
                <w:u w:val="single"/>
                <w:lang w:eastAsia="en-US"/>
              </w:rPr>
              <w:t xml:space="preserve">community </w:t>
            </w:r>
            <w:r w:rsidR="00943BB0" w:rsidRPr="006175B5">
              <w:rPr>
                <w:rFonts w:ascii="Arial" w:hAnsi="Arial" w:cs="Arial"/>
                <w:snapToGrid w:val="0"/>
                <w:szCs w:val="22"/>
                <w:u w:val="single"/>
                <w:lang w:eastAsia="en-US"/>
              </w:rPr>
              <w:t xml:space="preserve">concerned </w:t>
            </w:r>
            <w:r w:rsidRPr="006175B5">
              <w:rPr>
                <w:rFonts w:ascii="Arial" w:hAnsi="Arial" w:cs="Arial"/>
                <w:snapToGrid w:val="0"/>
                <w:szCs w:val="22"/>
                <w:u w:val="single"/>
                <w:lang w:eastAsia="en-US"/>
              </w:rPr>
              <w:t>or a third party</w:t>
            </w:r>
            <w:r w:rsidRPr="006175B5">
              <w:rPr>
                <w:rFonts w:ascii="Arial" w:hAnsi="Arial" w:cs="Arial"/>
                <w:snapToGrid w:val="0"/>
                <w:szCs w:val="22"/>
                <w:lang w:eastAsia="en-US"/>
              </w:rPr>
              <w:t>:</w:t>
            </w:r>
          </w:p>
          <w:p w14:paraId="3CB174F7" w14:textId="46EC777D" w:rsidR="005622C5" w:rsidRPr="005622C5" w:rsidRDefault="005622C5">
            <w:pPr>
              <w:pStyle w:val="ListParagraph"/>
              <w:numPr>
                <w:ilvl w:val="0"/>
                <w:numId w:val="15"/>
              </w:numPr>
              <w:ind w:left="458" w:hanging="357"/>
              <w:contextualSpacing w:val="0"/>
              <w:rPr>
                <w:rFonts w:ascii="Arial" w:hAnsi="Arial" w:cs="Arial"/>
                <w:snapToGrid w:val="0"/>
                <w:szCs w:val="22"/>
                <w:lang w:eastAsia="en-US"/>
              </w:rPr>
            </w:pPr>
            <w:r w:rsidRPr="005622C5">
              <w:rPr>
                <w:rFonts w:ascii="Arial" w:hAnsi="Arial" w:cs="Arial"/>
                <w:snapToGrid w:val="0"/>
                <w:szCs w:val="22"/>
                <w:lang w:eastAsia="en-US"/>
              </w:rPr>
              <w:t>The Secretariat gathers information (</w:t>
            </w:r>
            <w:r w:rsidR="00620244">
              <w:rPr>
                <w:rFonts w:ascii="Arial" w:hAnsi="Arial" w:cs="Arial"/>
                <w:snapToGrid w:val="0"/>
                <w:szCs w:val="22"/>
                <w:lang w:eastAsia="en-US"/>
              </w:rPr>
              <w:t xml:space="preserve">possibly </w:t>
            </w:r>
            <w:r w:rsidRPr="005622C5">
              <w:rPr>
                <w:rFonts w:ascii="Arial" w:hAnsi="Arial" w:cs="Arial"/>
                <w:snapToGrid w:val="0"/>
                <w:szCs w:val="22"/>
                <w:lang w:eastAsia="en-US"/>
              </w:rPr>
              <w:t>from the arm’s</w:t>
            </w:r>
            <w:r w:rsidR="00943BB0">
              <w:rPr>
                <w:rFonts w:ascii="Arial" w:hAnsi="Arial" w:cs="Arial"/>
                <w:snapToGrid w:val="0"/>
                <w:szCs w:val="22"/>
                <w:lang w:eastAsia="en-US"/>
              </w:rPr>
              <w:t>-</w:t>
            </w:r>
            <w:r w:rsidRPr="005622C5">
              <w:rPr>
                <w:rFonts w:ascii="Arial" w:hAnsi="Arial" w:cs="Arial"/>
                <w:snapToGrid w:val="0"/>
                <w:szCs w:val="22"/>
                <w:lang w:eastAsia="en-US"/>
              </w:rPr>
              <w:t xml:space="preserve">length platform </w:t>
            </w:r>
            <w:r w:rsidR="00EC751C">
              <w:rPr>
                <w:rFonts w:ascii="Arial" w:hAnsi="Arial" w:cs="Arial"/>
                <w:snapToGrid w:val="0"/>
                <w:szCs w:val="22"/>
                <w:lang w:eastAsia="en-US"/>
              </w:rPr>
              <w:t>and/</w:t>
            </w:r>
            <w:r w:rsidRPr="005622C5">
              <w:rPr>
                <w:rFonts w:ascii="Arial" w:hAnsi="Arial" w:cs="Arial"/>
                <w:snapToGrid w:val="0"/>
                <w:szCs w:val="22"/>
                <w:lang w:eastAsia="en-US"/>
              </w:rPr>
              <w:t xml:space="preserve">or </w:t>
            </w:r>
            <w:r w:rsidR="005D628E">
              <w:rPr>
                <w:rFonts w:ascii="Arial" w:hAnsi="Arial" w:cs="Arial"/>
                <w:snapToGrid w:val="0"/>
                <w:szCs w:val="22"/>
                <w:lang w:eastAsia="en-US"/>
              </w:rPr>
              <w:t xml:space="preserve">the </w:t>
            </w:r>
            <w:r w:rsidRPr="005622C5">
              <w:rPr>
                <w:rFonts w:ascii="Arial" w:hAnsi="Arial" w:cs="Arial"/>
                <w:snapToGrid w:val="0"/>
                <w:szCs w:val="22"/>
                <w:lang w:eastAsia="en-US"/>
              </w:rPr>
              <w:t>ICH NGO Forum</w:t>
            </w:r>
            <w:r w:rsidR="00943BB0">
              <w:rPr>
                <w:rFonts w:ascii="Arial" w:hAnsi="Arial" w:cs="Arial"/>
                <w:snapToGrid w:val="0"/>
                <w:szCs w:val="22"/>
                <w:lang w:eastAsia="en-US"/>
              </w:rPr>
              <w:t>,</w:t>
            </w:r>
            <w:r w:rsidRPr="005622C5">
              <w:rPr>
                <w:rFonts w:ascii="Arial" w:hAnsi="Arial" w:cs="Arial"/>
                <w:snapToGrid w:val="0"/>
                <w:szCs w:val="22"/>
                <w:lang w:eastAsia="en-US"/>
              </w:rPr>
              <w:t xml:space="preserve"> if appropriate</w:t>
            </w:r>
            <w:r w:rsidR="00943BB0">
              <w:rPr>
                <w:rFonts w:ascii="Arial" w:hAnsi="Arial" w:cs="Arial"/>
                <w:snapToGrid w:val="0"/>
                <w:szCs w:val="22"/>
                <w:lang w:eastAsia="en-US"/>
              </w:rPr>
              <w:t>,</w:t>
            </w:r>
            <w:r w:rsidRPr="005622C5">
              <w:rPr>
                <w:rFonts w:ascii="Arial" w:hAnsi="Arial" w:cs="Arial"/>
                <w:snapToGrid w:val="0"/>
                <w:szCs w:val="22"/>
                <w:lang w:eastAsia="en-US"/>
              </w:rPr>
              <w:t xml:space="preserve"> through a fast-track preliminary advice option) and consults the Bureau of the Committee.</w:t>
            </w:r>
          </w:p>
          <w:p w14:paraId="5CD52AB4" w14:textId="1385A792" w:rsidR="0081595F" w:rsidRPr="006175B5" w:rsidRDefault="005622C5">
            <w:pPr>
              <w:pStyle w:val="ListParagraph"/>
              <w:numPr>
                <w:ilvl w:val="0"/>
                <w:numId w:val="15"/>
              </w:numPr>
              <w:ind w:left="458" w:hanging="357"/>
              <w:contextualSpacing w:val="0"/>
            </w:pPr>
            <w:r>
              <w:rPr>
                <w:rFonts w:ascii="Arial" w:hAnsi="Arial" w:cs="Arial"/>
                <w:snapToGrid w:val="0"/>
                <w:szCs w:val="22"/>
                <w:lang w:eastAsia="en-US"/>
              </w:rPr>
              <w:t>T</w:t>
            </w:r>
            <w:r w:rsidRPr="005622C5">
              <w:rPr>
                <w:rFonts w:ascii="Arial" w:hAnsi="Arial" w:cs="Arial"/>
                <w:snapToGrid w:val="0"/>
                <w:szCs w:val="22"/>
                <w:lang w:eastAsia="en-US"/>
              </w:rPr>
              <w:t>he Bureau recommends or not to include the case on the agenda of the next Committee session.</w:t>
            </w:r>
          </w:p>
        </w:tc>
      </w:tr>
      <w:tr w:rsidR="00B71A5B" w14:paraId="5C1943C0" w14:textId="77777777" w:rsidTr="006175B5">
        <w:tc>
          <w:tcPr>
            <w:tcW w:w="1129" w:type="dxa"/>
            <w:vMerge/>
          </w:tcPr>
          <w:p w14:paraId="6C6D834F" w14:textId="77777777" w:rsidR="00B71A5B" w:rsidRPr="0012313A" w:rsidRDefault="00B71A5B">
            <w:pPr>
              <w:pStyle w:val="1GAPara"/>
              <w:numPr>
                <w:ilvl w:val="0"/>
                <w:numId w:val="0"/>
              </w:numPr>
              <w:rPr>
                <w:b/>
                <w:bCs/>
              </w:rPr>
            </w:pPr>
          </w:p>
        </w:tc>
        <w:tc>
          <w:tcPr>
            <w:tcW w:w="7932" w:type="dxa"/>
            <w:gridSpan w:val="2"/>
            <w:shd w:val="clear" w:color="auto" w:fill="auto"/>
          </w:tcPr>
          <w:p w14:paraId="405370C0" w14:textId="0A7F6DCA" w:rsidR="00B71A5B" w:rsidRPr="0031227F" w:rsidRDefault="00B71A5B">
            <w:pPr>
              <w:pStyle w:val="1GAPara"/>
              <w:numPr>
                <w:ilvl w:val="0"/>
                <w:numId w:val="0"/>
              </w:numPr>
            </w:pPr>
            <w:r>
              <w:t xml:space="preserve">Regardless of the option selected </w:t>
            </w:r>
            <w:r w:rsidR="0072498D">
              <w:t>above</w:t>
            </w:r>
            <w:r>
              <w:t xml:space="preserve">, all cases received by the Secretariat are brought to the attention of the Committee in the sense of </w:t>
            </w:r>
            <w:r w:rsidR="00CE36F9">
              <w:t>D</w:t>
            </w:r>
            <w:r>
              <w:t>ecision</w:t>
            </w:r>
            <w:r w:rsidR="003760DF">
              <w:t> </w:t>
            </w:r>
            <w:hyperlink r:id="rId25" w:history="1">
              <w:r w:rsidRPr="00624172">
                <w:rPr>
                  <w:rStyle w:val="Hyperlink"/>
                </w:rPr>
                <w:t>14.COM</w:t>
              </w:r>
              <w:r>
                <w:rPr>
                  <w:rStyle w:val="Hyperlink"/>
                </w:rPr>
                <w:t> </w:t>
              </w:r>
              <w:r w:rsidRPr="00624172">
                <w:rPr>
                  <w:rStyle w:val="Hyperlink"/>
                </w:rPr>
                <w:t>14</w:t>
              </w:r>
            </w:hyperlink>
            <w:r>
              <w:t xml:space="preserve"> (paragraph 15).</w:t>
            </w:r>
          </w:p>
        </w:tc>
      </w:tr>
      <w:tr w:rsidR="008F5867" w14:paraId="0A1B7993" w14:textId="77777777" w:rsidTr="004A3248">
        <w:tc>
          <w:tcPr>
            <w:tcW w:w="1129" w:type="dxa"/>
            <w:vMerge/>
          </w:tcPr>
          <w:p w14:paraId="7B170BEA" w14:textId="77777777" w:rsidR="008F5867" w:rsidRPr="0012313A" w:rsidRDefault="008F5867">
            <w:pPr>
              <w:pStyle w:val="1GAPara"/>
              <w:numPr>
                <w:ilvl w:val="0"/>
                <w:numId w:val="0"/>
              </w:numPr>
              <w:rPr>
                <w:b/>
                <w:bCs/>
              </w:rPr>
            </w:pPr>
          </w:p>
        </w:tc>
        <w:tc>
          <w:tcPr>
            <w:tcW w:w="7932" w:type="dxa"/>
            <w:gridSpan w:val="2"/>
            <w:shd w:val="clear" w:color="auto" w:fill="F2F2F2" w:themeFill="background1" w:themeFillShade="F2"/>
          </w:tcPr>
          <w:p w14:paraId="0DA64517" w14:textId="77777777" w:rsidR="005056F8" w:rsidRPr="006175B5" w:rsidRDefault="005056F8">
            <w:pPr>
              <w:pStyle w:val="1GAPara"/>
              <w:numPr>
                <w:ilvl w:val="0"/>
                <w:numId w:val="0"/>
              </w:numPr>
              <w:spacing w:after="60"/>
              <w:rPr>
                <w:sz w:val="16"/>
                <w:szCs w:val="16"/>
              </w:rPr>
            </w:pPr>
            <w:r w:rsidRPr="006175B5">
              <w:rPr>
                <w:sz w:val="16"/>
                <w:szCs w:val="16"/>
              </w:rPr>
              <w:t xml:space="preserve">Cost implications (overall costs will depend on the number of requests): </w:t>
            </w:r>
          </w:p>
          <w:p w14:paraId="2022B8D7" w14:textId="55E9E9FF" w:rsidR="001D403E" w:rsidRPr="006175B5" w:rsidRDefault="006525AC">
            <w:pPr>
              <w:pStyle w:val="1GAPara"/>
              <w:numPr>
                <w:ilvl w:val="0"/>
                <w:numId w:val="48"/>
              </w:numPr>
              <w:spacing w:after="60"/>
              <w:rPr>
                <w:i/>
                <w:iCs/>
                <w:sz w:val="16"/>
                <w:szCs w:val="16"/>
              </w:rPr>
            </w:pPr>
            <w:r w:rsidRPr="006175B5">
              <w:rPr>
                <w:sz w:val="16"/>
                <w:szCs w:val="16"/>
              </w:rPr>
              <w:t>Additional Secretariat time required for</w:t>
            </w:r>
            <w:r w:rsidR="001D403E" w:rsidRPr="006175B5">
              <w:rPr>
                <w:sz w:val="16"/>
                <w:szCs w:val="16"/>
              </w:rPr>
              <w:t xml:space="preserve">: </w:t>
            </w:r>
          </w:p>
          <w:p w14:paraId="473F2F7C" w14:textId="015C111E" w:rsidR="005056F8" w:rsidRPr="006175B5" w:rsidRDefault="001836C0">
            <w:pPr>
              <w:pStyle w:val="1GAPara"/>
              <w:numPr>
                <w:ilvl w:val="1"/>
                <w:numId w:val="48"/>
              </w:numPr>
              <w:spacing w:after="60"/>
              <w:rPr>
                <w:sz w:val="16"/>
                <w:szCs w:val="16"/>
              </w:rPr>
            </w:pPr>
            <w:r>
              <w:rPr>
                <w:sz w:val="16"/>
                <w:szCs w:val="16"/>
              </w:rPr>
              <w:t>P</w:t>
            </w:r>
            <w:r w:rsidR="005056F8" w:rsidRPr="006175B5">
              <w:rPr>
                <w:sz w:val="16"/>
                <w:szCs w:val="16"/>
              </w:rPr>
              <w:t>rocessing, regist</w:t>
            </w:r>
            <w:r w:rsidR="00896898">
              <w:rPr>
                <w:sz w:val="16"/>
                <w:szCs w:val="16"/>
              </w:rPr>
              <w:t>ration and preparation of</w:t>
            </w:r>
            <w:r w:rsidR="005056F8" w:rsidRPr="006175B5">
              <w:rPr>
                <w:sz w:val="16"/>
                <w:szCs w:val="16"/>
              </w:rPr>
              <w:t xml:space="preserve"> letters and communication </w:t>
            </w:r>
            <w:r w:rsidR="005D628E">
              <w:rPr>
                <w:sz w:val="16"/>
                <w:szCs w:val="16"/>
              </w:rPr>
              <w:t xml:space="preserve">to and </w:t>
            </w:r>
            <w:r w:rsidR="005056F8" w:rsidRPr="006175B5">
              <w:rPr>
                <w:sz w:val="16"/>
                <w:szCs w:val="16"/>
              </w:rPr>
              <w:t>from</w:t>
            </w:r>
            <w:r w:rsidR="00E66618" w:rsidRPr="006175B5">
              <w:rPr>
                <w:sz w:val="16"/>
                <w:szCs w:val="16"/>
              </w:rPr>
              <w:t xml:space="preserve"> </w:t>
            </w:r>
            <w:r w:rsidR="005056F8" w:rsidRPr="006175B5">
              <w:rPr>
                <w:sz w:val="16"/>
                <w:szCs w:val="16"/>
              </w:rPr>
              <w:t>States Parties</w:t>
            </w:r>
            <w:r w:rsidR="005D628E">
              <w:rPr>
                <w:sz w:val="16"/>
                <w:szCs w:val="16"/>
              </w:rPr>
              <w:t>,</w:t>
            </w:r>
            <w:r w:rsidR="005056F8" w:rsidRPr="006175B5">
              <w:rPr>
                <w:sz w:val="16"/>
                <w:szCs w:val="16"/>
              </w:rPr>
              <w:t xml:space="preserve"> communities and third parties </w:t>
            </w:r>
          </w:p>
          <w:p w14:paraId="40EA2248" w14:textId="38040762" w:rsidR="005056F8" w:rsidRPr="006175B5" w:rsidRDefault="00896898">
            <w:pPr>
              <w:pStyle w:val="1GAPara"/>
              <w:numPr>
                <w:ilvl w:val="1"/>
                <w:numId w:val="48"/>
              </w:numPr>
              <w:spacing w:after="60"/>
              <w:rPr>
                <w:sz w:val="16"/>
                <w:szCs w:val="16"/>
              </w:rPr>
            </w:pPr>
            <w:r>
              <w:rPr>
                <w:sz w:val="16"/>
                <w:szCs w:val="16"/>
              </w:rPr>
              <w:t>I</w:t>
            </w:r>
            <w:r w:rsidR="005056F8" w:rsidRPr="006175B5">
              <w:rPr>
                <w:sz w:val="16"/>
                <w:szCs w:val="16"/>
              </w:rPr>
              <w:t>nformation gathering</w:t>
            </w:r>
            <w:r w:rsidR="00EC751C">
              <w:rPr>
                <w:sz w:val="16"/>
                <w:szCs w:val="16"/>
              </w:rPr>
              <w:t>, possibly</w:t>
            </w:r>
            <w:r w:rsidR="005056F8" w:rsidRPr="006175B5">
              <w:rPr>
                <w:sz w:val="16"/>
                <w:szCs w:val="16"/>
              </w:rPr>
              <w:t xml:space="preserve"> from </w:t>
            </w:r>
            <w:r w:rsidR="00EC751C">
              <w:rPr>
                <w:sz w:val="16"/>
                <w:szCs w:val="16"/>
              </w:rPr>
              <w:t xml:space="preserve">the </w:t>
            </w:r>
            <w:r w:rsidR="005056F8" w:rsidRPr="006175B5">
              <w:rPr>
                <w:sz w:val="16"/>
                <w:szCs w:val="16"/>
              </w:rPr>
              <w:t>arm’s</w:t>
            </w:r>
            <w:r w:rsidR="001836C0">
              <w:rPr>
                <w:sz w:val="16"/>
                <w:szCs w:val="16"/>
              </w:rPr>
              <w:t>-</w:t>
            </w:r>
            <w:r w:rsidR="005056F8" w:rsidRPr="006175B5">
              <w:rPr>
                <w:sz w:val="16"/>
                <w:szCs w:val="16"/>
              </w:rPr>
              <w:t xml:space="preserve">length </w:t>
            </w:r>
            <w:r w:rsidR="00EB23AF" w:rsidRPr="006175B5">
              <w:rPr>
                <w:sz w:val="16"/>
                <w:szCs w:val="16"/>
              </w:rPr>
              <w:t>platform</w:t>
            </w:r>
            <w:r w:rsidR="00EC751C">
              <w:rPr>
                <w:sz w:val="16"/>
                <w:szCs w:val="16"/>
              </w:rPr>
              <w:t xml:space="preserve"> and/or </w:t>
            </w:r>
            <w:r w:rsidR="00EC751C" w:rsidRPr="006175B5">
              <w:rPr>
                <w:sz w:val="16"/>
                <w:szCs w:val="16"/>
              </w:rPr>
              <w:t>the ICH NGO Forum</w:t>
            </w:r>
          </w:p>
          <w:p w14:paraId="6130D94A" w14:textId="0D9C0F0D" w:rsidR="005056F8" w:rsidRPr="006175B5" w:rsidRDefault="001836C0">
            <w:pPr>
              <w:pStyle w:val="1GAPara"/>
              <w:numPr>
                <w:ilvl w:val="1"/>
                <w:numId w:val="48"/>
              </w:numPr>
              <w:spacing w:after="60"/>
              <w:rPr>
                <w:sz w:val="16"/>
                <w:szCs w:val="16"/>
              </w:rPr>
            </w:pPr>
            <w:r>
              <w:rPr>
                <w:sz w:val="16"/>
                <w:szCs w:val="16"/>
              </w:rPr>
              <w:t>P</w:t>
            </w:r>
            <w:r w:rsidR="005056F8" w:rsidRPr="006175B5">
              <w:rPr>
                <w:sz w:val="16"/>
                <w:szCs w:val="16"/>
              </w:rPr>
              <w:t xml:space="preserve">reparation of Bureau documents and meetings </w:t>
            </w:r>
          </w:p>
          <w:p w14:paraId="7E201C20" w14:textId="360D4A83" w:rsidR="005056F8" w:rsidRPr="006175B5" w:rsidRDefault="00E66618">
            <w:pPr>
              <w:pStyle w:val="1GAPara"/>
              <w:numPr>
                <w:ilvl w:val="0"/>
                <w:numId w:val="48"/>
              </w:numPr>
              <w:spacing w:after="60"/>
              <w:rPr>
                <w:sz w:val="16"/>
                <w:szCs w:val="16"/>
              </w:rPr>
            </w:pPr>
            <w:r w:rsidRPr="006175B5">
              <w:rPr>
                <w:sz w:val="16"/>
                <w:szCs w:val="16"/>
              </w:rPr>
              <w:t xml:space="preserve">Additional </w:t>
            </w:r>
            <w:r w:rsidR="00A510DB">
              <w:rPr>
                <w:sz w:val="16"/>
                <w:szCs w:val="16"/>
              </w:rPr>
              <w:t xml:space="preserve">financial </w:t>
            </w:r>
            <w:r w:rsidR="008E2F8A" w:rsidRPr="006175B5">
              <w:rPr>
                <w:sz w:val="16"/>
                <w:szCs w:val="16"/>
              </w:rPr>
              <w:t xml:space="preserve">resources </w:t>
            </w:r>
            <w:r w:rsidRPr="006175B5">
              <w:rPr>
                <w:sz w:val="16"/>
                <w:szCs w:val="16"/>
              </w:rPr>
              <w:t>for:</w:t>
            </w:r>
          </w:p>
          <w:p w14:paraId="61FFE99D" w14:textId="36FA0E09" w:rsidR="001836C0" w:rsidRPr="001836C0" w:rsidRDefault="005056F8">
            <w:pPr>
              <w:pStyle w:val="1GAPara"/>
              <w:numPr>
                <w:ilvl w:val="1"/>
                <w:numId w:val="48"/>
              </w:numPr>
              <w:spacing w:after="60"/>
              <w:rPr>
                <w:sz w:val="16"/>
                <w:szCs w:val="16"/>
                <w:lang w:val="en-US"/>
              </w:rPr>
            </w:pPr>
            <w:r w:rsidRPr="001836C0">
              <w:rPr>
                <w:sz w:val="16"/>
                <w:szCs w:val="16"/>
                <w:lang w:val="en-US"/>
              </w:rPr>
              <w:t xml:space="preserve">Bureau meeting </w:t>
            </w:r>
            <w:r w:rsidR="001836C0">
              <w:rPr>
                <w:sz w:val="16"/>
                <w:szCs w:val="16"/>
                <w:lang w:val="en-US"/>
              </w:rPr>
              <w:t xml:space="preserve">organization costs </w:t>
            </w:r>
            <w:r w:rsidRPr="001836C0">
              <w:rPr>
                <w:sz w:val="16"/>
                <w:szCs w:val="16"/>
                <w:lang w:val="en-US"/>
              </w:rPr>
              <w:t>(interpretation, technicians</w:t>
            </w:r>
            <w:r w:rsidR="001836C0">
              <w:rPr>
                <w:sz w:val="16"/>
                <w:szCs w:val="16"/>
                <w:lang w:val="en-US"/>
              </w:rPr>
              <w:t>,</w:t>
            </w:r>
            <w:r w:rsidRPr="001836C0">
              <w:rPr>
                <w:sz w:val="16"/>
                <w:szCs w:val="16"/>
                <w:lang w:val="en-US"/>
              </w:rPr>
              <w:t xml:space="preserve"> etc</w:t>
            </w:r>
            <w:r w:rsidR="001836C0">
              <w:rPr>
                <w:sz w:val="16"/>
                <w:szCs w:val="16"/>
                <w:lang w:val="en-US"/>
              </w:rPr>
              <w:t>.</w:t>
            </w:r>
            <w:r w:rsidRPr="001836C0">
              <w:rPr>
                <w:sz w:val="16"/>
                <w:szCs w:val="16"/>
                <w:lang w:val="en-US"/>
              </w:rPr>
              <w:t>)</w:t>
            </w:r>
          </w:p>
          <w:p w14:paraId="5D9FCD9A" w14:textId="5D8BCC29" w:rsidR="005056F8" w:rsidRPr="006175B5" w:rsidRDefault="001836C0">
            <w:pPr>
              <w:pStyle w:val="1GAPara"/>
              <w:numPr>
                <w:ilvl w:val="1"/>
                <w:numId w:val="48"/>
              </w:numPr>
              <w:spacing w:after="60"/>
              <w:rPr>
                <w:sz w:val="16"/>
                <w:szCs w:val="16"/>
              </w:rPr>
            </w:pPr>
            <w:r>
              <w:rPr>
                <w:sz w:val="16"/>
                <w:szCs w:val="16"/>
              </w:rPr>
              <w:t>T</w:t>
            </w:r>
            <w:r w:rsidR="005056F8" w:rsidRPr="006175B5">
              <w:rPr>
                <w:sz w:val="16"/>
                <w:szCs w:val="16"/>
              </w:rPr>
              <w:t xml:space="preserve">ranslation of </w:t>
            </w:r>
            <w:r>
              <w:rPr>
                <w:sz w:val="16"/>
                <w:szCs w:val="16"/>
              </w:rPr>
              <w:t>meeting</w:t>
            </w:r>
            <w:r w:rsidRPr="006175B5">
              <w:rPr>
                <w:sz w:val="16"/>
                <w:szCs w:val="16"/>
              </w:rPr>
              <w:t xml:space="preserve"> </w:t>
            </w:r>
            <w:r w:rsidR="005056F8" w:rsidRPr="006175B5">
              <w:rPr>
                <w:sz w:val="16"/>
                <w:szCs w:val="16"/>
              </w:rPr>
              <w:t>documents</w:t>
            </w:r>
          </w:p>
          <w:p w14:paraId="785C5AFC" w14:textId="57241736" w:rsidR="008F5867" w:rsidRPr="00555BE4" w:rsidRDefault="00ED0C6C">
            <w:pPr>
              <w:pStyle w:val="1GAPara"/>
              <w:numPr>
                <w:ilvl w:val="0"/>
                <w:numId w:val="48"/>
              </w:numPr>
              <w:spacing w:after="60"/>
              <w:rPr>
                <w:sz w:val="16"/>
                <w:szCs w:val="16"/>
              </w:rPr>
            </w:pPr>
            <w:r w:rsidRPr="006175B5">
              <w:rPr>
                <w:sz w:val="16"/>
                <w:szCs w:val="16"/>
              </w:rPr>
              <w:t xml:space="preserve">Costs related to the </w:t>
            </w:r>
            <w:r w:rsidR="005056F8" w:rsidRPr="006175B5">
              <w:rPr>
                <w:sz w:val="16"/>
                <w:szCs w:val="16"/>
              </w:rPr>
              <w:t>establishment and maintenance of the arm’s</w:t>
            </w:r>
            <w:r w:rsidR="001836C0">
              <w:rPr>
                <w:sz w:val="16"/>
                <w:szCs w:val="16"/>
              </w:rPr>
              <w:t>-</w:t>
            </w:r>
            <w:r w:rsidR="005056F8" w:rsidRPr="006175B5">
              <w:rPr>
                <w:sz w:val="16"/>
                <w:szCs w:val="16"/>
              </w:rPr>
              <w:t xml:space="preserve">length </w:t>
            </w:r>
            <w:r w:rsidRPr="006175B5">
              <w:rPr>
                <w:sz w:val="16"/>
                <w:szCs w:val="16"/>
              </w:rPr>
              <w:t>platform and/or costs for the work of the ICH NGO Forum</w:t>
            </w:r>
          </w:p>
        </w:tc>
      </w:tr>
      <w:tr w:rsidR="001C1BC0" w14:paraId="75DEBD4A" w14:textId="77777777" w:rsidTr="00873D40">
        <w:tc>
          <w:tcPr>
            <w:tcW w:w="1129" w:type="dxa"/>
          </w:tcPr>
          <w:p w14:paraId="5DC338AC" w14:textId="77777777" w:rsidR="001C1BC0" w:rsidRPr="0012313A" w:rsidRDefault="001C1BC0">
            <w:pPr>
              <w:pStyle w:val="1GAPara"/>
              <w:numPr>
                <w:ilvl w:val="0"/>
                <w:numId w:val="0"/>
              </w:numPr>
              <w:rPr>
                <w:b/>
                <w:bCs/>
              </w:rPr>
            </w:pPr>
            <w:r w:rsidRPr="0012313A">
              <w:rPr>
                <w:b/>
                <w:bCs/>
              </w:rPr>
              <w:t>Step 4</w:t>
            </w:r>
          </w:p>
        </w:tc>
        <w:tc>
          <w:tcPr>
            <w:tcW w:w="7932" w:type="dxa"/>
            <w:gridSpan w:val="2"/>
          </w:tcPr>
          <w:p w14:paraId="2561FAB9" w14:textId="16018381" w:rsidR="001C1BC0" w:rsidRDefault="001C1BC0" w:rsidP="0079773C">
            <w:pPr>
              <w:pStyle w:val="1GAPara"/>
              <w:numPr>
                <w:ilvl w:val="0"/>
                <w:numId w:val="0"/>
              </w:numPr>
              <w:rPr>
                <w:b/>
                <w:bCs/>
              </w:rPr>
            </w:pPr>
            <w:r w:rsidRPr="00C5154D">
              <w:rPr>
                <w:b/>
                <w:bCs/>
              </w:rPr>
              <w:t xml:space="preserve">Examination by </w:t>
            </w:r>
            <w:r w:rsidR="005D628E">
              <w:rPr>
                <w:b/>
                <w:bCs/>
              </w:rPr>
              <w:t xml:space="preserve">the </w:t>
            </w:r>
            <w:r w:rsidRPr="00C5154D">
              <w:rPr>
                <w:b/>
                <w:bCs/>
              </w:rPr>
              <w:t>Committee</w:t>
            </w:r>
          </w:p>
          <w:p w14:paraId="3ADC55B0" w14:textId="4840E59F" w:rsidR="001C1BC0" w:rsidRDefault="001C1BC0" w:rsidP="0079773C">
            <w:pPr>
              <w:pStyle w:val="1GAPara"/>
              <w:numPr>
                <w:ilvl w:val="0"/>
                <w:numId w:val="0"/>
              </w:numPr>
            </w:pPr>
            <w:r>
              <w:t>Information received and the reply from the State Party and communitie</w:t>
            </w:r>
            <w:r w:rsidR="00624172">
              <w:t xml:space="preserve">s – as well as the </w:t>
            </w:r>
            <w:r w:rsidR="00966687">
              <w:t xml:space="preserve">preliminary advice </w:t>
            </w:r>
            <w:r w:rsidR="00624172">
              <w:t>from the arm’s</w:t>
            </w:r>
            <w:r w:rsidR="009103B0">
              <w:t>-</w:t>
            </w:r>
            <w:r w:rsidR="00624172">
              <w:t xml:space="preserve">length </w:t>
            </w:r>
            <w:r w:rsidR="00624172" w:rsidRPr="00624172">
              <w:t>platform</w:t>
            </w:r>
            <w:r w:rsidR="005622C5">
              <w:t xml:space="preserve"> </w:t>
            </w:r>
            <w:r w:rsidR="00EC751C">
              <w:t>and/</w:t>
            </w:r>
            <w:r w:rsidR="005622C5">
              <w:t>or the ICH NGO Forum</w:t>
            </w:r>
            <w:r w:rsidR="00624172">
              <w:t xml:space="preserve"> </w:t>
            </w:r>
            <w:r w:rsidR="005622C5">
              <w:t>(</w:t>
            </w:r>
            <w:r w:rsidR="00966687">
              <w:t>if appropriate</w:t>
            </w:r>
            <w:r w:rsidR="005622C5">
              <w:t>)</w:t>
            </w:r>
            <w:r w:rsidR="00966687">
              <w:t xml:space="preserve"> and</w:t>
            </w:r>
            <w:r w:rsidR="00624172">
              <w:t xml:space="preserve"> the decision from the Bureau </w:t>
            </w:r>
            <w:r w:rsidR="005622C5">
              <w:t>(</w:t>
            </w:r>
            <w:r w:rsidR="00966687">
              <w:t>if the request went through the Bureau</w:t>
            </w:r>
            <w:r w:rsidR="005622C5">
              <w:t>)</w:t>
            </w:r>
            <w:r w:rsidR="00624172">
              <w:t xml:space="preserve"> – are </w:t>
            </w:r>
            <w:r>
              <w:t>brought to the attention of the Committe</w:t>
            </w:r>
            <w:r w:rsidR="002C3433">
              <w:t>e</w:t>
            </w:r>
            <w:r w:rsidR="009103B0">
              <w:t>,</w:t>
            </w:r>
            <w:r w:rsidR="002C3433">
              <w:t xml:space="preserve"> wh</w:t>
            </w:r>
            <w:r w:rsidR="009103B0">
              <w:t>ich</w:t>
            </w:r>
            <w:r w:rsidR="002C3433">
              <w:t xml:space="preserve"> may decide</w:t>
            </w:r>
            <w:r w:rsidR="00FD7434">
              <w:t xml:space="preserve"> to</w:t>
            </w:r>
            <w:r w:rsidR="002C3433">
              <w:t>:</w:t>
            </w:r>
          </w:p>
          <w:p w14:paraId="31D0098B" w14:textId="2A6C7C73" w:rsidR="001C1BC0" w:rsidRDefault="00194FC0">
            <w:pPr>
              <w:pStyle w:val="1GAPara"/>
              <w:numPr>
                <w:ilvl w:val="0"/>
                <w:numId w:val="5"/>
              </w:numPr>
              <w:ind w:left="466"/>
            </w:pPr>
            <w:r>
              <w:t>M</w:t>
            </w:r>
            <w:r w:rsidR="00D40095">
              <w:t>aintain</w:t>
            </w:r>
            <w:r w:rsidR="00FD7434">
              <w:t xml:space="preserve"> the element</w:t>
            </w:r>
            <w:r w:rsidR="002C3433" w:rsidRPr="00C5154D">
              <w:t xml:space="preserve"> on the List</w:t>
            </w:r>
            <w:r w:rsidR="002C3433">
              <w:t>,</w:t>
            </w:r>
            <w:r w:rsidR="002C3433" w:rsidRPr="00C5154D">
              <w:t xml:space="preserve"> </w:t>
            </w:r>
            <w:r w:rsidR="002C3433">
              <w:t>i</w:t>
            </w:r>
            <w:r w:rsidR="001C1BC0" w:rsidRPr="00C5154D">
              <w:t xml:space="preserve">f </w:t>
            </w:r>
            <w:r w:rsidR="00FD7434">
              <w:t>it considers that</w:t>
            </w:r>
            <w:r w:rsidR="00BA7775">
              <w:t xml:space="preserve"> the</w:t>
            </w:r>
            <w:r w:rsidR="00FD7434">
              <w:t xml:space="preserve"> </w:t>
            </w:r>
            <w:r w:rsidR="001C1BC0" w:rsidRPr="00C5154D">
              <w:t xml:space="preserve">information is </w:t>
            </w:r>
            <w:r w:rsidR="00BA7775">
              <w:t>complete</w:t>
            </w:r>
            <w:r w:rsidR="00BA7775" w:rsidRPr="00C5154D">
              <w:t xml:space="preserve"> </w:t>
            </w:r>
            <w:r w:rsidR="001C1BC0" w:rsidRPr="00C5154D">
              <w:t xml:space="preserve">and </w:t>
            </w:r>
            <w:r w:rsidR="00BA7775">
              <w:t xml:space="preserve">there is </w:t>
            </w:r>
            <w:r w:rsidR="009103B0">
              <w:t>in</w:t>
            </w:r>
            <w:r w:rsidR="001C1BC0" w:rsidRPr="00C5154D">
              <w:t>sufficient ground for removal</w:t>
            </w:r>
            <w:r w:rsidR="00D40095">
              <w:t xml:space="preserve"> (end of the procedure</w:t>
            </w:r>
            <w:r w:rsidR="009103B0">
              <w:t>)</w:t>
            </w:r>
            <w:r w:rsidR="001C1BC0" w:rsidRPr="00C5154D">
              <w:t>.</w:t>
            </w:r>
          </w:p>
          <w:p w14:paraId="1878DAAF" w14:textId="0AC3182A" w:rsidR="00FD7434" w:rsidRDefault="009103B0">
            <w:pPr>
              <w:pStyle w:val="1GAPara"/>
              <w:numPr>
                <w:ilvl w:val="0"/>
                <w:numId w:val="5"/>
              </w:numPr>
              <w:ind w:left="466"/>
            </w:pPr>
            <w:r>
              <w:t>R</w:t>
            </w:r>
            <w:r w:rsidR="00FD7434">
              <w:t>emove the element from</w:t>
            </w:r>
            <w:r w:rsidR="00FD7434" w:rsidRPr="00C5154D">
              <w:t xml:space="preserve"> the List</w:t>
            </w:r>
            <w:r w:rsidR="00FD7434">
              <w:t>,</w:t>
            </w:r>
            <w:r w:rsidR="00FD7434" w:rsidRPr="00C5154D">
              <w:t xml:space="preserve"> </w:t>
            </w:r>
            <w:r w:rsidR="00FD7434">
              <w:t>i</w:t>
            </w:r>
            <w:r w:rsidR="00FD7434" w:rsidRPr="00C5154D">
              <w:t xml:space="preserve">f </w:t>
            </w:r>
            <w:r w:rsidR="00FD7434">
              <w:t>it considers that</w:t>
            </w:r>
            <w:r w:rsidR="00BA7775">
              <w:t xml:space="preserve"> the</w:t>
            </w:r>
            <w:r w:rsidR="00FD7434">
              <w:t xml:space="preserve"> </w:t>
            </w:r>
            <w:r w:rsidR="00FD7434" w:rsidRPr="00C5154D">
              <w:t xml:space="preserve">information is </w:t>
            </w:r>
            <w:r w:rsidR="00BA7775">
              <w:t>complete</w:t>
            </w:r>
            <w:r w:rsidR="00FD7434" w:rsidRPr="00C5154D">
              <w:t xml:space="preserve"> and </w:t>
            </w:r>
            <w:r w:rsidR="00FD7434">
              <w:t>there is enough</w:t>
            </w:r>
            <w:r w:rsidR="00FD7434" w:rsidRPr="00C5154D">
              <w:t xml:space="preserve"> ground for removal</w:t>
            </w:r>
            <w:r w:rsidR="00D40095">
              <w:t xml:space="preserve"> (end of the procedure)</w:t>
            </w:r>
            <w:r w:rsidR="00FD7434" w:rsidRPr="00C5154D">
              <w:t>.</w:t>
            </w:r>
          </w:p>
          <w:p w14:paraId="1A19787D" w14:textId="1EF76D4C" w:rsidR="00BA7775" w:rsidRDefault="009103B0">
            <w:pPr>
              <w:pStyle w:val="1GAPara"/>
              <w:numPr>
                <w:ilvl w:val="0"/>
                <w:numId w:val="5"/>
              </w:numPr>
              <w:ind w:left="466"/>
            </w:pPr>
            <w:r>
              <w:t>P</w:t>
            </w:r>
            <w:r w:rsidR="00BA7775">
              <w:t xml:space="preserve">lace the element under ‘follow-up’ status as an </w:t>
            </w:r>
            <w:r w:rsidR="00BA7775" w:rsidRPr="00F162B4">
              <w:rPr>
                <w:u w:val="single"/>
              </w:rPr>
              <w:t>interim measure</w:t>
            </w:r>
            <w:r w:rsidRPr="009103B0">
              <w:rPr>
                <w:u w:val="single"/>
              </w:rPr>
              <w:t>,</w:t>
            </w:r>
            <w:r w:rsidR="00BA7775">
              <w:t xml:space="preserve"> if it considers that </w:t>
            </w:r>
            <w:r w:rsidR="00BA7775" w:rsidRPr="00C5154D">
              <w:t>additional information is needed</w:t>
            </w:r>
            <w:r w:rsidR="00BA7775">
              <w:t xml:space="preserve"> </w:t>
            </w:r>
            <w:r>
              <w:t>(</w:t>
            </w:r>
            <w:r w:rsidR="00BA7775">
              <w:t>continue to Step 5</w:t>
            </w:r>
            <w:r>
              <w:t>)</w:t>
            </w:r>
            <w:r w:rsidR="00BA7775">
              <w:t>.</w:t>
            </w:r>
          </w:p>
          <w:p w14:paraId="539E2ADA" w14:textId="1DC204E4" w:rsidR="001C1BC0" w:rsidRDefault="009103B0">
            <w:pPr>
              <w:pStyle w:val="1GAPara"/>
              <w:numPr>
                <w:ilvl w:val="0"/>
                <w:numId w:val="5"/>
              </w:numPr>
              <w:ind w:left="466"/>
            </w:pPr>
            <w:r>
              <w:t>R</w:t>
            </w:r>
            <w:r w:rsidR="00FD7434">
              <w:t>emove the element from the List</w:t>
            </w:r>
            <w:r>
              <w:t>,</w:t>
            </w:r>
            <w:r w:rsidR="00FD7434">
              <w:t xml:space="preserve"> with</w:t>
            </w:r>
            <w:r>
              <w:t xml:space="preserve"> the</w:t>
            </w:r>
            <w:r w:rsidR="00FD7434">
              <w:t xml:space="preserve"> possibility </w:t>
            </w:r>
            <w:r>
              <w:t>of</w:t>
            </w:r>
            <w:r w:rsidR="00FD7434">
              <w:t xml:space="preserve"> plac</w:t>
            </w:r>
            <w:r>
              <w:t>ing</w:t>
            </w:r>
            <w:r w:rsidR="00FD7434">
              <w:t xml:space="preserve"> it in a ‘memory bank’ if the element is </w:t>
            </w:r>
            <w:r w:rsidR="001C1BC0" w:rsidRPr="00C5154D">
              <w:t xml:space="preserve">considered as no longer </w:t>
            </w:r>
            <w:r>
              <w:t xml:space="preserve">viable </w:t>
            </w:r>
            <w:r w:rsidR="00D40095">
              <w:t>(end of the procedure)</w:t>
            </w:r>
            <w:r w:rsidR="001C1BC0" w:rsidRPr="00C5154D">
              <w:t>.</w:t>
            </w:r>
          </w:p>
        </w:tc>
      </w:tr>
      <w:tr w:rsidR="001C1BC0" w14:paraId="523B448A" w14:textId="77777777" w:rsidTr="00873D40">
        <w:tc>
          <w:tcPr>
            <w:tcW w:w="1129" w:type="dxa"/>
            <w:vMerge w:val="restart"/>
          </w:tcPr>
          <w:p w14:paraId="7D10C6C0" w14:textId="77777777" w:rsidR="001C1BC0" w:rsidRPr="0012313A" w:rsidRDefault="001C1BC0">
            <w:pPr>
              <w:pStyle w:val="1GAPara"/>
              <w:numPr>
                <w:ilvl w:val="0"/>
                <w:numId w:val="0"/>
              </w:numPr>
              <w:rPr>
                <w:b/>
                <w:bCs/>
              </w:rPr>
            </w:pPr>
            <w:r w:rsidRPr="0012313A">
              <w:rPr>
                <w:b/>
                <w:bCs/>
              </w:rPr>
              <w:t>Step 5</w:t>
            </w:r>
          </w:p>
        </w:tc>
        <w:tc>
          <w:tcPr>
            <w:tcW w:w="7932" w:type="dxa"/>
            <w:gridSpan w:val="2"/>
          </w:tcPr>
          <w:p w14:paraId="5D3EEDF2" w14:textId="013A2759" w:rsidR="001C1BC0" w:rsidRDefault="001C1BC0" w:rsidP="0079773C">
            <w:pPr>
              <w:pStyle w:val="1GAPara"/>
              <w:numPr>
                <w:ilvl w:val="0"/>
                <w:numId w:val="0"/>
              </w:numPr>
            </w:pPr>
            <w:r w:rsidRPr="00C5154D">
              <w:rPr>
                <w:b/>
                <w:bCs/>
              </w:rPr>
              <w:t xml:space="preserve">Enhanced </w:t>
            </w:r>
            <w:r w:rsidR="00926E8B">
              <w:rPr>
                <w:b/>
                <w:bCs/>
              </w:rPr>
              <w:t xml:space="preserve">follow-up (observation, </w:t>
            </w:r>
            <w:proofErr w:type="gramStart"/>
            <w:r w:rsidR="00926E8B">
              <w:rPr>
                <w:b/>
                <w:bCs/>
              </w:rPr>
              <w:t>exchange</w:t>
            </w:r>
            <w:proofErr w:type="gramEnd"/>
            <w:r w:rsidR="00926E8B">
              <w:rPr>
                <w:b/>
                <w:bCs/>
              </w:rPr>
              <w:t xml:space="preserve"> and dialogue)</w:t>
            </w:r>
          </w:p>
        </w:tc>
      </w:tr>
      <w:tr w:rsidR="002A1D80" w14:paraId="4C4E534A" w14:textId="77777777" w:rsidTr="004A3248">
        <w:tc>
          <w:tcPr>
            <w:tcW w:w="1129" w:type="dxa"/>
            <w:vMerge/>
          </w:tcPr>
          <w:p w14:paraId="577497E1" w14:textId="77777777" w:rsidR="002A1D80" w:rsidRPr="0012313A" w:rsidRDefault="002A1D80">
            <w:pPr>
              <w:pStyle w:val="1GAPara"/>
              <w:numPr>
                <w:ilvl w:val="0"/>
                <w:numId w:val="0"/>
              </w:numPr>
              <w:rPr>
                <w:b/>
                <w:bCs/>
              </w:rPr>
            </w:pPr>
          </w:p>
        </w:tc>
        <w:tc>
          <w:tcPr>
            <w:tcW w:w="3966" w:type="dxa"/>
          </w:tcPr>
          <w:p w14:paraId="15E06538" w14:textId="374265DC" w:rsidR="002A1D80" w:rsidRPr="005622C5" w:rsidRDefault="002A1D80" w:rsidP="0079773C">
            <w:pPr>
              <w:pStyle w:val="1GAPara"/>
              <w:numPr>
                <w:ilvl w:val="0"/>
                <w:numId w:val="0"/>
              </w:numPr>
              <w:rPr>
                <w:b/>
                <w:bCs/>
              </w:rPr>
            </w:pPr>
            <w:r w:rsidRPr="005622C5">
              <w:rPr>
                <w:b/>
                <w:bCs/>
              </w:rPr>
              <w:t xml:space="preserve">Option </w:t>
            </w:r>
            <w:r w:rsidR="00B71A5B" w:rsidRPr="005622C5">
              <w:rPr>
                <w:b/>
                <w:bCs/>
              </w:rPr>
              <w:t>5.a</w:t>
            </w:r>
            <w:r w:rsidRPr="005622C5">
              <w:rPr>
                <w:b/>
                <w:bCs/>
              </w:rPr>
              <w:t>. Arm’s</w:t>
            </w:r>
            <w:r w:rsidR="00531A34">
              <w:rPr>
                <w:b/>
                <w:bCs/>
              </w:rPr>
              <w:t>-</w:t>
            </w:r>
            <w:r w:rsidRPr="005622C5">
              <w:rPr>
                <w:b/>
                <w:bCs/>
              </w:rPr>
              <w:t>length platform</w:t>
            </w:r>
            <w:r w:rsidR="00DA4E86" w:rsidRPr="005622C5">
              <w:rPr>
                <w:b/>
                <w:bCs/>
              </w:rPr>
              <w:t xml:space="preserve"> </w:t>
            </w:r>
            <w:r w:rsidR="009153EF">
              <w:rPr>
                <w:b/>
                <w:bCs/>
              </w:rPr>
              <w:t>and/</w:t>
            </w:r>
            <w:r w:rsidR="00DA4E86" w:rsidRPr="005622C5">
              <w:rPr>
                <w:b/>
                <w:bCs/>
              </w:rPr>
              <w:t>or ICH NGO Forum</w:t>
            </w:r>
          </w:p>
          <w:p w14:paraId="69285222" w14:textId="7A8F8250" w:rsidR="002A1D80" w:rsidRPr="006175B5" w:rsidRDefault="002A1D80">
            <w:pPr>
              <w:pStyle w:val="1GAPara"/>
              <w:numPr>
                <w:ilvl w:val="0"/>
                <w:numId w:val="5"/>
              </w:numPr>
              <w:ind w:left="466"/>
              <w:rPr>
                <w:b/>
                <w:bCs/>
              </w:rPr>
            </w:pPr>
            <w:r w:rsidRPr="006175B5">
              <w:t xml:space="preserve">Follow-up is carried out by </w:t>
            </w:r>
            <w:r w:rsidR="005D628E">
              <w:t>the</w:t>
            </w:r>
            <w:r w:rsidRPr="006175B5">
              <w:t xml:space="preserve"> arm’s</w:t>
            </w:r>
            <w:r w:rsidR="00531A34">
              <w:t>-</w:t>
            </w:r>
            <w:r w:rsidRPr="006175B5">
              <w:t>length platform</w:t>
            </w:r>
            <w:r w:rsidR="005622C5">
              <w:t xml:space="preserve"> </w:t>
            </w:r>
            <w:r w:rsidR="00EC751C">
              <w:t>and/</w:t>
            </w:r>
            <w:r w:rsidR="005622C5">
              <w:t>or</w:t>
            </w:r>
            <w:r w:rsidR="005D628E">
              <w:t xml:space="preserve"> the</w:t>
            </w:r>
            <w:r w:rsidR="005622C5">
              <w:t xml:space="preserve"> ICH NGO Forum</w:t>
            </w:r>
            <w:r w:rsidRPr="005622C5">
              <w:t>.</w:t>
            </w:r>
          </w:p>
          <w:p w14:paraId="2E3EF120" w14:textId="2E0EDEDF" w:rsidR="00AA4F4E" w:rsidRPr="006175B5" w:rsidRDefault="00AA4F4E">
            <w:pPr>
              <w:pStyle w:val="1GAPara"/>
              <w:numPr>
                <w:ilvl w:val="0"/>
                <w:numId w:val="5"/>
              </w:numPr>
              <w:ind w:left="466"/>
              <w:rPr>
                <w:b/>
                <w:bCs/>
              </w:rPr>
            </w:pPr>
            <w:r w:rsidRPr="005622C5">
              <w:t>On a case-by-case basis, follow-up can take the form of written correspondence and/or online consultation with</w:t>
            </w:r>
            <w:r w:rsidR="00531A34">
              <w:t xml:space="preserve"> the</w:t>
            </w:r>
            <w:r w:rsidRPr="005622C5">
              <w:t xml:space="preserve"> State</w:t>
            </w:r>
            <w:r w:rsidR="00531A34">
              <w:t xml:space="preserve"> Party</w:t>
            </w:r>
            <w:r w:rsidRPr="005622C5">
              <w:t xml:space="preserve"> and communities and/or </w:t>
            </w:r>
            <w:r w:rsidR="00531A34">
              <w:t xml:space="preserve">a </w:t>
            </w:r>
            <w:r w:rsidRPr="005622C5">
              <w:t>consultative mission.</w:t>
            </w:r>
          </w:p>
          <w:p w14:paraId="513C427C" w14:textId="0BA6B795" w:rsidR="002A1D80" w:rsidRPr="006175B5" w:rsidRDefault="00531A34">
            <w:pPr>
              <w:pStyle w:val="1GAPara"/>
              <w:numPr>
                <w:ilvl w:val="0"/>
                <w:numId w:val="5"/>
              </w:numPr>
              <w:ind w:left="466"/>
            </w:pPr>
            <w:r>
              <w:t>A f</w:t>
            </w:r>
            <w:r w:rsidR="00AA4F4E" w:rsidRPr="006175B5">
              <w:t>ollow-up report is transmitted to the Secretariat with a recommendation to the Committee.</w:t>
            </w:r>
          </w:p>
        </w:tc>
        <w:tc>
          <w:tcPr>
            <w:tcW w:w="3966" w:type="dxa"/>
          </w:tcPr>
          <w:p w14:paraId="6682174E" w14:textId="2B41D3F7" w:rsidR="002A1D80" w:rsidRDefault="002A1D80" w:rsidP="0079773C">
            <w:pPr>
              <w:pStyle w:val="1GAPara"/>
              <w:numPr>
                <w:ilvl w:val="0"/>
                <w:numId w:val="0"/>
              </w:numPr>
              <w:rPr>
                <w:b/>
                <w:bCs/>
              </w:rPr>
            </w:pPr>
            <w:r>
              <w:rPr>
                <w:b/>
                <w:bCs/>
              </w:rPr>
              <w:t xml:space="preserve">Option </w:t>
            </w:r>
            <w:r w:rsidR="00B71A5B">
              <w:rPr>
                <w:b/>
                <w:bCs/>
              </w:rPr>
              <w:t>5.b</w:t>
            </w:r>
            <w:r>
              <w:rPr>
                <w:b/>
                <w:bCs/>
              </w:rPr>
              <w:t xml:space="preserve">. </w:t>
            </w:r>
            <w:r w:rsidRPr="002A1D80">
              <w:rPr>
                <w:b/>
                <w:bCs/>
              </w:rPr>
              <w:t>Evaluation Body</w:t>
            </w:r>
          </w:p>
          <w:p w14:paraId="27C50745" w14:textId="05C52C9C" w:rsidR="00AA4F4E" w:rsidRPr="00E17E9B" w:rsidRDefault="00AA4F4E">
            <w:pPr>
              <w:pStyle w:val="1GAPara"/>
              <w:numPr>
                <w:ilvl w:val="0"/>
                <w:numId w:val="5"/>
              </w:numPr>
              <w:ind w:left="466"/>
              <w:rPr>
                <w:b/>
                <w:bCs/>
              </w:rPr>
            </w:pPr>
            <w:r w:rsidRPr="00E17E9B">
              <w:t>Follow-up is carried out by</w:t>
            </w:r>
            <w:r w:rsidR="005D628E">
              <w:t>:</w:t>
            </w:r>
            <w:r w:rsidRPr="00E17E9B">
              <w:t xml:space="preserve"> </w:t>
            </w:r>
            <w:r>
              <w:t>(</w:t>
            </w:r>
            <w:r w:rsidR="00531A34">
              <w:t>a</w:t>
            </w:r>
            <w:r>
              <w:t>) the Evaluation Body as a whole</w:t>
            </w:r>
            <w:r w:rsidR="005D628E">
              <w:t>,</w:t>
            </w:r>
            <w:r>
              <w:t xml:space="preserve"> or (</w:t>
            </w:r>
            <w:r w:rsidR="00531A34">
              <w:t>b</w:t>
            </w:r>
            <w:r>
              <w:t xml:space="preserve">) </w:t>
            </w:r>
            <w:r w:rsidR="002B63D3" w:rsidRPr="002B63D3">
              <w:t xml:space="preserve">two members </w:t>
            </w:r>
            <w:r w:rsidR="005D628E">
              <w:t>of</w:t>
            </w:r>
            <w:r w:rsidR="005D628E" w:rsidRPr="002B63D3">
              <w:t xml:space="preserve"> </w:t>
            </w:r>
            <w:r w:rsidR="002B63D3" w:rsidRPr="002B63D3">
              <w:t>the Evaluation Body (</w:t>
            </w:r>
            <w:r w:rsidR="00531A34">
              <w:t xml:space="preserve">an </w:t>
            </w:r>
            <w:r w:rsidR="002B63D3" w:rsidRPr="002B63D3">
              <w:t xml:space="preserve">accredited NGO and </w:t>
            </w:r>
            <w:r w:rsidR="00531A34">
              <w:t xml:space="preserve">an </w:t>
            </w:r>
            <w:r w:rsidR="002B63D3" w:rsidRPr="002B63D3">
              <w:t>expert from the region concerned) who would carry out an initial assessment</w:t>
            </w:r>
            <w:r w:rsidR="00531A34">
              <w:t>,</w:t>
            </w:r>
            <w:r w:rsidR="002B63D3" w:rsidRPr="002B63D3">
              <w:t xml:space="preserve"> which would then be collectively discussed by all members of the Evaluation Body</w:t>
            </w:r>
            <w:r>
              <w:t>.</w:t>
            </w:r>
          </w:p>
          <w:p w14:paraId="4CB4B490" w14:textId="2308B9E1" w:rsidR="00AA4F4E" w:rsidRPr="00E17E9B" w:rsidRDefault="00AA4F4E">
            <w:pPr>
              <w:pStyle w:val="1GAPara"/>
              <w:numPr>
                <w:ilvl w:val="0"/>
                <w:numId w:val="5"/>
              </w:numPr>
              <w:ind w:left="466"/>
              <w:rPr>
                <w:b/>
                <w:bCs/>
              </w:rPr>
            </w:pPr>
            <w:r>
              <w:t>On a case-by-case basis, follow-up can take the form of written correspondence and/or online consultation with</w:t>
            </w:r>
            <w:r w:rsidR="00531A34">
              <w:t xml:space="preserve"> the</w:t>
            </w:r>
            <w:r>
              <w:t xml:space="preserve"> State</w:t>
            </w:r>
            <w:r w:rsidR="00531A34">
              <w:t xml:space="preserve"> Party</w:t>
            </w:r>
            <w:r>
              <w:t xml:space="preserve"> and communities and/or </w:t>
            </w:r>
            <w:r w:rsidR="00531A34">
              <w:t xml:space="preserve">a </w:t>
            </w:r>
            <w:r>
              <w:t>consultative mission.</w:t>
            </w:r>
          </w:p>
          <w:p w14:paraId="2EF3714D" w14:textId="784D0A9A" w:rsidR="00AA4F4E" w:rsidRPr="00C5154D" w:rsidRDefault="00531A34">
            <w:pPr>
              <w:pStyle w:val="1GAPara"/>
              <w:numPr>
                <w:ilvl w:val="0"/>
                <w:numId w:val="5"/>
              </w:numPr>
              <w:ind w:left="466"/>
              <w:rPr>
                <w:b/>
                <w:bCs/>
              </w:rPr>
            </w:pPr>
            <w:r>
              <w:t>A f</w:t>
            </w:r>
            <w:r w:rsidR="00AA4F4E" w:rsidRPr="00E17E9B">
              <w:t xml:space="preserve">ollow-up report is transmitted to the Secretariat with a </w:t>
            </w:r>
            <w:r w:rsidR="00AA4F4E" w:rsidRPr="00E17E9B">
              <w:lastRenderedPageBreak/>
              <w:t>recommendation to the Committee.</w:t>
            </w:r>
          </w:p>
        </w:tc>
      </w:tr>
      <w:tr w:rsidR="00ED3293" w14:paraId="3E68D8CA" w14:textId="77777777" w:rsidTr="00EC751C">
        <w:tc>
          <w:tcPr>
            <w:tcW w:w="1129" w:type="dxa"/>
            <w:vMerge/>
          </w:tcPr>
          <w:p w14:paraId="73EA6F9F" w14:textId="77777777" w:rsidR="00ED3293" w:rsidRPr="0012313A" w:rsidRDefault="00ED3293">
            <w:pPr>
              <w:pStyle w:val="1GAPara"/>
              <w:numPr>
                <w:ilvl w:val="0"/>
                <w:numId w:val="0"/>
              </w:numPr>
              <w:rPr>
                <w:b/>
                <w:bCs/>
              </w:rPr>
            </w:pPr>
          </w:p>
        </w:tc>
        <w:tc>
          <w:tcPr>
            <w:tcW w:w="7932" w:type="dxa"/>
            <w:gridSpan w:val="2"/>
            <w:shd w:val="clear" w:color="auto" w:fill="F2F2F2" w:themeFill="background1" w:themeFillShade="F2"/>
          </w:tcPr>
          <w:p w14:paraId="52AFD41A" w14:textId="42D9FF6F" w:rsidR="00ED3293" w:rsidRPr="006175B5" w:rsidDel="00225B1B" w:rsidRDefault="00ED3293">
            <w:pPr>
              <w:pStyle w:val="1GAPara"/>
              <w:numPr>
                <w:ilvl w:val="0"/>
                <w:numId w:val="0"/>
              </w:numPr>
              <w:spacing w:after="60"/>
              <w:rPr>
                <w:sz w:val="16"/>
                <w:szCs w:val="16"/>
              </w:rPr>
            </w:pPr>
            <w:r w:rsidRPr="006175B5">
              <w:rPr>
                <w:sz w:val="16"/>
                <w:szCs w:val="16"/>
              </w:rPr>
              <w:t xml:space="preserve">Cost implications (overall costs will depend on the number of requests): </w:t>
            </w:r>
          </w:p>
        </w:tc>
      </w:tr>
      <w:tr w:rsidR="00ED3293" w14:paraId="4008BAAE" w14:textId="77777777" w:rsidTr="00EC751C">
        <w:tc>
          <w:tcPr>
            <w:tcW w:w="1129" w:type="dxa"/>
            <w:vMerge/>
          </w:tcPr>
          <w:p w14:paraId="46C143FD" w14:textId="77777777" w:rsidR="00ED3293" w:rsidRPr="0012313A" w:rsidRDefault="00ED3293">
            <w:pPr>
              <w:pStyle w:val="1GAPara"/>
              <w:numPr>
                <w:ilvl w:val="0"/>
                <w:numId w:val="0"/>
              </w:numPr>
              <w:rPr>
                <w:b/>
                <w:bCs/>
              </w:rPr>
            </w:pPr>
          </w:p>
        </w:tc>
        <w:tc>
          <w:tcPr>
            <w:tcW w:w="3966" w:type="dxa"/>
            <w:shd w:val="clear" w:color="auto" w:fill="F2F2F2" w:themeFill="background1" w:themeFillShade="F2"/>
          </w:tcPr>
          <w:p w14:paraId="1502A951" w14:textId="3E9C9D0C" w:rsidR="00ED3293" w:rsidRPr="00555BE4" w:rsidRDefault="00ED3293" w:rsidP="0079773C">
            <w:pPr>
              <w:pStyle w:val="1GAPara"/>
              <w:numPr>
                <w:ilvl w:val="0"/>
                <w:numId w:val="0"/>
              </w:numPr>
              <w:rPr>
                <w:b/>
                <w:bCs/>
                <w:sz w:val="16"/>
                <w:szCs w:val="16"/>
              </w:rPr>
            </w:pPr>
            <w:r w:rsidRPr="00555BE4">
              <w:rPr>
                <w:b/>
                <w:bCs/>
                <w:sz w:val="16"/>
                <w:szCs w:val="16"/>
              </w:rPr>
              <w:t>Option 5.a. - Arm’s</w:t>
            </w:r>
            <w:r w:rsidR="00531A34">
              <w:rPr>
                <w:b/>
                <w:bCs/>
                <w:sz w:val="16"/>
                <w:szCs w:val="16"/>
              </w:rPr>
              <w:t>-</w:t>
            </w:r>
            <w:r w:rsidRPr="00555BE4">
              <w:rPr>
                <w:b/>
                <w:bCs/>
                <w:sz w:val="16"/>
                <w:szCs w:val="16"/>
              </w:rPr>
              <w:t xml:space="preserve">length platform </w:t>
            </w:r>
            <w:r w:rsidR="009153EF">
              <w:rPr>
                <w:b/>
                <w:bCs/>
                <w:sz w:val="16"/>
                <w:szCs w:val="16"/>
              </w:rPr>
              <w:t>and/</w:t>
            </w:r>
            <w:r w:rsidRPr="00555BE4">
              <w:rPr>
                <w:b/>
                <w:bCs/>
                <w:sz w:val="16"/>
                <w:szCs w:val="16"/>
              </w:rPr>
              <w:t>or ICH NGO Forum</w:t>
            </w:r>
          </w:p>
          <w:p w14:paraId="5587E4A2" w14:textId="5B601D51" w:rsidR="00ED3293" w:rsidRPr="006175B5" w:rsidRDefault="00ED3293">
            <w:pPr>
              <w:pStyle w:val="1GAPara"/>
              <w:numPr>
                <w:ilvl w:val="0"/>
                <w:numId w:val="48"/>
              </w:numPr>
              <w:spacing w:after="60"/>
              <w:rPr>
                <w:i/>
                <w:iCs/>
                <w:sz w:val="16"/>
                <w:szCs w:val="16"/>
              </w:rPr>
            </w:pPr>
            <w:r w:rsidRPr="006175B5">
              <w:rPr>
                <w:sz w:val="16"/>
                <w:szCs w:val="16"/>
              </w:rPr>
              <w:t>Additional Secretariat time required for:</w:t>
            </w:r>
          </w:p>
          <w:p w14:paraId="0BC90965" w14:textId="1941ACCE" w:rsidR="00ED3293" w:rsidRPr="006175B5" w:rsidRDefault="00531A34">
            <w:pPr>
              <w:pStyle w:val="1GAPara"/>
              <w:numPr>
                <w:ilvl w:val="1"/>
                <w:numId w:val="48"/>
              </w:numPr>
              <w:spacing w:after="60"/>
              <w:ind w:left="742" w:hanging="284"/>
              <w:rPr>
                <w:sz w:val="16"/>
                <w:szCs w:val="16"/>
              </w:rPr>
            </w:pPr>
            <w:r>
              <w:rPr>
                <w:sz w:val="16"/>
                <w:szCs w:val="16"/>
              </w:rPr>
              <w:t>I</w:t>
            </w:r>
            <w:r w:rsidR="00ED3293" w:rsidRPr="006175B5">
              <w:rPr>
                <w:sz w:val="16"/>
                <w:szCs w:val="16"/>
              </w:rPr>
              <w:t>dentification of experts, contract establishment and follow-up</w:t>
            </w:r>
          </w:p>
          <w:p w14:paraId="0B938FFD" w14:textId="76B63E36" w:rsidR="00ED3293" w:rsidRPr="006175B5" w:rsidRDefault="00531A34">
            <w:pPr>
              <w:pStyle w:val="1GAPara"/>
              <w:numPr>
                <w:ilvl w:val="1"/>
                <w:numId w:val="48"/>
              </w:numPr>
              <w:spacing w:after="60"/>
              <w:ind w:left="742" w:hanging="284"/>
              <w:rPr>
                <w:sz w:val="16"/>
                <w:szCs w:val="16"/>
              </w:rPr>
            </w:pPr>
            <w:r>
              <w:rPr>
                <w:sz w:val="16"/>
                <w:szCs w:val="16"/>
              </w:rPr>
              <w:t>C</w:t>
            </w:r>
            <w:r w:rsidR="00ED3293" w:rsidRPr="006175B5">
              <w:rPr>
                <w:sz w:val="16"/>
                <w:szCs w:val="16"/>
              </w:rPr>
              <w:t>ommunication with States</w:t>
            </w:r>
            <w:r>
              <w:rPr>
                <w:sz w:val="16"/>
                <w:szCs w:val="16"/>
              </w:rPr>
              <w:t xml:space="preserve"> Parties,</w:t>
            </w:r>
            <w:r w:rsidR="00ED3293" w:rsidRPr="006175B5">
              <w:rPr>
                <w:sz w:val="16"/>
                <w:szCs w:val="16"/>
              </w:rPr>
              <w:t xml:space="preserve"> communities and third parties</w:t>
            </w:r>
            <w:r w:rsidR="005D628E">
              <w:rPr>
                <w:sz w:val="16"/>
                <w:szCs w:val="16"/>
              </w:rPr>
              <w:t>,</w:t>
            </w:r>
            <w:r w:rsidR="00ED3293" w:rsidRPr="006175B5">
              <w:rPr>
                <w:sz w:val="16"/>
                <w:szCs w:val="16"/>
              </w:rPr>
              <w:t xml:space="preserve"> as well as with </w:t>
            </w:r>
            <w:r w:rsidR="005D628E">
              <w:rPr>
                <w:sz w:val="16"/>
                <w:szCs w:val="16"/>
              </w:rPr>
              <w:t>experts from the</w:t>
            </w:r>
            <w:r w:rsidR="00ED3293" w:rsidRPr="006175B5">
              <w:rPr>
                <w:sz w:val="16"/>
                <w:szCs w:val="16"/>
              </w:rPr>
              <w:t xml:space="preserve"> Evaluation Body, </w:t>
            </w:r>
            <w:r w:rsidR="009153EF" w:rsidRPr="009153EF">
              <w:rPr>
                <w:sz w:val="16"/>
                <w:szCs w:val="16"/>
              </w:rPr>
              <w:t>the arm’s</w:t>
            </w:r>
            <w:r>
              <w:rPr>
                <w:sz w:val="16"/>
                <w:szCs w:val="16"/>
              </w:rPr>
              <w:t>-</w:t>
            </w:r>
            <w:r w:rsidR="009153EF" w:rsidRPr="009153EF">
              <w:rPr>
                <w:sz w:val="16"/>
                <w:szCs w:val="16"/>
              </w:rPr>
              <w:t>length platform and/or the ICH NGO Forum</w:t>
            </w:r>
          </w:p>
          <w:p w14:paraId="1326A3C3" w14:textId="6C3E4572" w:rsidR="00ED3293" w:rsidRPr="006175B5" w:rsidRDefault="00ED3293">
            <w:pPr>
              <w:pStyle w:val="1GAPara"/>
              <w:numPr>
                <w:ilvl w:val="0"/>
                <w:numId w:val="48"/>
              </w:numPr>
              <w:spacing w:after="60"/>
              <w:rPr>
                <w:sz w:val="16"/>
                <w:szCs w:val="16"/>
              </w:rPr>
            </w:pPr>
            <w:r w:rsidRPr="006175B5">
              <w:rPr>
                <w:sz w:val="16"/>
                <w:szCs w:val="16"/>
              </w:rPr>
              <w:t xml:space="preserve">Additional resources </w:t>
            </w:r>
            <w:r w:rsidR="00A510DB">
              <w:rPr>
                <w:sz w:val="16"/>
                <w:szCs w:val="16"/>
              </w:rPr>
              <w:t>(</w:t>
            </w:r>
            <w:r w:rsidRPr="006175B5">
              <w:rPr>
                <w:sz w:val="16"/>
                <w:szCs w:val="16"/>
              </w:rPr>
              <w:t>from the Intangible Cultural Heritage Fund</w:t>
            </w:r>
            <w:r w:rsidR="00A510DB">
              <w:rPr>
                <w:sz w:val="16"/>
                <w:szCs w:val="16"/>
              </w:rPr>
              <w:t>)</w:t>
            </w:r>
            <w:r w:rsidRPr="006175B5">
              <w:rPr>
                <w:sz w:val="16"/>
                <w:szCs w:val="16"/>
              </w:rPr>
              <w:t xml:space="preserve"> for:</w:t>
            </w:r>
          </w:p>
          <w:p w14:paraId="3707817A" w14:textId="13EEAC21" w:rsidR="00ED3293" w:rsidRPr="006175B5" w:rsidRDefault="00531A34">
            <w:pPr>
              <w:pStyle w:val="1GAPara"/>
              <w:numPr>
                <w:ilvl w:val="1"/>
                <w:numId w:val="48"/>
              </w:numPr>
              <w:spacing w:after="60"/>
              <w:ind w:left="742" w:hanging="284"/>
              <w:rPr>
                <w:sz w:val="16"/>
                <w:szCs w:val="16"/>
              </w:rPr>
            </w:pPr>
            <w:r>
              <w:rPr>
                <w:sz w:val="16"/>
                <w:szCs w:val="16"/>
              </w:rPr>
              <w:t>A</w:t>
            </w:r>
            <w:r w:rsidR="00ED3293" w:rsidRPr="006175B5">
              <w:rPr>
                <w:sz w:val="16"/>
                <w:szCs w:val="16"/>
              </w:rPr>
              <w:t xml:space="preserve">dvisory services provided by </w:t>
            </w:r>
            <w:r w:rsidR="009153EF" w:rsidRPr="009153EF">
              <w:rPr>
                <w:sz w:val="16"/>
                <w:szCs w:val="16"/>
              </w:rPr>
              <w:t>the arm’s</w:t>
            </w:r>
            <w:r>
              <w:rPr>
                <w:sz w:val="16"/>
                <w:szCs w:val="16"/>
              </w:rPr>
              <w:t>-</w:t>
            </w:r>
            <w:r w:rsidR="009153EF" w:rsidRPr="009153EF">
              <w:rPr>
                <w:sz w:val="16"/>
                <w:szCs w:val="16"/>
              </w:rPr>
              <w:t>length platform and/or the ICH NGO Forum</w:t>
            </w:r>
          </w:p>
          <w:p w14:paraId="33940837" w14:textId="464E21D7" w:rsidR="00ED3293" w:rsidRPr="006175B5" w:rsidRDefault="00ED3293">
            <w:pPr>
              <w:pStyle w:val="1GAPara"/>
              <w:numPr>
                <w:ilvl w:val="0"/>
                <w:numId w:val="48"/>
              </w:numPr>
              <w:spacing w:after="60"/>
              <w:rPr>
                <w:sz w:val="16"/>
                <w:szCs w:val="16"/>
              </w:rPr>
            </w:pPr>
            <w:r w:rsidRPr="006175B5">
              <w:rPr>
                <w:sz w:val="16"/>
                <w:szCs w:val="16"/>
              </w:rPr>
              <w:t>Costs related to the establishment and maintenance of the arm’s</w:t>
            </w:r>
            <w:r w:rsidR="00531A34">
              <w:rPr>
                <w:sz w:val="16"/>
                <w:szCs w:val="16"/>
              </w:rPr>
              <w:t>-</w:t>
            </w:r>
            <w:r w:rsidRPr="006175B5">
              <w:rPr>
                <w:sz w:val="16"/>
                <w:szCs w:val="16"/>
              </w:rPr>
              <w:t>length platform and/or costs for the work of the ICH NGO Forum</w:t>
            </w:r>
          </w:p>
        </w:tc>
        <w:tc>
          <w:tcPr>
            <w:tcW w:w="3966" w:type="dxa"/>
            <w:shd w:val="clear" w:color="auto" w:fill="F2F2F2" w:themeFill="background1" w:themeFillShade="F2"/>
          </w:tcPr>
          <w:p w14:paraId="49D01722" w14:textId="4D8EC18B" w:rsidR="00ED3293" w:rsidRPr="00555BE4" w:rsidRDefault="00ED3293" w:rsidP="0079773C">
            <w:pPr>
              <w:pStyle w:val="1GAPara"/>
              <w:numPr>
                <w:ilvl w:val="0"/>
                <w:numId w:val="0"/>
              </w:numPr>
              <w:rPr>
                <w:b/>
                <w:bCs/>
                <w:sz w:val="16"/>
                <w:szCs w:val="16"/>
              </w:rPr>
            </w:pPr>
            <w:r w:rsidRPr="00555BE4">
              <w:rPr>
                <w:b/>
                <w:bCs/>
                <w:sz w:val="16"/>
                <w:szCs w:val="16"/>
              </w:rPr>
              <w:t>Option 5.b. Evaluation Body</w:t>
            </w:r>
          </w:p>
          <w:p w14:paraId="4F28AFF0" w14:textId="78A3E089" w:rsidR="00ED3293" w:rsidRPr="006175B5" w:rsidRDefault="00ED3293">
            <w:pPr>
              <w:pStyle w:val="1GAPara"/>
              <w:numPr>
                <w:ilvl w:val="0"/>
                <w:numId w:val="48"/>
              </w:numPr>
              <w:spacing w:after="60"/>
              <w:rPr>
                <w:i/>
                <w:iCs/>
                <w:sz w:val="16"/>
                <w:szCs w:val="16"/>
              </w:rPr>
            </w:pPr>
            <w:r w:rsidRPr="006175B5">
              <w:rPr>
                <w:sz w:val="16"/>
                <w:szCs w:val="16"/>
              </w:rPr>
              <w:t>Additional Secretariat time required for:</w:t>
            </w:r>
          </w:p>
          <w:p w14:paraId="7EF3AFAE" w14:textId="3E750342" w:rsidR="00ED3293" w:rsidRPr="006175B5" w:rsidRDefault="00531A34">
            <w:pPr>
              <w:pStyle w:val="1GAPara"/>
              <w:numPr>
                <w:ilvl w:val="1"/>
                <w:numId w:val="48"/>
              </w:numPr>
              <w:spacing w:after="60"/>
              <w:ind w:left="606" w:hanging="283"/>
              <w:rPr>
                <w:sz w:val="16"/>
                <w:szCs w:val="16"/>
              </w:rPr>
            </w:pPr>
            <w:r>
              <w:rPr>
                <w:sz w:val="16"/>
                <w:szCs w:val="16"/>
              </w:rPr>
              <w:t>I</w:t>
            </w:r>
            <w:r w:rsidR="00ED3293" w:rsidRPr="006175B5">
              <w:rPr>
                <w:sz w:val="16"/>
                <w:szCs w:val="16"/>
              </w:rPr>
              <w:t>dentification of experts, contract establishment and follow-up</w:t>
            </w:r>
          </w:p>
          <w:p w14:paraId="65A7B22D" w14:textId="22DFBDA4" w:rsidR="00ED3293" w:rsidRPr="006175B5" w:rsidRDefault="00531A34">
            <w:pPr>
              <w:pStyle w:val="1GAPara"/>
              <w:numPr>
                <w:ilvl w:val="1"/>
                <w:numId w:val="48"/>
              </w:numPr>
              <w:spacing w:after="60"/>
              <w:ind w:left="606" w:hanging="283"/>
              <w:rPr>
                <w:sz w:val="16"/>
                <w:szCs w:val="16"/>
              </w:rPr>
            </w:pPr>
            <w:r>
              <w:rPr>
                <w:sz w:val="16"/>
                <w:szCs w:val="16"/>
              </w:rPr>
              <w:t>C</w:t>
            </w:r>
            <w:r w:rsidR="00ED3293" w:rsidRPr="006175B5">
              <w:rPr>
                <w:sz w:val="16"/>
                <w:szCs w:val="16"/>
              </w:rPr>
              <w:t xml:space="preserve">ommunication with States </w:t>
            </w:r>
            <w:proofErr w:type="gramStart"/>
            <w:r>
              <w:rPr>
                <w:sz w:val="16"/>
                <w:szCs w:val="16"/>
              </w:rPr>
              <w:t xml:space="preserve">Parties, </w:t>
            </w:r>
            <w:r w:rsidR="00ED3293" w:rsidRPr="006175B5">
              <w:rPr>
                <w:sz w:val="16"/>
                <w:szCs w:val="16"/>
              </w:rPr>
              <w:t xml:space="preserve"> communities</w:t>
            </w:r>
            <w:proofErr w:type="gramEnd"/>
            <w:r w:rsidR="00ED3293" w:rsidRPr="006175B5">
              <w:rPr>
                <w:sz w:val="16"/>
                <w:szCs w:val="16"/>
              </w:rPr>
              <w:t xml:space="preserve"> and third parties</w:t>
            </w:r>
            <w:r w:rsidR="005D628E">
              <w:rPr>
                <w:sz w:val="16"/>
                <w:szCs w:val="16"/>
              </w:rPr>
              <w:t>,</w:t>
            </w:r>
            <w:r w:rsidR="00ED3293" w:rsidRPr="006175B5">
              <w:rPr>
                <w:sz w:val="16"/>
                <w:szCs w:val="16"/>
              </w:rPr>
              <w:t xml:space="preserve"> as well as with </w:t>
            </w:r>
            <w:r w:rsidR="005D628E">
              <w:rPr>
                <w:sz w:val="16"/>
                <w:szCs w:val="16"/>
              </w:rPr>
              <w:t xml:space="preserve">experts from the </w:t>
            </w:r>
            <w:r w:rsidR="00ED3293" w:rsidRPr="006175B5">
              <w:rPr>
                <w:sz w:val="16"/>
                <w:szCs w:val="16"/>
              </w:rPr>
              <w:t>Evaluation Body, the arm’s</w:t>
            </w:r>
            <w:r>
              <w:rPr>
                <w:sz w:val="16"/>
                <w:szCs w:val="16"/>
              </w:rPr>
              <w:t>-</w:t>
            </w:r>
            <w:r w:rsidR="00ED3293" w:rsidRPr="006175B5">
              <w:rPr>
                <w:sz w:val="16"/>
                <w:szCs w:val="16"/>
              </w:rPr>
              <w:t>length platform</w:t>
            </w:r>
            <w:r w:rsidR="009153EF">
              <w:rPr>
                <w:sz w:val="16"/>
                <w:szCs w:val="16"/>
              </w:rPr>
              <w:t xml:space="preserve"> and/or the ICH NGO Forum</w:t>
            </w:r>
          </w:p>
          <w:p w14:paraId="7CB53E07" w14:textId="5C5BB4B3" w:rsidR="00ED3293" w:rsidRPr="006175B5" w:rsidRDefault="00ED3293">
            <w:pPr>
              <w:pStyle w:val="1GAPara"/>
              <w:numPr>
                <w:ilvl w:val="0"/>
                <w:numId w:val="48"/>
              </w:numPr>
              <w:spacing w:after="60"/>
              <w:rPr>
                <w:sz w:val="16"/>
                <w:szCs w:val="16"/>
              </w:rPr>
            </w:pPr>
            <w:r w:rsidRPr="006175B5">
              <w:rPr>
                <w:sz w:val="16"/>
                <w:szCs w:val="16"/>
              </w:rPr>
              <w:t xml:space="preserve">Additional resources </w:t>
            </w:r>
            <w:r w:rsidR="00A510DB">
              <w:rPr>
                <w:sz w:val="16"/>
                <w:szCs w:val="16"/>
              </w:rPr>
              <w:t>(</w:t>
            </w:r>
            <w:r w:rsidRPr="006175B5">
              <w:rPr>
                <w:sz w:val="16"/>
                <w:szCs w:val="16"/>
              </w:rPr>
              <w:t>from the Intangible Cultural Heritage Fund</w:t>
            </w:r>
            <w:r w:rsidR="00A510DB">
              <w:rPr>
                <w:sz w:val="16"/>
                <w:szCs w:val="16"/>
              </w:rPr>
              <w:t>)</w:t>
            </w:r>
            <w:r w:rsidRPr="006175B5">
              <w:rPr>
                <w:sz w:val="16"/>
                <w:szCs w:val="16"/>
              </w:rPr>
              <w:t xml:space="preserve"> for:</w:t>
            </w:r>
          </w:p>
          <w:p w14:paraId="50198E53" w14:textId="7C7B05C8" w:rsidR="00ED3293" w:rsidRPr="006175B5" w:rsidRDefault="00531A34">
            <w:pPr>
              <w:pStyle w:val="1GAPara"/>
              <w:numPr>
                <w:ilvl w:val="1"/>
                <w:numId w:val="48"/>
              </w:numPr>
              <w:spacing w:after="60"/>
              <w:ind w:left="742" w:hanging="284"/>
              <w:rPr>
                <w:sz w:val="16"/>
                <w:szCs w:val="16"/>
              </w:rPr>
            </w:pPr>
            <w:r>
              <w:rPr>
                <w:sz w:val="16"/>
                <w:szCs w:val="16"/>
              </w:rPr>
              <w:t>A</w:t>
            </w:r>
            <w:r w:rsidR="00ED3293" w:rsidRPr="006175B5">
              <w:rPr>
                <w:sz w:val="16"/>
                <w:szCs w:val="16"/>
              </w:rPr>
              <w:t>dvisory services provided by the Evaluation Body</w:t>
            </w:r>
          </w:p>
          <w:p w14:paraId="7F5A234A" w14:textId="6D1EA26B" w:rsidR="00ED3293" w:rsidRPr="006175B5" w:rsidRDefault="00ED3293">
            <w:pPr>
              <w:pStyle w:val="1GAPara"/>
              <w:numPr>
                <w:ilvl w:val="1"/>
                <w:numId w:val="48"/>
              </w:numPr>
              <w:spacing w:after="60"/>
              <w:ind w:left="742" w:hanging="284"/>
              <w:rPr>
                <w:sz w:val="16"/>
                <w:szCs w:val="16"/>
              </w:rPr>
            </w:pPr>
            <w:r w:rsidRPr="006175B5">
              <w:rPr>
                <w:sz w:val="16"/>
                <w:szCs w:val="16"/>
              </w:rPr>
              <w:t>Evaluation Body members’ additional meeting days</w:t>
            </w:r>
          </w:p>
        </w:tc>
      </w:tr>
      <w:tr w:rsidR="001C1BC0" w14:paraId="0659369C" w14:textId="77777777" w:rsidTr="00873D40">
        <w:tc>
          <w:tcPr>
            <w:tcW w:w="1129" w:type="dxa"/>
          </w:tcPr>
          <w:p w14:paraId="29EE7529" w14:textId="77777777" w:rsidR="001C1BC0" w:rsidRPr="0012313A" w:rsidRDefault="001C1BC0">
            <w:pPr>
              <w:pStyle w:val="1GAPara"/>
              <w:numPr>
                <w:ilvl w:val="0"/>
                <w:numId w:val="0"/>
              </w:numPr>
              <w:rPr>
                <w:b/>
                <w:bCs/>
              </w:rPr>
            </w:pPr>
            <w:r w:rsidRPr="0012313A">
              <w:rPr>
                <w:b/>
                <w:bCs/>
              </w:rPr>
              <w:t>Step 6</w:t>
            </w:r>
          </w:p>
        </w:tc>
        <w:tc>
          <w:tcPr>
            <w:tcW w:w="7932" w:type="dxa"/>
            <w:gridSpan w:val="2"/>
          </w:tcPr>
          <w:p w14:paraId="3C117877" w14:textId="6D231B70" w:rsidR="001C1BC0" w:rsidRDefault="008679F6" w:rsidP="0079773C">
            <w:pPr>
              <w:pStyle w:val="1GAPara"/>
              <w:numPr>
                <w:ilvl w:val="0"/>
                <w:numId w:val="0"/>
              </w:numPr>
              <w:rPr>
                <w:b/>
                <w:bCs/>
              </w:rPr>
            </w:pPr>
            <w:r>
              <w:rPr>
                <w:b/>
                <w:bCs/>
              </w:rPr>
              <w:t xml:space="preserve">Follow-up </w:t>
            </w:r>
            <w:r w:rsidR="002A1D80">
              <w:rPr>
                <w:b/>
                <w:bCs/>
              </w:rPr>
              <w:t>r</w:t>
            </w:r>
            <w:r w:rsidR="001C1BC0" w:rsidRPr="00C5154D">
              <w:rPr>
                <w:b/>
                <w:bCs/>
              </w:rPr>
              <w:t>eport to the Committee</w:t>
            </w:r>
          </w:p>
          <w:p w14:paraId="0B06D718" w14:textId="68DC8CB4" w:rsidR="00AD29F5" w:rsidRDefault="00D40095">
            <w:pPr>
              <w:pStyle w:val="1GAPara"/>
              <w:numPr>
                <w:ilvl w:val="0"/>
                <w:numId w:val="0"/>
              </w:numPr>
            </w:pPr>
            <w:proofErr w:type="gramStart"/>
            <w:r>
              <w:t>On the basis of</w:t>
            </w:r>
            <w:proofErr w:type="gramEnd"/>
            <w:r>
              <w:t xml:space="preserve"> the </w:t>
            </w:r>
            <w:r w:rsidR="008679F6">
              <w:t xml:space="preserve">follow-up </w:t>
            </w:r>
            <w:r w:rsidR="00AD29F5">
              <w:t xml:space="preserve">report </w:t>
            </w:r>
            <w:r>
              <w:t>and the recommendation</w:t>
            </w:r>
            <w:r w:rsidR="00852045">
              <w:t xml:space="preserve">, and paying particular attention to criteria R.1/U.1 </w:t>
            </w:r>
            <w:r w:rsidR="00EC751C">
              <w:t>and/</w:t>
            </w:r>
            <w:r w:rsidR="00852045">
              <w:t>or R.4/U.4</w:t>
            </w:r>
            <w:r>
              <w:t>, the Committee may decide to:</w:t>
            </w:r>
          </w:p>
          <w:p w14:paraId="2B18F612" w14:textId="21CB5229" w:rsidR="00624172" w:rsidRDefault="00194FC0">
            <w:pPr>
              <w:pStyle w:val="1GAPara"/>
              <w:numPr>
                <w:ilvl w:val="0"/>
                <w:numId w:val="5"/>
              </w:numPr>
              <w:ind w:left="466"/>
            </w:pPr>
            <w:r>
              <w:t>M</w:t>
            </w:r>
            <w:r w:rsidR="00D40095">
              <w:t xml:space="preserve">aintain the element on the </w:t>
            </w:r>
            <w:proofErr w:type="gramStart"/>
            <w:r w:rsidR="00D40095">
              <w:t>List, i</w:t>
            </w:r>
            <w:r w:rsidR="001C1BC0" w:rsidRPr="00C5154D">
              <w:t>f</w:t>
            </w:r>
            <w:proofErr w:type="gramEnd"/>
            <w:r w:rsidR="001C1BC0" w:rsidRPr="00C5154D">
              <w:t xml:space="preserve"> </w:t>
            </w:r>
            <w:r>
              <w:t>there is in</w:t>
            </w:r>
            <w:r w:rsidR="008679F6" w:rsidRPr="008679F6">
              <w:t>sufficient ground for removal</w:t>
            </w:r>
            <w:r w:rsidR="008679F6">
              <w:t xml:space="preserve"> (end of procedure)</w:t>
            </w:r>
            <w:r w:rsidR="00624172">
              <w:t>.</w:t>
            </w:r>
          </w:p>
          <w:p w14:paraId="05474D84" w14:textId="101BB6AE" w:rsidR="001C1BC0" w:rsidRDefault="00194FC0">
            <w:pPr>
              <w:pStyle w:val="1GAPara"/>
              <w:numPr>
                <w:ilvl w:val="0"/>
                <w:numId w:val="5"/>
              </w:numPr>
              <w:ind w:left="466"/>
            </w:pPr>
            <w:r>
              <w:t>R</w:t>
            </w:r>
            <w:r w:rsidR="00D40095">
              <w:t xml:space="preserve">emove the element from the </w:t>
            </w:r>
            <w:proofErr w:type="gramStart"/>
            <w:r w:rsidR="00D40095">
              <w:t>List, i</w:t>
            </w:r>
            <w:r w:rsidR="001C1BC0" w:rsidRPr="00C5154D">
              <w:t>f</w:t>
            </w:r>
            <w:proofErr w:type="gramEnd"/>
            <w:r w:rsidR="008679F6">
              <w:t xml:space="preserve"> </w:t>
            </w:r>
            <w:r w:rsidR="008679F6" w:rsidRPr="008679F6">
              <w:t>there is enough ground for removal</w:t>
            </w:r>
            <w:r w:rsidR="008679F6">
              <w:t xml:space="preserve"> (end of procedure)</w:t>
            </w:r>
            <w:r w:rsidR="001C1BC0" w:rsidRPr="00C5154D">
              <w:t>.</w:t>
            </w:r>
          </w:p>
          <w:p w14:paraId="1B758417" w14:textId="03A78669" w:rsidR="001C1BC0" w:rsidRDefault="00194FC0">
            <w:pPr>
              <w:pStyle w:val="1GAPara"/>
              <w:numPr>
                <w:ilvl w:val="0"/>
                <w:numId w:val="5"/>
              </w:numPr>
              <w:ind w:left="466"/>
            </w:pPr>
            <w:r>
              <w:t>C</w:t>
            </w:r>
            <w:r w:rsidR="00D40095">
              <w:t xml:space="preserve">ontinue to place </w:t>
            </w:r>
            <w:r w:rsidR="001C1BC0" w:rsidRPr="00C5154D">
              <w:t xml:space="preserve">the element under </w:t>
            </w:r>
            <w:r w:rsidR="00852045">
              <w:t>‘</w:t>
            </w:r>
            <w:r w:rsidR="00FB5938">
              <w:t>follow-up</w:t>
            </w:r>
            <w:r w:rsidR="00852045">
              <w:t>’</w:t>
            </w:r>
            <w:r w:rsidR="00FB5938">
              <w:t xml:space="preserve"> </w:t>
            </w:r>
            <w:r w:rsidR="00624172">
              <w:t xml:space="preserve">for a period to be </w:t>
            </w:r>
            <w:proofErr w:type="gramStart"/>
            <w:r w:rsidR="00624172">
              <w:t>determined</w:t>
            </w:r>
            <w:r w:rsidR="00D40095">
              <w:t>,</w:t>
            </w:r>
            <w:r w:rsidR="00D40095" w:rsidRPr="00C5154D">
              <w:t xml:space="preserve"> </w:t>
            </w:r>
            <w:r w:rsidR="00D40095">
              <w:t>i</w:t>
            </w:r>
            <w:r w:rsidR="00D40095" w:rsidRPr="00C5154D">
              <w:t>f</w:t>
            </w:r>
            <w:proofErr w:type="gramEnd"/>
            <w:r w:rsidR="00D40095" w:rsidRPr="00C5154D">
              <w:t xml:space="preserve"> </w:t>
            </w:r>
            <w:r>
              <w:t xml:space="preserve">the </w:t>
            </w:r>
            <w:r w:rsidR="00D40095" w:rsidRPr="00C5154D">
              <w:t>issues persist</w:t>
            </w:r>
            <w:r>
              <w:t>. T</w:t>
            </w:r>
            <w:r w:rsidR="001C1BC0" w:rsidRPr="00C5154D">
              <w:t>he Committee recommends the implementation of reconciliatory/mediatory measures</w:t>
            </w:r>
            <w:r w:rsidR="00FB5938">
              <w:t xml:space="preserve"> and</w:t>
            </w:r>
            <w:r w:rsidR="00DA4E86">
              <w:t xml:space="preserve"> specifies</w:t>
            </w:r>
            <w:r w:rsidR="00FB5938">
              <w:t xml:space="preserve"> a session of the Committee in which the issue will be reported back by the State Party for a final decision </w:t>
            </w:r>
            <w:r w:rsidR="002A1D80">
              <w:t>by</w:t>
            </w:r>
            <w:r w:rsidR="00FB5938">
              <w:t xml:space="preserve"> the Committee</w:t>
            </w:r>
            <w:r w:rsidR="001C1BC0" w:rsidRPr="00C5154D">
              <w:t xml:space="preserve">. </w:t>
            </w:r>
          </w:p>
        </w:tc>
      </w:tr>
      <w:tr w:rsidR="00EB23AF" w14:paraId="17C84F6D" w14:textId="77777777" w:rsidTr="00873D40">
        <w:tc>
          <w:tcPr>
            <w:tcW w:w="1129" w:type="dxa"/>
          </w:tcPr>
          <w:p w14:paraId="43F24CC0" w14:textId="77777777" w:rsidR="00EB23AF" w:rsidRPr="0012313A" w:rsidRDefault="00EB23AF">
            <w:pPr>
              <w:pStyle w:val="1GAPara"/>
              <w:numPr>
                <w:ilvl w:val="0"/>
                <w:numId w:val="0"/>
              </w:numPr>
              <w:rPr>
                <w:b/>
                <w:bCs/>
              </w:rPr>
            </w:pPr>
          </w:p>
        </w:tc>
        <w:tc>
          <w:tcPr>
            <w:tcW w:w="7932" w:type="dxa"/>
            <w:gridSpan w:val="2"/>
          </w:tcPr>
          <w:p w14:paraId="08990130" w14:textId="77777777" w:rsidR="00D311ED" w:rsidRPr="006175B5" w:rsidRDefault="00D311ED">
            <w:pPr>
              <w:pStyle w:val="1GAPara"/>
              <w:numPr>
                <w:ilvl w:val="0"/>
                <w:numId w:val="0"/>
              </w:numPr>
              <w:spacing w:after="60"/>
              <w:rPr>
                <w:sz w:val="16"/>
                <w:szCs w:val="16"/>
              </w:rPr>
            </w:pPr>
            <w:r w:rsidRPr="006175B5">
              <w:rPr>
                <w:sz w:val="16"/>
                <w:szCs w:val="16"/>
              </w:rPr>
              <w:t xml:space="preserve">Cost implications (overall costs will depend on the number of requests): </w:t>
            </w:r>
          </w:p>
          <w:p w14:paraId="70CF3AB8" w14:textId="0EC162BC" w:rsidR="00D311ED" w:rsidRPr="006175B5" w:rsidRDefault="00D311ED">
            <w:pPr>
              <w:pStyle w:val="1GAPara"/>
              <w:numPr>
                <w:ilvl w:val="0"/>
                <w:numId w:val="48"/>
              </w:numPr>
              <w:spacing w:after="60"/>
              <w:rPr>
                <w:i/>
                <w:iCs/>
                <w:sz w:val="16"/>
                <w:szCs w:val="16"/>
              </w:rPr>
            </w:pPr>
            <w:r w:rsidRPr="006175B5">
              <w:rPr>
                <w:sz w:val="16"/>
                <w:szCs w:val="16"/>
              </w:rPr>
              <w:t xml:space="preserve">Additional Secretariat time required for: </w:t>
            </w:r>
          </w:p>
          <w:p w14:paraId="590C8C18" w14:textId="4CDC1441" w:rsidR="00D311ED" w:rsidRPr="006175B5" w:rsidRDefault="00194FC0">
            <w:pPr>
              <w:pStyle w:val="1GAPara"/>
              <w:numPr>
                <w:ilvl w:val="1"/>
                <w:numId w:val="48"/>
              </w:numPr>
              <w:spacing w:after="60"/>
              <w:ind w:left="742" w:hanging="284"/>
              <w:rPr>
                <w:sz w:val="16"/>
                <w:szCs w:val="16"/>
              </w:rPr>
            </w:pPr>
            <w:r>
              <w:rPr>
                <w:sz w:val="16"/>
                <w:szCs w:val="16"/>
              </w:rPr>
              <w:t>A</w:t>
            </w:r>
            <w:r w:rsidR="00D311ED" w:rsidRPr="006175B5">
              <w:rPr>
                <w:sz w:val="16"/>
                <w:szCs w:val="16"/>
              </w:rPr>
              <w:t>dditional meeting days to examine additional items on the agenda</w:t>
            </w:r>
          </w:p>
          <w:p w14:paraId="51675A3F" w14:textId="3201DE9A" w:rsidR="00D311ED" w:rsidRPr="006175B5" w:rsidRDefault="00194FC0">
            <w:pPr>
              <w:pStyle w:val="1GAPara"/>
              <w:numPr>
                <w:ilvl w:val="1"/>
                <w:numId w:val="48"/>
              </w:numPr>
              <w:spacing w:after="60"/>
              <w:ind w:left="742" w:hanging="284"/>
              <w:rPr>
                <w:sz w:val="16"/>
                <w:szCs w:val="16"/>
              </w:rPr>
            </w:pPr>
            <w:r>
              <w:rPr>
                <w:sz w:val="16"/>
                <w:szCs w:val="16"/>
              </w:rPr>
              <w:t>D</w:t>
            </w:r>
            <w:r w:rsidR="00D311ED" w:rsidRPr="006175B5">
              <w:rPr>
                <w:sz w:val="16"/>
                <w:szCs w:val="16"/>
              </w:rPr>
              <w:t>rafting additional meeting documents</w:t>
            </w:r>
          </w:p>
          <w:p w14:paraId="04FE0173" w14:textId="39C0652B" w:rsidR="00D311ED" w:rsidRPr="006175B5" w:rsidRDefault="00D311ED">
            <w:pPr>
              <w:pStyle w:val="1GAPara"/>
              <w:numPr>
                <w:ilvl w:val="0"/>
                <w:numId w:val="48"/>
              </w:numPr>
              <w:spacing w:after="60"/>
              <w:rPr>
                <w:sz w:val="16"/>
                <w:szCs w:val="16"/>
              </w:rPr>
            </w:pPr>
            <w:r w:rsidRPr="006175B5">
              <w:rPr>
                <w:sz w:val="16"/>
                <w:szCs w:val="16"/>
              </w:rPr>
              <w:t xml:space="preserve">Additional </w:t>
            </w:r>
            <w:r w:rsidR="00A510DB">
              <w:rPr>
                <w:sz w:val="16"/>
                <w:szCs w:val="16"/>
              </w:rPr>
              <w:t xml:space="preserve">financial </w:t>
            </w:r>
            <w:r w:rsidRPr="006175B5">
              <w:rPr>
                <w:sz w:val="16"/>
                <w:szCs w:val="16"/>
              </w:rPr>
              <w:t>resources for:</w:t>
            </w:r>
          </w:p>
          <w:p w14:paraId="18EF5C07" w14:textId="0CC57D62" w:rsidR="00D311ED" w:rsidRPr="006175B5" w:rsidRDefault="00194FC0">
            <w:pPr>
              <w:pStyle w:val="1GAPara"/>
              <w:numPr>
                <w:ilvl w:val="1"/>
                <w:numId w:val="48"/>
              </w:numPr>
              <w:spacing w:after="60"/>
              <w:ind w:left="742" w:hanging="284"/>
              <w:rPr>
                <w:sz w:val="16"/>
                <w:szCs w:val="16"/>
              </w:rPr>
            </w:pPr>
            <w:r>
              <w:rPr>
                <w:sz w:val="16"/>
                <w:szCs w:val="16"/>
              </w:rPr>
              <w:t>M</w:t>
            </w:r>
            <w:r w:rsidR="00D311ED" w:rsidRPr="006175B5">
              <w:rPr>
                <w:sz w:val="16"/>
                <w:szCs w:val="16"/>
              </w:rPr>
              <w:t>eeting organization costs (interpretation, technicians</w:t>
            </w:r>
            <w:r>
              <w:rPr>
                <w:sz w:val="16"/>
                <w:szCs w:val="16"/>
              </w:rPr>
              <w:t>,</w:t>
            </w:r>
            <w:r w:rsidR="00D311ED" w:rsidRPr="006175B5">
              <w:rPr>
                <w:sz w:val="16"/>
                <w:szCs w:val="16"/>
              </w:rPr>
              <w:t xml:space="preserve"> etc</w:t>
            </w:r>
            <w:r>
              <w:rPr>
                <w:sz w:val="16"/>
                <w:szCs w:val="16"/>
              </w:rPr>
              <w:t>.</w:t>
            </w:r>
            <w:r w:rsidR="00D311ED" w:rsidRPr="006175B5">
              <w:rPr>
                <w:sz w:val="16"/>
                <w:szCs w:val="16"/>
              </w:rPr>
              <w:t>) for additional meeting days</w:t>
            </w:r>
          </w:p>
          <w:p w14:paraId="31AA3802" w14:textId="0F67DE5D" w:rsidR="00D311ED" w:rsidRPr="006175B5" w:rsidRDefault="00194FC0">
            <w:pPr>
              <w:pStyle w:val="1GAPara"/>
              <w:numPr>
                <w:ilvl w:val="1"/>
                <w:numId w:val="48"/>
              </w:numPr>
              <w:spacing w:after="60"/>
              <w:ind w:left="742" w:hanging="284"/>
              <w:rPr>
                <w:sz w:val="16"/>
                <w:szCs w:val="16"/>
              </w:rPr>
            </w:pPr>
            <w:r>
              <w:rPr>
                <w:sz w:val="16"/>
                <w:szCs w:val="16"/>
              </w:rPr>
              <w:t>T</w:t>
            </w:r>
            <w:r w:rsidR="00D311ED" w:rsidRPr="006175B5">
              <w:rPr>
                <w:sz w:val="16"/>
                <w:szCs w:val="16"/>
              </w:rPr>
              <w:t xml:space="preserve">ranslation of meeting documents </w:t>
            </w:r>
          </w:p>
          <w:p w14:paraId="4AB65794" w14:textId="07EBCCB8" w:rsidR="00D311ED" w:rsidRPr="006175B5" w:rsidRDefault="00D311ED">
            <w:pPr>
              <w:pStyle w:val="1GAPara"/>
              <w:numPr>
                <w:ilvl w:val="0"/>
                <w:numId w:val="48"/>
              </w:numPr>
              <w:spacing w:after="60"/>
              <w:rPr>
                <w:sz w:val="16"/>
                <w:szCs w:val="16"/>
              </w:rPr>
            </w:pPr>
            <w:r w:rsidRPr="006175B5">
              <w:rPr>
                <w:sz w:val="16"/>
                <w:szCs w:val="16"/>
              </w:rPr>
              <w:t xml:space="preserve">Additional resources </w:t>
            </w:r>
            <w:r w:rsidR="00EC751C">
              <w:rPr>
                <w:sz w:val="16"/>
                <w:szCs w:val="16"/>
              </w:rPr>
              <w:t>(</w:t>
            </w:r>
            <w:r w:rsidRPr="006175B5">
              <w:rPr>
                <w:sz w:val="16"/>
                <w:szCs w:val="16"/>
              </w:rPr>
              <w:t>from the Intangible Cultural Heritage Fund</w:t>
            </w:r>
            <w:r w:rsidR="00EC751C">
              <w:rPr>
                <w:sz w:val="16"/>
                <w:szCs w:val="16"/>
              </w:rPr>
              <w:t>)</w:t>
            </w:r>
            <w:r w:rsidRPr="006175B5">
              <w:rPr>
                <w:sz w:val="16"/>
                <w:szCs w:val="16"/>
              </w:rPr>
              <w:t xml:space="preserve"> for:</w:t>
            </w:r>
          </w:p>
          <w:p w14:paraId="41774614" w14:textId="6292E54B" w:rsidR="00EB23AF" w:rsidRPr="006175B5" w:rsidDel="008679F6" w:rsidRDefault="00D311ED">
            <w:pPr>
              <w:pStyle w:val="1GAPara"/>
              <w:numPr>
                <w:ilvl w:val="1"/>
                <w:numId w:val="48"/>
              </w:numPr>
              <w:spacing w:after="60"/>
              <w:ind w:left="742" w:hanging="284"/>
              <w:rPr>
                <w:sz w:val="16"/>
                <w:szCs w:val="16"/>
              </w:rPr>
            </w:pPr>
            <w:r w:rsidRPr="006175B5">
              <w:rPr>
                <w:sz w:val="16"/>
                <w:szCs w:val="16"/>
              </w:rPr>
              <w:t>Committee members’ additional meeting days</w:t>
            </w:r>
          </w:p>
        </w:tc>
      </w:tr>
    </w:tbl>
    <w:p w14:paraId="2790A064" w14:textId="77777777" w:rsidR="001C1BC0" w:rsidRDefault="001C1BC0">
      <w:pPr>
        <w:pStyle w:val="1GAPara"/>
        <w:numPr>
          <w:ilvl w:val="0"/>
          <w:numId w:val="0"/>
        </w:numPr>
      </w:pPr>
    </w:p>
    <w:p w14:paraId="2E423922" w14:textId="24DB5CEE" w:rsidR="00040107" w:rsidRDefault="00040107">
      <w:pPr>
        <w:pStyle w:val="1GAPara"/>
        <w:numPr>
          <w:ilvl w:val="0"/>
          <w:numId w:val="7"/>
        </w:numPr>
        <w:spacing w:before="240"/>
        <w:ind w:left="567" w:hanging="567"/>
        <w:rPr>
          <w:b/>
          <w:bCs/>
        </w:rPr>
      </w:pPr>
      <w:r>
        <w:rPr>
          <w:b/>
          <w:bCs/>
        </w:rPr>
        <w:t>Simplified procedure for inscription on an extended basis</w:t>
      </w:r>
    </w:p>
    <w:p w14:paraId="7553E2A4" w14:textId="61F4BBD6" w:rsidR="00A905B5" w:rsidRDefault="00273FFE" w:rsidP="00E37609">
      <w:pPr>
        <w:pStyle w:val="1GAPara"/>
        <w:numPr>
          <w:ilvl w:val="0"/>
          <w:numId w:val="68"/>
        </w:numPr>
        <w:ind w:left="567" w:hanging="567"/>
        <w:jc w:val="both"/>
      </w:pPr>
      <w:r>
        <w:t xml:space="preserve">The review of the procedures for inscription on an extended basis was one of the priority issues </w:t>
      </w:r>
      <w:r w:rsidR="00A53526">
        <w:t>discussed</w:t>
      </w:r>
      <w:r>
        <w:t xml:space="preserve"> </w:t>
      </w:r>
      <w:r w:rsidR="00A53526">
        <w:t>during Part I of</w:t>
      </w:r>
      <w:r>
        <w:t xml:space="preserve"> the working group</w:t>
      </w:r>
      <w:r w:rsidR="00A53526">
        <w:t xml:space="preserve"> meeting</w:t>
      </w:r>
      <w:r>
        <w:t>. The current system</w:t>
      </w:r>
      <w:r w:rsidR="00D40095">
        <w:t xml:space="preserve"> as provided in sub-chapter I.6 of the Operational Directives</w:t>
      </w:r>
      <w:r>
        <w:t>, which requires all States Parties participating in the nomination (whether newly joining or part of existing nominations) to take part in</w:t>
      </w:r>
      <w:r w:rsidR="00D40095">
        <w:t xml:space="preserve"> the preparation of </w:t>
      </w:r>
      <w:r>
        <w:t xml:space="preserve">a new nomination and to go through the 21-month nomination process, was considered cumbersome and </w:t>
      </w:r>
      <w:r w:rsidR="005D628E">
        <w:t xml:space="preserve">may </w:t>
      </w:r>
      <w:r>
        <w:t>dissuade States Parties from pursuing international cooperation through multinational files.</w:t>
      </w:r>
      <w:r w:rsidR="00BA1286">
        <w:t xml:space="preserve"> </w:t>
      </w:r>
      <w:r w:rsidR="005D628E">
        <w:t>For instance, u</w:t>
      </w:r>
      <w:r w:rsidR="00BA1286">
        <w:t>nder the 2021 cycle</w:t>
      </w:r>
      <w:r w:rsidR="005D628E">
        <w:t>,</w:t>
      </w:r>
      <w:r w:rsidR="00BA1286">
        <w:t xml:space="preserve"> the Committee will discuss the third extension of an element involving 24 States Parties</w:t>
      </w:r>
      <w:r w:rsidR="009941A8">
        <w:t>;</w:t>
      </w:r>
      <w:r w:rsidR="00BA1286">
        <w:t xml:space="preserve"> for the eleven States </w:t>
      </w:r>
      <w:r w:rsidR="009941A8">
        <w:lastRenderedPageBreak/>
        <w:t>Parties</w:t>
      </w:r>
      <w:r w:rsidR="00BA1286">
        <w:t xml:space="preserve"> involved in the original inscription in 2010</w:t>
      </w:r>
      <w:r w:rsidR="009941A8">
        <w:t>,</w:t>
      </w:r>
      <w:r w:rsidR="00BA1286">
        <w:t xml:space="preserve"> </w:t>
      </w:r>
      <w:r w:rsidR="00D40095">
        <w:t>this is</w:t>
      </w:r>
      <w:r w:rsidR="00BA1286">
        <w:t xml:space="preserve"> the</w:t>
      </w:r>
      <w:r w:rsidR="009941A8">
        <w:t>ir</w:t>
      </w:r>
      <w:r w:rsidR="00BA1286">
        <w:t xml:space="preserve"> fourth time submit</w:t>
      </w:r>
      <w:r w:rsidR="009941A8">
        <w:t>ting</w:t>
      </w:r>
      <w:r w:rsidR="00BA1286">
        <w:t xml:space="preserve"> a nomination</w:t>
      </w:r>
      <w:r w:rsidR="00C16F5C">
        <w:t xml:space="preserve"> for this element</w:t>
      </w:r>
      <w:r w:rsidR="00BA1286">
        <w:t>.</w:t>
      </w:r>
    </w:p>
    <w:p w14:paraId="033E15A7" w14:textId="7CDD4E0C" w:rsidR="0061008C" w:rsidRDefault="001E5B4B" w:rsidP="00E37609">
      <w:pPr>
        <w:pStyle w:val="1GAPara"/>
        <w:numPr>
          <w:ilvl w:val="0"/>
          <w:numId w:val="68"/>
        </w:numPr>
        <w:ind w:left="567" w:hanging="567"/>
        <w:jc w:val="both"/>
      </w:pPr>
      <w:r>
        <w:t>Part I of t</w:t>
      </w:r>
      <w:r w:rsidR="00BA1286">
        <w:t xml:space="preserve">he </w:t>
      </w:r>
      <w:r w:rsidR="00040107">
        <w:t xml:space="preserve">working group </w:t>
      </w:r>
      <w:r w:rsidR="001D402F">
        <w:t>therefore</w:t>
      </w:r>
      <w:r w:rsidR="00273FFE">
        <w:t xml:space="preserve"> </w:t>
      </w:r>
      <w:r w:rsidR="00BA1286">
        <w:t xml:space="preserve">decided to </w:t>
      </w:r>
      <w:r w:rsidR="00DF5FEC">
        <w:t xml:space="preserve">recommend </w:t>
      </w:r>
      <w:r w:rsidR="005D628E">
        <w:t>simplifying</w:t>
      </w:r>
      <w:r w:rsidR="00040107">
        <w:t xml:space="preserve"> the proce</w:t>
      </w:r>
      <w:r w:rsidR="00273FFE">
        <w:t>dures</w:t>
      </w:r>
      <w:r w:rsidR="003B1B66">
        <w:t>.</w:t>
      </w:r>
      <w:r w:rsidR="00273FFE">
        <w:t xml:space="preserve"> </w:t>
      </w:r>
      <w:r w:rsidR="003B1B66">
        <w:t xml:space="preserve">The main </w:t>
      </w:r>
      <w:r w:rsidR="009941A8">
        <w:t xml:space="preserve">objective </w:t>
      </w:r>
      <w:r w:rsidR="003B1B66">
        <w:t>is</w:t>
      </w:r>
      <w:r w:rsidR="006B64CF">
        <w:t xml:space="preserve"> to</w:t>
      </w:r>
      <w:r w:rsidR="003B1B66">
        <w:t xml:space="preserve"> </w:t>
      </w:r>
      <w:r w:rsidR="00C16F75">
        <w:t xml:space="preserve">spare the </w:t>
      </w:r>
      <w:r w:rsidR="00EC751C">
        <w:t xml:space="preserve">already included </w:t>
      </w:r>
      <w:r w:rsidR="00C16F75">
        <w:t xml:space="preserve">States Parties </w:t>
      </w:r>
      <w:r w:rsidR="006B64CF">
        <w:t xml:space="preserve">from </w:t>
      </w:r>
      <w:r w:rsidR="00C16F75">
        <w:t>the burden of preparing a full nomination dossier each time the nomination is extended to include additional States</w:t>
      </w:r>
      <w:r w:rsidR="009941A8">
        <w:t xml:space="preserve"> Parties</w:t>
      </w:r>
      <w:r w:rsidR="00C16F75">
        <w:t>. In other words, the system may be revised to only require newly joining States</w:t>
      </w:r>
      <w:r w:rsidR="009941A8">
        <w:t xml:space="preserve"> Parties</w:t>
      </w:r>
      <w:r w:rsidR="00C16F75">
        <w:t xml:space="preserve"> to demonstrate that the element as practiced in their territory satisfies the inscription criteria. At the same time</w:t>
      </w:r>
      <w:r w:rsidR="009941A8">
        <w:t>,</w:t>
      </w:r>
      <w:r w:rsidR="00C16F75">
        <w:t xml:space="preserve"> the working group cautioned </w:t>
      </w:r>
      <w:r w:rsidR="009941A8">
        <w:t>against</w:t>
      </w:r>
      <w:r w:rsidR="00C16F75" w:rsidRPr="00882B65">
        <w:rPr>
          <w:rFonts w:eastAsia="Arial"/>
          <w:lang w:bidi="en-US"/>
        </w:rPr>
        <w:t xml:space="preserve"> excessive simplification of the criteria and procedure for extending multinational </w:t>
      </w:r>
      <w:r w:rsidR="00C16F75">
        <w:rPr>
          <w:rFonts w:eastAsia="Arial"/>
          <w:lang w:bidi="en-US"/>
        </w:rPr>
        <w:t>nomination</w:t>
      </w:r>
      <w:r w:rsidR="00C16F75" w:rsidRPr="00882B65">
        <w:rPr>
          <w:rFonts w:eastAsia="Arial"/>
          <w:lang w:bidi="en-US"/>
        </w:rPr>
        <w:t xml:space="preserve">s, particularly </w:t>
      </w:r>
      <w:proofErr w:type="gramStart"/>
      <w:r w:rsidR="00C16F75" w:rsidRPr="00882B65">
        <w:rPr>
          <w:rFonts w:eastAsia="Arial"/>
          <w:lang w:bidi="en-US"/>
        </w:rPr>
        <w:t>with regard to</w:t>
      </w:r>
      <w:proofErr w:type="gramEnd"/>
      <w:r w:rsidR="00C16F75" w:rsidRPr="00882B65">
        <w:rPr>
          <w:rFonts w:eastAsia="Arial"/>
          <w:lang w:bidi="en-US"/>
        </w:rPr>
        <w:t xml:space="preserve"> the consent of the communities</w:t>
      </w:r>
      <w:r w:rsidR="00C16F75">
        <w:rPr>
          <w:rFonts w:eastAsia="Arial"/>
          <w:lang w:bidi="en-US"/>
        </w:rPr>
        <w:t>, groups and individuals.</w:t>
      </w:r>
      <w:r w:rsidR="00492B1F" w:rsidRPr="00492B1F">
        <w:t xml:space="preserve"> </w:t>
      </w:r>
      <w:r w:rsidR="00492B1F">
        <w:t>Furthermore, the working group requested that clarity be given to the procedure for the inscription on an extended basis to be undertaken at the national level.</w:t>
      </w:r>
    </w:p>
    <w:p w14:paraId="6CE0C485" w14:textId="6ECBF2AB" w:rsidR="001D402F" w:rsidRPr="004A4B6F" w:rsidRDefault="00E05B48" w:rsidP="00E37609">
      <w:pPr>
        <w:pStyle w:val="1GAPara"/>
        <w:numPr>
          <w:ilvl w:val="0"/>
          <w:numId w:val="68"/>
        </w:numPr>
        <w:ind w:left="567" w:hanging="567"/>
        <w:jc w:val="both"/>
      </w:pPr>
      <w:r>
        <w:rPr>
          <w:rFonts w:eastAsia="Arial"/>
          <w:lang w:bidi="en-US"/>
        </w:rPr>
        <w:t>S</w:t>
      </w:r>
      <w:r w:rsidR="003B1B66" w:rsidRPr="0061008C">
        <w:rPr>
          <w:rFonts w:eastAsia="Arial"/>
          <w:lang w:bidi="en-US"/>
        </w:rPr>
        <w:t>ome delegations also wished that</w:t>
      </w:r>
      <w:r w:rsidR="001D402F" w:rsidRPr="0061008C">
        <w:rPr>
          <w:rFonts w:eastAsia="Arial"/>
          <w:lang w:bidi="en-US"/>
        </w:rPr>
        <w:t xml:space="preserve"> the mechanism of multinational </w:t>
      </w:r>
      <w:r w:rsidR="001D402F" w:rsidRPr="00E37609">
        <w:t>nominations</w:t>
      </w:r>
      <w:r w:rsidR="001D402F" w:rsidRPr="0061008C">
        <w:rPr>
          <w:rFonts w:eastAsia="Arial"/>
          <w:lang w:bidi="en-US"/>
        </w:rPr>
        <w:t xml:space="preserve"> </w:t>
      </w:r>
      <w:r w:rsidR="001A6F43">
        <w:rPr>
          <w:rFonts w:eastAsia="Arial"/>
          <w:lang w:bidi="en-US"/>
        </w:rPr>
        <w:t>be</w:t>
      </w:r>
      <w:r w:rsidR="001D402F" w:rsidRPr="0061008C">
        <w:rPr>
          <w:rFonts w:eastAsia="Arial"/>
          <w:lang w:bidi="en-US"/>
        </w:rPr>
        <w:t xml:space="preserve"> used in a justified manner for elements of intangible cultural heritage shared by a community across geographical borders, and not </w:t>
      </w:r>
      <w:r w:rsidR="00EC751C">
        <w:rPr>
          <w:rFonts w:eastAsia="Arial"/>
          <w:lang w:bidi="en-US"/>
        </w:rPr>
        <w:t xml:space="preserve">solely as a means </w:t>
      </w:r>
      <w:r>
        <w:rPr>
          <w:rFonts w:eastAsia="Arial"/>
          <w:lang w:bidi="en-US"/>
        </w:rPr>
        <w:t>of</w:t>
      </w:r>
      <w:r w:rsidRPr="0061008C">
        <w:rPr>
          <w:rFonts w:eastAsia="Arial"/>
          <w:lang w:bidi="en-US"/>
        </w:rPr>
        <w:t xml:space="preserve"> </w:t>
      </w:r>
      <w:r w:rsidR="00F83D0A" w:rsidRPr="0061008C">
        <w:rPr>
          <w:rFonts w:eastAsia="Arial"/>
          <w:lang w:bidi="en-US"/>
        </w:rPr>
        <w:t>‘</w:t>
      </w:r>
      <w:r w:rsidR="001D402F" w:rsidRPr="0061008C">
        <w:rPr>
          <w:rFonts w:eastAsia="Arial"/>
          <w:lang w:bidi="en-US"/>
        </w:rPr>
        <w:t>circumvent</w:t>
      </w:r>
      <w:r>
        <w:rPr>
          <w:rFonts w:eastAsia="Arial"/>
          <w:lang w:bidi="en-US"/>
        </w:rPr>
        <w:t>ing</w:t>
      </w:r>
      <w:r w:rsidR="00F83D0A" w:rsidRPr="0061008C">
        <w:rPr>
          <w:rFonts w:eastAsia="Arial"/>
          <w:lang w:bidi="en-US"/>
        </w:rPr>
        <w:t>’</w:t>
      </w:r>
      <w:r w:rsidR="001D402F" w:rsidRPr="0061008C">
        <w:rPr>
          <w:rFonts w:eastAsia="Arial"/>
          <w:lang w:bidi="en-US"/>
        </w:rPr>
        <w:t xml:space="preserve"> the annual ceiling of files for examination and the priorities of paragraph 34 of the Operational Directives</w:t>
      </w:r>
      <w:r w:rsidR="003B1B66" w:rsidRPr="0061008C">
        <w:rPr>
          <w:rFonts w:eastAsia="Arial"/>
          <w:lang w:bidi="en-US"/>
        </w:rPr>
        <w:t>.</w:t>
      </w:r>
    </w:p>
    <w:p w14:paraId="5BCA25E4" w14:textId="7137DFC8" w:rsidR="00D6670C" w:rsidRDefault="00040107" w:rsidP="00E37609">
      <w:pPr>
        <w:pStyle w:val="1GAPara"/>
        <w:keepNext/>
        <w:numPr>
          <w:ilvl w:val="0"/>
          <w:numId w:val="68"/>
        </w:numPr>
        <w:ind w:left="567" w:hanging="567"/>
        <w:jc w:val="both"/>
      </w:pPr>
      <w:r>
        <w:t xml:space="preserve">The </w:t>
      </w:r>
      <w:r w:rsidR="00492B1F">
        <w:t>working group may discuss the following:</w:t>
      </w:r>
    </w:p>
    <w:p w14:paraId="6AB51958" w14:textId="2DB23FBF" w:rsidR="00040107" w:rsidRPr="00D6670C" w:rsidRDefault="00040107">
      <w:pPr>
        <w:pStyle w:val="1GAPara"/>
        <w:keepNext/>
        <w:numPr>
          <w:ilvl w:val="0"/>
          <w:numId w:val="0"/>
        </w:numPr>
        <w:spacing w:before="240"/>
        <w:ind w:left="567"/>
        <w:jc w:val="both"/>
        <w:rPr>
          <w:b/>
          <w:bCs/>
        </w:rPr>
      </w:pPr>
      <w:r w:rsidRPr="00D6670C">
        <w:rPr>
          <w:b/>
          <w:bCs/>
        </w:rPr>
        <w:t>Proposed revised procedure for inscription on an extended basis</w:t>
      </w:r>
    </w:p>
    <w:tbl>
      <w:tblPr>
        <w:tblStyle w:val="TableGrid"/>
        <w:tblW w:w="0" w:type="auto"/>
        <w:tblInd w:w="567" w:type="dxa"/>
        <w:tblLook w:val="04A0" w:firstRow="1" w:lastRow="0" w:firstColumn="1" w:lastColumn="0" w:noHBand="0" w:noVBand="1"/>
      </w:tblPr>
      <w:tblGrid>
        <w:gridCol w:w="1129"/>
        <w:gridCol w:w="7932"/>
      </w:tblGrid>
      <w:tr w:rsidR="00040107" w14:paraId="2E76399B" w14:textId="77777777" w:rsidTr="00873D40">
        <w:trPr>
          <w:trHeight w:val="928"/>
        </w:trPr>
        <w:tc>
          <w:tcPr>
            <w:tcW w:w="1129" w:type="dxa"/>
            <w:vMerge w:val="restart"/>
          </w:tcPr>
          <w:p w14:paraId="409A2ACC" w14:textId="61FA3A59" w:rsidR="00040107" w:rsidRPr="0012313A" w:rsidRDefault="00040107">
            <w:pPr>
              <w:pStyle w:val="1GAPara"/>
              <w:keepNext/>
              <w:numPr>
                <w:ilvl w:val="0"/>
                <w:numId w:val="0"/>
              </w:numPr>
              <w:rPr>
                <w:b/>
                <w:bCs/>
              </w:rPr>
            </w:pPr>
            <w:r w:rsidRPr="0012313A">
              <w:rPr>
                <w:b/>
                <w:bCs/>
              </w:rPr>
              <w:t xml:space="preserve">Step </w:t>
            </w:r>
            <w:r w:rsidR="00D6670C">
              <w:rPr>
                <w:b/>
                <w:bCs/>
              </w:rPr>
              <w:t>0</w:t>
            </w:r>
          </w:p>
        </w:tc>
        <w:tc>
          <w:tcPr>
            <w:tcW w:w="7932" w:type="dxa"/>
          </w:tcPr>
          <w:p w14:paraId="5BC1D030" w14:textId="71AB19C4" w:rsidR="005622C5" w:rsidRPr="006175B5" w:rsidRDefault="005622C5" w:rsidP="006175B5">
            <w:pPr>
              <w:pStyle w:val="1GAPara"/>
              <w:numPr>
                <w:ilvl w:val="0"/>
                <w:numId w:val="0"/>
              </w:numPr>
              <w:rPr>
                <w:b/>
                <w:bCs/>
              </w:rPr>
            </w:pPr>
            <w:r w:rsidRPr="006175B5">
              <w:rPr>
                <w:b/>
                <w:bCs/>
              </w:rPr>
              <w:t>Upstream actions (optional)</w:t>
            </w:r>
          </w:p>
          <w:p w14:paraId="355CAA6A" w14:textId="23275F1E" w:rsidR="005622C5" w:rsidRDefault="005622C5" w:rsidP="006175B5">
            <w:pPr>
              <w:pStyle w:val="1GAPara"/>
              <w:numPr>
                <w:ilvl w:val="0"/>
                <w:numId w:val="5"/>
              </w:numPr>
              <w:ind w:left="458"/>
              <w:jc w:val="both"/>
            </w:pPr>
            <w:r>
              <w:t xml:space="preserve">States </w:t>
            </w:r>
            <w:r w:rsidR="00896898">
              <w:t xml:space="preserve">Parties </w:t>
            </w:r>
            <w:r>
              <w:t>planning to extend existing multinational nominations are encouraged to announce their intentions, in the sense of Decision</w:t>
            </w:r>
            <w:r w:rsidR="003760DF">
              <w:t> </w:t>
            </w:r>
            <w:hyperlink r:id="rId26" w:history="1">
              <w:r w:rsidRPr="005622C5">
                <w:rPr>
                  <w:rStyle w:val="Hyperlink"/>
                </w:rPr>
                <w:t>7.COM 14</w:t>
              </w:r>
            </w:hyperlink>
            <w:r>
              <w:t>, ahead of time through the webpage of the 2003 Convention, using the dedicated online form</w:t>
            </w:r>
            <w:r w:rsidR="00896898">
              <w:t>. T</w:t>
            </w:r>
            <w:r>
              <w:t>his would provide opportunities for other States</w:t>
            </w:r>
            <w:r w:rsidR="00896898">
              <w:t xml:space="preserve"> Parties</w:t>
            </w:r>
            <w:r>
              <w:t xml:space="preserve"> to </w:t>
            </w:r>
            <w:r w:rsidR="00896898">
              <w:t xml:space="preserve">be informed of </w:t>
            </w:r>
            <w:r>
              <w:t xml:space="preserve">and join in the initiative </w:t>
            </w:r>
            <w:r w:rsidR="00896898">
              <w:t>and thus</w:t>
            </w:r>
            <w:r>
              <w:t xml:space="preserve"> reduce the number of times that the same nomination is extended.</w:t>
            </w:r>
          </w:p>
          <w:p w14:paraId="2990AE2A" w14:textId="17CCD35F" w:rsidR="00CF0CCE" w:rsidRDefault="005622C5" w:rsidP="006175B5">
            <w:pPr>
              <w:pStyle w:val="1GAPara"/>
              <w:numPr>
                <w:ilvl w:val="0"/>
                <w:numId w:val="5"/>
              </w:numPr>
              <w:ind w:left="458"/>
              <w:jc w:val="both"/>
            </w:pPr>
            <w:r>
              <w:t>If requested by the State(s) Party(</w:t>
            </w:r>
            <w:proofErr w:type="spellStart"/>
            <w:r>
              <w:t>ies</w:t>
            </w:r>
            <w:proofErr w:type="spellEnd"/>
            <w:r>
              <w:t>) and the community(</w:t>
            </w:r>
            <w:proofErr w:type="spellStart"/>
            <w:r>
              <w:t>ies</w:t>
            </w:r>
            <w:proofErr w:type="spellEnd"/>
            <w:r>
              <w:t>) concerned, expert advice may be sought prior to the possible submission of a request for inscription on an extended or reduced basis.</w:t>
            </w:r>
          </w:p>
        </w:tc>
      </w:tr>
      <w:tr w:rsidR="00555BE4" w14:paraId="53259EF1" w14:textId="77777777" w:rsidTr="006175B5">
        <w:trPr>
          <w:trHeight w:val="928"/>
        </w:trPr>
        <w:tc>
          <w:tcPr>
            <w:tcW w:w="1129" w:type="dxa"/>
            <w:vMerge/>
          </w:tcPr>
          <w:p w14:paraId="6207D4E1" w14:textId="77777777" w:rsidR="00555BE4" w:rsidRPr="0012313A" w:rsidRDefault="00555BE4">
            <w:pPr>
              <w:pStyle w:val="1GAPara"/>
              <w:keepNext/>
              <w:numPr>
                <w:ilvl w:val="0"/>
                <w:numId w:val="0"/>
              </w:numPr>
              <w:rPr>
                <w:b/>
                <w:bCs/>
              </w:rPr>
            </w:pPr>
          </w:p>
        </w:tc>
        <w:tc>
          <w:tcPr>
            <w:tcW w:w="7932" w:type="dxa"/>
            <w:shd w:val="clear" w:color="auto" w:fill="F2F2F2" w:themeFill="background1" w:themeFillShade="F2"/>
          </w:tcPr>
          <w:p w14:paraId="197A0427" w14:textId="6CD3F627" w:rsidR="00555BE4" w:rsidRPr="006175B5" w:rsidRDefault="00555BE4" w:rsidP="00555BE4">
            <w:pPr>
              <w:pStyle w:val="1GAPara"/>
              <w:numPr>
                <w:ilvl w:val="0"/>
                <w:numId w:val="0"/>
              </w:numPr>
              <w:rPr>
                <w:sz w:val="16"/>
                <w:szCs w:val="16"/>
              </w:rPr>
            </w:pPr>
            <w:r w:rsidRPr="006175B5">
              <w:rPr>
                <w:sz w:val="16"/>
                <w:szCs w:val="16"/>
              </w:rPr>
              <w:t>Cost implications (overall costs will depend on the number of requests)</w:t>
            </w:r>
            <w:r w:rsidR="00896898">
              <w:rPr>
                <w:sz w:val="16"/>
                <w:szCs w:val="16"/>
              </w:rPr>
              <w:t>:</w:t>
            </w:r>
          </w:p>
          <w:p w14:paraId="318DEB9F" w14:textId="409A8692" w:rsidR="00555BE4" w:rsidRPr="006175B5" w:rsidRDefault="00555BE4" w:rsidP="006175B5">
            <w:pPr>
              <w:pStyle w:val="1GAPara"/>
              <w:numPr>
                <w:ilvl w:val="0"/>
                <w:numId w:val="48"/>
              </w:numPr>
              <w:spacing w:after="60"/>
              <w:rPr>
                <w:sz w:val="16"/>
                <w:szCs w:val="16"/>
              </w:rPr>
            </w:pPr>
            <w:r w:rsidRPr="006175B5">
              <w:rPr>
                <w:sz w:val="16"/>
                <w:szCs w:val="16"/>
              </w:rPr>
              <w:t>Additional Secretariat time required for:</w:t>
            </w:r>
          </w:p>
          <w:p w14:paraId="64A108D1" w14:textId="465E4DAD" w:rsidR="00555BE4" w:rsidRPr="00555BE4" w:rsidRDefault="00896898" w:rsidP="006175B5">
            <w:pPr>
              <w:pStyle w:val="1GAPara"/>
              <w:numPr>
                <w:ilvl w:val="1"/>
                <w:numId w:val="48"/>
              </w:numPr>
              <w:spacing w:after="60"/>
              <w:ind w:left="742" w:hanging="284"/>
              <w:rPr>
                <w:sz w:val="16"/>
                <w:szCs w:val="16"/>
              </w:rPr>
            </w:pPr>
            <w:r>
              <w:rPr>
                <w:sz w:val="16"/>
                <w:szCs w:val="16"/>
              </w:rPr>
              <w:t>P</w:t>
            </w:r>
            <w:r w:rsidR="00555BE4" w:rsidRPr="00555BE4">
              <w:rPr>
                <w:sz w:val="16"/>
                <w:szCs w:val="16"/>
              </w:rPr>
              <w:t>rocessing, regist</w:t>
            </w:r>
            <w:r>
              <w:rPr>
                <w:sz w:val="16"/>
                <w:szCs w:val="16"/>
              </w:rPr>
              <w:t>ration</w:t>
            </w:r>
            <w:r w:rsidR="00555BE4" w:rsidRPr="00555BE4">
              <w:rPr>
                <w:sz w:val="16"/>
                <w:szCs w:val="16"/>
              </w:rPr>
              <w:t xml:space="preserve"> and prepa</w:t>
            </w:r>
            <w:r w:rsidR="005D628E">
              <w:rPr>
                <w:sz w:val="16"/>
                <w:szCs w:val="16"/>
              </w:rPr>
              <w:t>ra</w:t>
            </w:r>
            <w:r>
              <w:rPr>
                <w:sz w:val="16"/>
                <w:szCs w:val="16"/>
              </w:rPr>
              <w:t>tion of</w:t>
            </w:r>
            <w:r w:rsidR="00555BE4" w:rsidRPr="00555BE4">
              <w:rPr>
                <w:sz w:val="16"/>
                <w:szCs w:val="16"/>
              </w:rPr>
              <w:t xml:space="preserve"> letters and communication</w:t>
            </w:r>
            <w:r w:rsidR="005D628E">
              <w:rPr>
                <w:sz w:val="16"/>
                <w:szCs w:val="16"/>
              </w:rPr>
              <w:t xml:space="preserve"> to and</w:t>
            </w:r>
            <w:r w:rsidR="00555BE4" w:rsidRPr="00555BE4">
              <w:rPr>
                <w:sz w:val="16"/>
                <w:szCs w:val="16"/>
              </w:rPr>
              <w:t xml:space="preserve"> from States Parties </w:t>
            </w:r>
          </w:p>
          <w:p w14:paraId="10DC2454" w14:textId="2AD6BC77" w:rsidR="00555BE4" w:rsidRPr="00555BE4" w:rsidRDefault="00896898" w:rsidP="006175B5">
            <w:pPr>
              <w:pStyle w:val="1GAPara"/>
              <w:numPr>
                <w:ilvl w:val="1"/>
                <w:numId w:val="48"/>
              </w:numPr>
              <w:spacing w:after="60"/>
              <w:ind w:left="742" w:hanging="284"/>
              <w:rPr>
                <w:sz w:val="16"/>
                <w:szCs w:val="16"/>
              </w:rPr>
            </w:pPr>
            <w:r>
              <w:rPr>
                <w:sz w:val="16"/>
                <w:szCs w:val="16"/>
              </w:rPr>
              <w:t>I</w:t>
            </w:r>
            <w:r w:rsidR="00555BE4" w:rsidRPr="00555BE4">
              <w:rPr>
                <w:sz w:val="16"/>
                <w:szCs w:val="16"/>
              </w:rPr>
              <w:t>dentification of experts, contract establishment and follow-up</w:t>
            </w:r>
          </w:p>
          <w:p w14:paraId="3593AC07" w14:textId="12E06E0F" w:rsidR="00555BE4" w:rsidRPr="006175B5" w:rsidRDefault="00555BE4" w:rsidP="006175B5">
            <w:pPr>
              <w:pStyle w:val="1GAPara"/>
              <w:numPr>
                <w:ilvl w:val="0"/>
                <w:numId w:val="48"/>
              </w:numPr>
              <w:spacing w:after="60"/>
              <w:rPr>
                <w:sz w:val="16"/>
                <w:szCs w:val="16"/>
              </w:rPr>
            </w:pPr>
            <w:r w:rsidRPr="006175B5">
              <w:rPr>
                <w:sz w:val="16"/>
                <w:szCs w:val="16"/>
              </w:rPr>
              <w:t xml:space="preserve">Additional resources </w:t>
            </w:r>
            <w:r w:rsidR="00A510DB">
              <w:rPr>
                <w:sz w:val="16"/>
                <w:szCs w:val="16"/>
              </w:rPr>
              <w:t>(</w:t>
            </w:r>
            <w:r w:rsidRPr="006175B5">
              <w:rPr>
                <w:sz w:val="16"/>
                <w:szCs w:val="16"/>
              </w:rPr>
              <w:t>from the Intangible Cultural Heritage Fund</w:t>
            </w:r>
            <w:r w:rsidR="00A510DB">
              <w:rPr>
                <w:sz w:val="16"/>
                <w:szCs w:val="16"/>
              </w:rPr>
              <w:t>)</w:t>
            </w:r>
            <w:r w:rsidRPr="006175B5">
              <w:rPr>
                <w:sz w:val="16"/>
                <w:szCs w:val="16"/>
              </w:rPr>
              <w:t xml:space="preserve"> for:</w:t>
            </w:r>
          </w:p>
          <w:p w14:paraId="617EA8FB" w14:textId="0B08FA2D" w:rsidR="00555BE4" w:rsidRPr="006175B5" w:rsidDel="005622C5" w:rsidRDefault="00896898" w:rsidP="006175B5">
            <w:pPr>
              <w:pStyle w:val="1GAPara"/>
              <w:numPr>
                <w:ilvl w:val="1"/>
                <w:numId w:val="48"/>
              </w:numPr>
              <w:spacing w:after="60"/>
              <w:ind w:left="742" w:hanging="284"/>
              <w:rPr>
                <w:sz w:val="16"/>
                <w:szCs w:val="16"/>
              </w:rPr>
            </w:pPr>
            <w:r>
              <w:rPr>
                <w:sz w:val="16"/>
                <w:szCs w:val="16"/>
              </w:rPr>
              <w:t>E</w:t>
            </w:r>
            <w:r w:rsidR="00555BE4" w:rsidRPr="006175B5">
              <w:rPr>
                <w:sz w:val="16"/>
                <w:szCs w:val="16"/>
              </w:rPr>
              <w:t>xpert advisory services</w:t>
            </w:r>
          </w:p>
        </w:tc>
      </w:tr>
      <w:tr w:rsidR="00040107" w14:paraId="46D6F958" w14:textId="77777777" w:rsidTr="00873D40">
        <w:tc>
          <w:tcPr>
            <w:tcW w:w="1129" w:type="dxa"/>
          </w:tcPr>
          <w:p w14:paraId="6263AF2A" w14:textId="1E319D14" w:rsidR="00040107" w:rsidRPr="0012313A" w:rsidRDefault="00040107">
            <w:pPr>
              <w:pStyle w:val="1GAPara"/>
              <w:numPr>
                <w:ilvl w:val="0"/>
                <w:numId w:val="0"/>
              </w:numPr>
              <w:rPr>
                <w:b/>
                <w:bCs/>
              </w:rPr>
            </w:pPr>
            <w:r w:rsidRPr="0012313A">
              <w:rPr>
                <w:b/>
                <w:bCs/>
              </w:rPr>
              <w:t xml:space="preserve">Step </w:t>
            </w:r>
            <w:proofErr w:type="gramStart"/>
            <w:r w:rsidR="001A6F43">
              <w:rPr>
                <w:b/>
                <w:bCs/>
              </w:rPr>
              <w:t>1</w:t>
            </w:r>
            <w:r>
              <w:rPr>
                <w:b/>
                <w:bCs/>
              </w:rPr>
              <w:t>.a</w:t>
            </w:r>
            <w:proofErr w:type="gramEnd"/>
          </w:p>
        </w:tc>
        <w:tc>
          <w:tcPr>
            <w:tcW w:w="7932" w:type="dxa"/>
          </w:tcPr>
          <w:p w14:paraId="2543D3F9" w14:textId="727234C3" w:rsidR="00040107" w:rsidRPr="008447AC" w:rsidRDefault="00040107">
            <w:pPr>
              <w:pStyle w:val="1GAPara"/>
              <w:numPr>
                <w:ilvl w:val="0"/>
                <w:numId w:val="0"/>
              </w:numPr>
              <w:rPr>
                <w:b/>
                <w:bCs/>
              </w:rPr>
            </w:pPr>
            <w:r w:rsidRPr="008447AC">
              <w:rPr>
                <w:b/>
                <w:bCs/>
              </w:rPr>
              <w:t>Preparation</w:t>
            </w:r>
            <w:r>
              <w:rPr>
                <w:b/>
                <w:bCs/>
              </w:rPr>
              <w:t xml:space="preserve">: </w:t>
            </w:r>
            <w:r w:rsidR="00896898">
              <w:rPr>
                <w:b/>
                <w:bCs/>
              </w:rPr>
              <w:t>E</w:t>
            </w:r>
            <w:r>
              <w:rPr>
                <w:b/>
                <w:bCs/>
              </w:rPr>
              <w:t xml:space="preserve">xtension </w:t>
            </w:r>
            <w:r w:rsidR="00FB5938">
              <w:rPr>
                <w:b/>
                <w:bCs/>
              </w:rPr>
              <w:t>of multinational files to communities in other States</w:t>
            </w:r>
          </w:p>
          <w:p w14:paraId="3627B8A5" w14:textId="0B664DD7" w:rsidR="00040107" w:rsidRDefault="0064641E" w:rsidP="006175B5">
            <w:pPr>
              <w:pStyle w:val="1GAPara"/>
              <w:numPr>
                <w:ilvl w:val="0"/>
                <w:numId w:val="5"/>
              </w:numPr>
              <w:ind w:left="458"/>
              <w:jc w:val="both"/>
            </w:pPr>
            <w:r>
              <w:t>T</w:t>
            </w:r>
            <w:r w:rsidR="00040107" w:rsidRPr="008447AC">
              <w:t>he</w:t>
            </w:r>
            <w:r w:rsidR="00DA4E86">
              <w:t xml:space="preserve"> original lead</w:t>
            </w:r>
            <w:r w:rsidR="00040107" w:rsidRPr="008447AC">
              <w:t xml:space="preserve"> </w:t>
            </w:r>
            <w:r w:rsidR="00040107" w:rsidRPr="00154A6C">
              <w:t>State Party</w:t>
            </w:r>
            <w:r>
              <w:t xml:space="preserve"> initiates the process to the Secretariat</w:t>
            </w:r>
            <w:r w:rsidR="00040107">
              <w:t>.</w:t>
            </w:r>
          </w:p>
          <w:p w14:paraId="2CE36CD5" w14:textId="0D951904" w:rsidR="00040107" w:rsidRDefault="00040107" w:rsidP="006175B5">
            <w:pPr>
              <w:pStyle w:val="1GAPara"/>
              <w:numPr>
                <w:ilvl w:val="0"/>
                <w:numId w:val="5"/>
              </w:numPr>
              <w:ind w:left="458"/>
              <w:jc w:val="both"/>
            </w:pPr>
            <w:r>
              <w:t>Newly joining State(s) Party(</w:t>
            </w:r>
            <w:proofErr w:type="spellStart"/>
            <w:r>
              <w:t>ies</w:t>
            </w:r>
            <w:proofErr w:type="spellEnd"/>
            <w:r>
              <w:t xml:space="preserve">) </w:t>
            </w:r>
            <w:r w:rsidR="00DA4E86">
              <w:t>is/</w:t>
            </w:r>
            <w:r>
              <w:t xml:space="preserve">are required to demonstrate that </w:t>
            </w:r>
            <w:r w:rsidR="00DA4E86">
              <w:t>its/</w:t>
            </w:r>
            <w:r w:rsidR="00EF07D4">
              <w:t xml:space="preserve">their </w:t>
            </w:r>
            <w:r w:rsidR="00EC751C">
              <w:t xml:space="preserve">inclusion </w:t>
            </w:r>
            <w:r w:rsidR="00EF07D4">
              <w:t>in the</w:t>
            </w:r>
            <w:r>
              <w:t xml:space="preserve"> extension satisfies </w:t>
            </w:r>
            <w:proofErr w:type="gramStart"/>
            <w:r>
              <w:t>all of</w:t>
            </w:r>
            <w:proofErr w:type="gramEnd"/>
            <w:r>
              <w:t xml:space="preserve"> the required criteria for inscription.</w:t>
            </w:r>
          </w:p>
          <w:p w14:paraId="55089F60" w14:textId="6E87320E" w:rsidR="00EF07D4" w:rsidRDefault="00EF07D4" w:rsidP="006175B5">
            <w:pPr>
              <w:pStyle w:val="1GAPara"/>
              <w:numPr>
                <w:ilvl w:val="0"/>
                <w:numId w:val="5"/>
              </w:numPr>
              <w:ind w:left="458"/>
              <w:jc w:val="both"/>
            </w:pPr>
            <w:r>
              <w:t>The State(s) Party(</w:t>
            </w:r>
            <w:proofErr w:type="spellStart"/>
            <w:r>
              <w:t>ies</w:t>
            </w:r>
            <w:proofErr w:type="spellEnd"/>
            <w:r>
              <w:t>) included in the original</w:t>
            </w:r>
            <w:r w:rsidR="00EC751C">
              <w:t xml:space="preserve"> inscription</w:t>
            </w:r>
            <w:r w:rsidR="0084122D">
              <w:t xml:space="preserve"> and any subsequent extension(s)</w:t>
            </w:r>
            <w:r>
              <w:t xml:space="preserve"> shall demonstrate that </w:t>
            </w:r>
            <w:r w:rsidR="0084122D">
              <w:t xml:space="preserve">the same </w:t>
            </w:r>
            <w:r>
              <w:t>community(</w:t>
            </w:r>
            <w:proofErr w:type="spellStart"/>
            <w:r>
              <w:t>ies</w:t>
            </w:r>
            <w:proofErr w:type="spellEnd"/>
            <w:r>
              <w:t xml:space="preserve">) that gave their consent for the submission of the original </w:t>
            </w:r>
            <w:r w:rsidR="0084122D">
              <w:t>nomination and subsequent</w:t>
            </w:r>
            <w:r>
              <w:t xml:space="preserve"> </w:t>
            </w:r>
            <w:r w:rsidR="0084122D">
              <w:t>extensions</w:t>
            </w:r>
            <w:r>
              <w:t xml:space="preserve"> agree with the proposed extension and that the communities concerned are willing to participate in already approved and newly proposed (if any) safeguarding</w:t>
            </w:r>
            <w:r w:rsidR="00CC51F5">
              <w:t xml:space="preserve"> measures</w:t>
            </w:r>
            <w:r>
              <w:t xml:space="preserve"> with the newly joining communities and authorities (in the sense of </w:t>
            </w:r>
            <w:r w:rsidR="00781B52" w:rsidRPr="003760DF">
              <w:t>Decision </w:t>
            </w:r>
            <w:hyperlink r:id="rId27" w:history="1">
              <w:r w:rsidR="00781B52" w:rsidRPr="00B07E63">
                <w:rPr>
                  <w:rStyle w:val="Hyperlink"/>
                </w:rPr>
                <w:t>10.COM</w:t>
              </w:r>
              <w:r w:rsidR="00781B52" w:rsidRPr="00781B52">
                <w:rPr>
                  <w:rStyle w:val="Hyperlink"/>
                </w:rPr>
                <w:t> </w:t>
              </w:r>
              <w:r w:rsidR="00781B52" w:rsidRPr="00B07E63">
                <w:rPr>
                  <w:rStyle w:val="Hyperlink"/>
                </w:rPr>
                <w:t>10</w:t>
              </w:r>
            </w:hyperlink>
            <w:r>
              <w:t>, paragraph 15).</w:t>
            </w:r>
          </w:p>
        </w:tc>
      </w:tr>
      <w:tr w:rsidR="00040107" w14:paraId="050F2DC1" w14:textId="77777777" w:rsidTr="00873D40">
        <w:tc>
          <w:tcPr>
            <w:tcW w:w="1129" w:type="dxa"/>
          </w:tcPr>
          <w:p w14:paraId="40288C25" w14:textId="40C98FCB" w:rsidR="00040107" w:rsidRPr="0012313A" w:rsidRDefault="00040107">
            <w:pPr>
              <w:pStyle w:val="1GAPara"/>
              <w:numPr>
                <w:ilvl w:val="0"/>
                <w:numId w:val="0"/>
              </w:numPr>
              <w:rPr>
                <w:b/>
                <w:bCs/>
              </w:rPr>
            </w:pPr>
            <w:r w:rsidRPr="0012313A">
              <w:rPr>
                <w:b/>
                <w:bCs/>
              </w:rPr>
              <w:lastRenderedPageBreak/>
              <w:t xml:space="preserve">Step </w:t>
            </w:r>
            <w:proofErr w:type="gramStart"/>
            <w:r w:rsidR="001A6F43">
              <w:rPr>
                <w:b/>
                <w:bCs/>
              </w:rPr>
              <w:t>1</w:t>
            </w:r>
            <w:r>
              <w:rPr>
                <w:b/>
                <w:bCs/>
              </w:rPr>
              <w:t>.b</w:t>
            </w:r>
            <w:proofErr w:type="gramEnd"/>
          </w:p>
        </w:tc>
        <w:tc>
          <w:tcPr>
            <w:tcW w:w="7932" w:type="dxa"/>
          </w:tcPr>
          <w:p w14:paraId="6E9545D9" w14:textId="125F7B5B" w:rsidR="00040107" w:rsidRPr="008447AC" w:rsidRDefault="00040107">
            <w:pPr>
              <w:pStyle w:val="1GAPara"/>
              <w:keepNext/>
              <w:numPr>
                <w:ilvl w:val="0"/>
                <w:numId w:val="0"/>
              </w:numPr>
              <w:rPr>
                <w:b/>
                <w:bCs/>
              </w:rPr>
            </w:pPr>
            <w:r w:rsidRPr="008447AC">
              <w:rPr>
                <w:b/>
                <w:bCs/>
              </w:rPr>
              <w:t>Preparation</w:t>
            </w:r>
            <w:r>
              <w:rPr>
                <w:b/>
                <w:bCs/>
              </w:rPr>
              <w:t xml:space="preserve">: </w:t>
            </w:r>
            <w:r w:rsidR="00896898">
              <w:rPr>
                <w:b/>
                <w:bCs/>
              </w:rPr>
              <w:t>E</w:t>
            </w:r>
            <w:r>
              <w:rPr>
                <w:b/>
                <w:bCs/>
              </w:rPr>
              <w:t xml:space="preserve">xtension </w:t>
            </w:r>
            <w:r w:rsidR="00FB5938">
              <w:rPr>
                <w:b/>
                <w:bCs/>
              </w:rPr>
              <w:t>of national files</w:t>
            </w:r>
            <w:r w:rsidR="00FB5938">
              <w:t xml:space="preserve"> </w:t>
            </w:r>
            <w:r w:rsidR="00FB5938" w:rsidRPr="00FB5938">
              <w:rPr>
                <w:b/>
                <w:bCs/>
              </w:rPr>
              <w:t xml:space="preserve">to </w:t>
            </w:r>
            <w:r w:rsidR="00FB5938">
              <w:rPr>
                <w:b/>
                <w:bCs/>
              </w:rPr>
              <w:t xml:space="preserve">other </w:t>
            </w:r>
            <w:r w:rsidR="00FB5938" w:rsidRPr="00FB5938">
              <w:rPr>
                <w:b/>
                <w:bCs/>
              </w:rPr>
              <w:t xml:space="preserve">communities </w:t>
            </w:r>
            <w:r w:rsidR="00FB5938">
              <w:rPr>
                <w:b/>
                <w:bCs/>
              </w:rPr>
              <w:t>within the submitting State</w:t>
            </w:r>
          </w:p>
          <w:p w14:paraId="6FA590F0" w14:textId="740C1052" w:rsidR="00040107" w:rsidRDefault="0064641E" w:rsidP="006175B5">
            <w:pPr>
              <w:pStyle w:val="1GAPara"/>
              <w:keepNext/>
              <w:numPr>
                <w:ilvl w:val="0"/>
                <w:numId w:val="5"/>
              </w:numPr>
              <w:ind w:left="458"/>
            </w:pPr>
            <w:r>
              <w:t>T</w:t>
            </w:r>
            <w:r w:rsidR="00040107" w:rsidRPr="008447AC">
              <w:t xml:space="preserve">he process </w:t>
            </w:r>
            <w:r>
              <w:t xml:space="preserve">is initiated </w:t>
            </w:r>
            <w:r w:rsidR="00040107" w:rsidRPr="008447AC">
              <w:t xml:space="preserve">by the </w:t>
            </w:r>
            <w:r w:rsidR="00040107" w:rsidRPr="00154A6C">
              <w:t>State Party in</w:t>
            </w:r>
            <w:r w:rsidR="00040107">
              <w:t xml:space="preserve"> consultation with </w:t>
            </w:r>
            <w:r w:rsidR="00040107" w:rsidRPr="008447AC">
              <w:t>the communities concerned</w:t>
            </w:r>
            <w:r>
              <w:t>,</w:t>
            </w:r>
            <w:r w:rsidR="00EF07D4">
              <w:t xml:space="preserve"> or by the communities in cooperation with the appropriate authorities</w:t>
            </w:r>
            <w:r w:rsidR="00040107">
              <w:t>.</w:t>
            </w:r>
          </w:p>
          <w:p w14:paraId="3DB631D0" w14:textId="24F34402" w:rsidR="00040107" w:rsidRDefault="00040107" w:rsidP="006175B5">
            <w:pPr>
              <w:pStyle w:val="1GAPara"/>
              <w:numPr>
                <w:ilvl w:val="0"/>
                <w:numId w:val="5"/>
              </w:numPr>
              <w:ind w:left="458"/>
            </w:pPr>
            <w:r>
              <w:t xml:space="preserve">The State Party concerned is required to demonstrate that the addition of newly joining communities in its territory satisfies </w:t>
            </w:r>
            <w:proofErr w:type="gramStart"/>
            <w:r>
              <w:t>all of</w:t>
            </w:r>
            <w:proofErr w:type="gramEnd"/>
            <w:r>
              <w:t xml:space="preserve"> the required criteria for inscription.</w:t>
            </w:r>
          </w:p>
          <w:p w14:paraId="11A1BE53" w14:textId="2384D82C" w:rsidR="00040107" w:rsidRPr="00C33314" w:rsidRDefault="00C33314" w:rsidP="006175B5">
            <w:pPr>
              <w:pStyle w:val="1GAPara"/>
              <w:numPr>
                <w:ilvl w:val="0"/>
                <w:numId w:val="5"/>
              </w:numPr>
              <w:ind w:left="458"/>
            </w:pPr>
            <w:r>
              <w:t>The State Party concerned shall also demonstrate that the</w:t>
            </w:r>
            <w:r w:rsidR="0084122D">
              <w:t xml:space="preserve"> same</w:t>
            </w:r>
            <w:r>
              <w:t xml:space="preserve"> </w:t>
            </w:r>
            <w:r w:rsidR="00A22B5B">
              <w:t>communities that carried the original nomination give their consent to the extension of the element and that they agree to safeguard the element with the</w:t>
            </w:r>
            <w:r>
              <w:t xml:space="preserve"> newly joining communities.</w:t>
            </w:r>
          </w:p>
        </w:tc>
      </w:tr>
      <w:tr w:rsidR="0048218A" w:rsidRPr="00C5154D" w14:paraId="25E3F427" w14:textId="77777777" w:rsidTr="00476377">
        <w:trPr>
          <w:trHeight w:val="1196"/>
        </w:trPr>
        <w:tc>
          <w:tcPr>
            <w:tcW w:w="1129" w:type="dxa"/>
            <w:vMerge w:val="restart"/>
          </w:tcPr>
          <w:p w14:paraId="0B50BB25" w14:textId="242575F1" w:rsidR="0048218A" w:rsidRPr="0012313A" w:rsidRDefault="0048218A" w:rsidP="00476377">
            <w:pPr>
              <w:pStyle w:val="1GAPara"/>
              <w:numPr>
                <w:ilvl w:val="0"/>
                <w:numId w:val="0"/>
              </w:numPr>
              <w:rPr>
                <w:b/>
                <w:bCs/>
              </w:rPr>
            </w:pPr>
            <w:r>
              <w:rPr>
                <w:b/>
                <w:bCs/>
              </w:rPr>
              <w:t>Step 2</w:t>
            </w:r>
          </w:p>
        </w:tc>
        <w:tc>
          <w:tcPr>
            <w:tcW w:w="7932" w:type="dxa"/>
          </w:tcPr>
          <w:p w14:paraId="414EDCE6" w14:textId="77777777" w:rsidR="0048218A" w:rsidRDefault="0048218A" w:rsidP="0048218A">
            <w:pPr>
              <w:pStyle w:val="1GAPara"/>
              <w:keepNext/>
              <w:numPr>
                <w:ilvl w:val="0"/>
                <w:numId w:val="0"/>
              </w:numPr>
              <w:rPr>
                <w:b/>
                <w:bCs/>
              </w:rPr>
            </w:pPr>
            <w:r>
              <w:rPr>
                <w:b/>
                <w:bCs/>
              </w:rPr>
              <w:t xml:space="preserve">Evaluation and Examination </w:t>
            </w:r>
          </w:p>
          <w:p w14:paraId="3328236E" w14:textId="3A65C27D" w:rsidR="0048218A" w:rsidRDefault="0048218A" w:rsidP="00476377">
            <w:pPr>
              <w:pStyle w:val="1GAPara"/>
              <w:keepNext/>
              <w:numPr>
                <w:ilvl w:val="0"/>
                <w:numId w:val="0"/>
              </w:numPr>
              <w:rPr>
                <w:b/>
                <w:bCs/>
              </w:rPr>
            </w:pPr>
            <w:r>
              <w:t>The nomination is evaluated by the Evaluation Body and examined by the Committee following the regular</w:t>
            </w:r>
            <w:r w:rsidRPr="00F743EF">
              <w:t xml:space="preserve"> evaluation </w:t>
            </w:r>
            <w:r w:rsidR="008F5867">
              <w:t>procedure and timetable</w:t>
            </w:r>
            <w:r>
              <w:t xml:space="preserve"> described in paragraph 54 of the Operational Directives.</w:t>
            </w:r>
          </w:p>
        </w:tc>
      </w:tr>
      <w:tr w:rsidR="0048218A" w:rsidRPr="00C5154D" w14:paraId="6EF95447" w14:textId="77777777" w:rsidTr="004A3248">
        <w:trPr>
          <w:trHeight w:val="364"/>
        </w:trPr>
        <w:tc>
          <w:tcPr>
            <w:tcW w:w="1129" w:type="dxa"/>
            <w:vMerge/>
          </w:tcPr>
          <w:p w14:paraId="3F9AEEE8" w14:textId="77777777" w:rsidR="0048218A" w:rsidRDefault="0048218A" w:rsidP="00476377">
            <w:pPr>
              <w:pStyle w:val="1GAPara"/>
              <w:numPr>
                <w:ilvl w:val="0"/>
                <w:numId w:val="0"/>
              </w:numPr>
              <w:rPr>
                <w:b/>
                <w:bCs/>
              </w:rPr>
            </w:pPr>
          </w:p>
        </w:tc>
        <w:tc>
          <w:tcPr>
            <w:tcW w:w="7932" w:type="dxa"/>
            <w:shd w:val="clear" w:color="auto" w:fill="F2F2F2" w:themeFill="background1" w:themeFillShade="F2"/>
          </w:tcPr>
          <w:p w14:paraId="679D7D6C" w14:textId="0DDB17D2" w:rsidR="0048218A" w:rsidRPr="006175B5" w:rsidRDefault="0048218A" w:rsidP="00ED3293">
            <w:pPr>
              <w:pStyle w:val="1GAPara"/>
              <w:keepNext/>
              <w:numPr>
                <w:ilvl w:val="0"/>
                <w:numId w:val="0"/>
              </w:numPr>
              <w:spacing w:after="60"/>
              <w:rPr>
                <w:sz w:val="16"/>
                <w:szCs w:val="16"/>
              </w:rPr>
            </w:pPr>
            <w:r w:rsidRPr="006175B5">
              <w:rPr>
                <w:sz w:val="16"/>
                <w:szCs w:val="16"/>
              </w:rPr>
              <w:t xml:space="preserve">Cost implications </w:t>
            </w:r>
            <w:r w:rsidR="00511ED4" w:rsidRPr="006175B5">
              <w:rPr>
                <w:sz w:val="16"/>
                <w:szCs w:val="16"/>
              </w:rPr>
              <w:t>(additional costs will be incurred only if extensions are not treated as part of paragraph 34 of the Operational Directives)</w:t>
            </w:r>
            <w:r w:rsidR="007A308E">
              <w:rPr>
                <w:sz w:val="16"/>
                <w:szCs w:val="16"/>
              </w:rPr>
              <w:t>:</w:t>
            </w:r>
          </w:p>
          <w:p w14:paraId="5E091108" w14:textId="72402A44" w:rsidR="001D403E" w:rsidRPr="006175B5" w:rsidRDefault="001D403E" w:rsidP="00D311ED">
            <w:pPr>
              <w:pStyle w:val="1GAPara"/>
              <w:numPr>
                <w:ilvl w:val="0"/>
                <w:numId w:val="48"/>
              </w:numPr>
              <w:spacing w:after="60"/>
              <w:rPr>
                <w:i/>
                <w:iCs/>
                <w:sz w:val="16"/>
                <w:szCs w:val="16"/>
              </w:rPr>
            </w:pPr>
            <w:r w:rsidRPr="006175B5">
              <w:rPr>
                <w:sz w:val="16"/>
                <w:szCs w:val="16"/>
              </w:rPr>
              <w:t xml:space="preserve">Additional </w:t>
            </w:r>
            <w:r w:rsidR="00EB23AF" w:rsidRPr="006175B5">
              <w:rPr>
                <w:sz w:val="16"/>
                <w:szCs w:val="16"/>
              </w:rPr>
              <w:t>Secretariat time required</w:t>
            </w:r>
            <w:r w:rsidRPr="006175B5">
              <w:rPr>
                <w:sz w:val="16"/>
                <w:szCs w:val="16"/>
              </w:rPr>
              <w:t xml:space="preserve"> for: </w:t>
            </w:r>
          </w:p>
          <w:p w14:paraId="754DC091" w14:textId="292D9AD9" w:rsidR="00EC0AB3" w:rsidRPr="006175B5" w:rsidRDefault="0064641E" w:rsidP="00D311ED">
            <w:pPr>
              <w:pStyle w:val="1GAPara"/>
              <w:numPr>
                <w:ilvl w:val="1"/>
                <w:numId w:val="48"/>
              </w:numPr>
              <w:spacing w:after="60"/>
              <w:rPr>
                <w:sz w:val="16"/>
                <w:szCs w:val="16"/>
              </w:rPr>
            </w:pPr>
            <w:r>
              <w:rPr>
                <w:sz w:val="16"/>
                <w:szCs w:val="16"/>
              </w:rPr>
              <w:t>T</w:t>
            </w:r>
            <w:r w:rsidR="00EC0AB3" w:rsidRPr="006175B5">
              <w:rPr>
                <w:sz w:val="16"/>
                <w:szCs w:val="16"/>
              </w:rPr>
              <w:t>reat</w:t>
            </w:r>
            <w:r w:rsidR="00EB23AF" w:rsidRPr="006175B5">
              <w:rPr>
                <w:sz w:val="16"/>
                <w:szCs w:val="16"/>
              </w:rPr>
              <w:t>ment of additional</w:t>
            </w:r>
            <w:r w:rsidR="00EC0AB3" w:rsidRPr="006175B5">
              <w:rPr>
                <w:sz w:val="16"/>
                <w:szCs w:val="16"/>
              </w:rPr>
              <w:t xml:space="preserve"> files</w:t>
            </w:r>
            <w:r w:rsidR="00EB23AF" w:rsidRPr="006175B5">
              <w:rPr>
                <w:sz w:val="16"/>
                <w:szCs w:val="16"/>
              </w:rPr>
              <w:t xml:space="preserve"> (correspondence, completeness check, etc.)</w:t>
            </w:r>
          </w:p>
          <w:p w14:paraId="11FA9530" w14:textId="559A3C37" w:rsidR="00511ED4" w:rsidRPr="006175B5" w:rsidRDefault="0064641E" w:rsidP="00D311ED">
            <w:pPr>
              <w:pStyle w:val="1GAPara"/>
              <w:numPr>
                <w:ilvl w:val="1"/>
                <w:numId w:val="48"/>
              </w:numPr>
              <w:spacing w:after="60"/>
              <w:rPr>
                <w:sz w:val="16"/>
                <w:szCs w:val="16"/>
              </w:rPr>
            </w:pPr>
            <w:r>
              <w:rPr>
                <w:sz w:val="16"/>
                <w:szCs w:val="16"/>
              </w:rPr>
              <w:t>A</w:t>
            </w:r>
            <w:r w:rsidR="001D403E" w:rsidRPr="006175B5">
              <w:rPr>
                <w:sz w:val="16"/>
                <w:szCs w:val="16"/>
              </w:rPr>
              <w:t>dditional</w:t>
            </w:r>
            <w:r w:rsidR="00E66618" w:rsidRPr="006175B5">
              <w:rPr>
                <w:sz w:val="16"/>
                <w:szCs w:val="16"/>
              </w:rPr>
              <w:t xml:space="preserve"> meeting days</w:t>
            </w:r>
            <w:r w:rsidR="00511ED4" w:rsidRPr="006175B5">
              <w:rPr>
                <w:sz w:val="16"/>
                <w:szCs w:val="16"/>
              </w:rPr>
              <w:t xml:space="preserve"> to reach consensus on a higher number of files</w:t>
            </w:r>
          </w:p>
          <w:p w14:paraId="33B661D8" w14:textId="1904EB77" w:rsidR="00D311ED" w:rsidRPr="006175B5" w:rsidRDefault="0064641E" w:rsidP="00D311ED">
            <w:pPr>
              <w:pStyle w:val="1GAPara"/>
              <w:numPr>
                <w:ilvl w:val="1"/>
                <w:numId w:val="48"/>
              </w:numPr>
              <w:spacing w:after="60"/>
              <w:rPr>
                <w:sz w:val="16"/>
                <w:szCs w:val="16"/>
              </w:rPr>
            </w:pPr>
            <w:r>
              <w:rPr>
                <w:sz w:val="16"/>
                <w:szCs w:val="16"/>
              </w:rPr>
              <w:t>A</w:t>
            </w:r>
            <w:r w:rsidR="00D311ED" w:rsidRPr="006175B5">
              <w:rPr>
                <w:sz w:val="16"/>
                <w:szCs w:val="16"/>
              </w:rPr>
              <w:t>dditional Committee meeting days to examine additional items on the agenda</w:t>
            </w:r>
          </w:p>
          <w:p w14:paraId="76D47D19" w14:textId="6CC9F3C4" w:rsidR="00D311ED" w:rsidRPr="006175B5" w:rsidRDefault="0064641E" w:rsidP="00D311ED">
            <w:pPr>
              <w:pStyle w:val="1GAPara"/>
              <w:numPr>
                <w:ilvl w:val="1"/>
                <w:numId w:val="48"/>
              </w:numPr>
              <w:spacing w:after="60"/>
              <w:rPr>
                <w:sz w:val="16"/>
                <w:szCs w:val="16"/>
              </w:rPr>
            </w:pPr>
            <w:r>
              <w:rPr>
                <w:sz w:val="16"/>
                <w:szCs w:val="16"/>
              </w:rPr>
              <w:t>D</w:t>
            </w:r>
            <w:r w:rsidR="00D311ED" w:rsidRPr="006175B5">
              <w:rPr>
                <w:sz w:val="16"/>
                <w:szCs w:val="16"/>
              </w:rPr>
              <w:t>rafting additional Committee meeting documents</w:t>
            </w:r>
          </w:p>
          <w:p w14:paraId="2E43D0B5" w14:textId="7D02CD1E" w:rsidR="00511ED4" w:rsidRPr="006175B5" w:rsidRDefault="001D403E" w:rsidP="00D311ED">
            <w:pPr>
              <w:pStyle w:val="1GAPara"/>
              <w:numPr>
                <w:ilvl w:val="0"/>
                <w:numId w:val="48"/>
              </w:numPr>
              <w:spacing w:after="60"/>
              <w:rPr>
                <w:sz w:val="16"/>
                <w:szCs w:val="16"/>
              </w:rPr>
            </w:pPr>
            <w:r w:rsidRPr="006175B5">
              <w:rPr>
                <w:sz w:val="16"/>
                <w:szCs w:val="16"/>
              </w:rPr>
              <w:t xml:space="preserve">Additional </w:t>
            </w:r>
            <w:r w:rsidR="00A510DB">
              <w:rPr>
                <w:sz w:val="16"/>
                <w:szCs w:val="16"/>
              </w:rPr>
              <w:t xml:space="preserve">financial </w:t>
            </w:r>
            <w:r w:rsidRPr="006175B5">
              <w:rPr>
                <w:sz w:val="16"/>
                <w:szCs w:val="16"/>
              </w:rPr>
              <w:t>resources for:</w:t>
            </w:r>
          </w:p>
          <w:p w14:paraId="7AAA7715" w14:textId="1A99A79B" w:rsidR="00511ED4" w:rsidRPr="006175B5" w:rsidRDefault="0064641E" w:rsidP="00D311ED">
            <w:pPr>
              <w:pStyle w:val="1GAPara"/>
              <w:numPr>
                <w:ilvl w:val="1"/>
                <w:numId w:val="48"/>
              </w:numPr>
              <w:spacing w:after="60"/>
              <w:rPr>
                <w:sz w:val="16"/>
                <w:szCs w:val="16"/>
              </w:rPr>
            </w:pPr>
            <w:r>
              <w:rPr>
                <w:sz w:val="16"/>
                <w:szCs w:val="16"/>
              </w:rPr>
              <w:t>T</w:t>
            </w:r>
            <w:r w:rsidR="00511ED4" w:rsidRPr="006175B5">
              <w:rPr>
                <w:sz w:val="16"/>
                <w:szCs w:val="16"/>
              </w:rPr>
              <w:t xml:space="preserve">ranslation costs for </w:t>
            </w:r>
            <w:r w:rsidR="001D403E" w:rsidRPr="006175B5">
              <w:rPr>
                <w:sz w:val="16"/>
                <w:szCs w:val="16"/>
              </w:rPr>
              <w:t>additional</w:t>
            </w:r>
            <w:r w:rsidR="00511ED4" w:rsidRPr="006175B5">
              <w:rPr>
                <w:sz w:val="16"/>
                <w:szCs w:val="16"/>
              </w:rPr>
              <w:t xml:space="preserve"> files</w:t>
            </w:r>
          </w:p>
          <w:p w14:paraId="4E7EE00E" w14:textId="13BFB376" w:rsidR="001D403E" w:rsidRPr="006175B5" w:rsidRDefault="0064641E" w:rsidP="00D311ED">
            <w:pPr>
              <w:pStyle w:val="1GAPara"/>
              <w:numPr>
                <w:ilvl w:val="1"/>
                <w:numId w:val="48"/>
              </w:numPr>
              <w:spacing w:after="60"/>
              <w:rPr>
                <w:sz w:val="16"/>
                <w:szCs w:val="16"/>
              </w:rPr>
            </w:pPr>
            <w:r>
              <w:rPr>
                <w:sz w:val="16"/>
                <w:szCs w:val="16"/>
              </w:rPr>
              <w:t>M</w:t>
            </w:r>
            <w:r w:rsidR="001D403E" w:rsidRPr="006175B5">
              <w:rPr>
                <w:sz w:val="16"/>
                <w:szCs w:val="16"/>
              </w:rPr>
              <w:t>eeting organization costs (interpretation, technicians</w:t>
            </w:r>
            <w:r>
              <w:rPr>
                <w:sz w:val="16"/>
                <w:szCs w:val="16"/>
              </w:rPr>
              <w:t>,</w:t>
            </w:r>
            <w:r w:rsidR="001D403E" w:rsidRPr="006175B5">
              <w:rPr>
                <w:sz w:val="16"/>
                <w:szCs w:val="16"/>
              </w:rPr>
              <w:t xml:space="preserve"> etc</w:t>
            </w:r>
            <w:r>
              <w:rPr>
                <w:sz w:val="16"/>
                <w:szCs w:val="16"/>
              </w:rPr>
              <w:t>.</w:t>
            </w:r>
            <w:r w:rsidR="001D403E" w:rsidRPr="006175B5">
              <w:rPr>
                <w:sz w:val="16"/>
                <w:szCs w:val="16"/>
              </w:rPr>
              <w:t xml:space="preserve">) for additional meeting days </w:t>
            </w:r>
          </w:p>
          <w:p w14:paraId="15440F19" w14:textId="3C547AA7" w:rsidR="00D311ED" w:rsidRPr="006175B5" w:rsidRDefault="0064641E" w:rsidP="00D311ED">
            <w:pPr>
              <w:pStyle w:val="1GAPara"/>
              <w:numPr>
                <w:ilvl w:val="1"/>
                <w:numId w:val="48"/>
              </w:numPr>
              <w:spacing w:after="60"/>
              <w:rPr>
                <w:sz w:val="16"/>
                <w:szCs w:val="16"/>
              </w:rPr>
            </w:pPr>
            <w:r>
              <w:rPr>
                <w:sz w:val="16"/>
                <w:szCs w:val="16"/>
              </w:rPr>
              <w:t>T</w:t>
            </w:r>
            <w:r w:rsidR="00D311ED" w:rsidRPr="006175B5">
              <w:rPr>
                <w:sz w:val="16"/>
                <w:szCs w:val="16"/>
              </w:rPr>
              <w:t>ranslation of meeting documents</w:t>
            </w:r>
          </w:p>
          <w:p w14:paraId="5EC94EC1" w14:textId="6B2B1E72" w:rsidR="00E66618" w:rsidRPr="006175B5" w:rsidRDefault="00E66618" w:rsidP="00D311ED">
            <w:pPr>
              <w:pStyle w:val="1GAPara"/>
              <w:numPr>
                <w:ilvl w:val="0"/>
                <w:numId w:val="48"/>
              </w:numPr>
              <w:spacing w:after="60"/>
              <w:rPr>
                <w:sz w:val="16"/>
                <w:szCs w:val="16"/>
              </w:rPr>
            </w:pPr>
            <w:r w:rsidRPr="006175B5">
              <w:rPr>
                <w:sz w:val="16"/>
                <w:szCs w:val="16"/>
              </w:rPr>
              <w:t xml:space="preserve">Additional resources </w:t>
            </w:r>
            <w:r w:rsidR="009153EF">
              <w:rPr>
                <w:sz w:val="16"/>
                <w:szCs w:val="16"/>
              </w:rPr>
              <w:t>(</w:t>
            </w:r>
            <w:r w:rsidRPr="006175B5">
              <w:rPr>
                <w:sz w:val="16"/>
                <w:szCs w:val="16"/>
              </w:rPr>
              <w:t>from the Intangible Cultural Heritage Fund</w:t>
            </w:r>
            <w:r w:rsidR="009153EF">
              <w:rPr>
                <w:sz w:val="16"/>
                <w:szCs w:val="16"/>
              </w:rPr>
              <w:t>)</w:t>
            </w:r>
            <w:r w:rsidRPr="006175B5">
              <w:rPr>
                <w:sz w:val="16"/>
                <w:szCs w:val="16"/>
              </w:rPr>
              <w:t xml:space="preserve"> for:</w:t>
            </w:r>
          </w:p>
          <w:p w14:paraId="50AA296E" w14:textId="4D775C9C" w:rsidR="00511ED4" w:rsidRPr="006175B5" w:rsidRDefault="00511ED4" w:rsidP="00D311ED">
            <w:pPr>
              <w:pStyle w:val="1GAPara"/>
              <w:numPr>
                <w:ilvl w:val="1"/>
                <w:numId w:val="48"/>
              </w:numPr>
              <w:spacing w:after="60"/>
              <w:rPr>
                <w:sz w:val="16"/>
                <w:szCs w:val="16"/>
              </w:rPr>
            </w:pPr>
            <w:r w:rsidRPr="006175B5">
              <w:rPr>
                <w:sz w:val="16"/>
                <w:szCs w:val="16"/>
              </w:rPr>
              <w:t>Evaluation Body</w:t>
            </w:r>
            <w:r w:rsidR="00EB23AF" w:rsidRPr="006175B5">
              <w:rPr>
                <w:sz w:val="16"/>
                <w:szCs w:val="16"/>
              </w:rPr>
              <w:t>’s</w:t>
            </w:r>
            <w:r w:rsidRPr="006175B5">
              <w:rPr>
                <w:sz w:val="16"/>
                <w:szCs w:val="16"/>
              </w:rPr>
              <w:t xml:space="preserve"> </w:t>
            </w:r>
            <w:r w:rsidR="00EB23AF" w:rsidRPr="006175B5">
              <w:rPr>
                <w:sz w:val="16"/>
                <w:szCs w:val="16"/>
              </w:rPr>
              <w:t>work on</w:t>
            </w:r>
            <w:r w:rsidRPr="006175B5">
              <w:rPr>
                <w:sz w:val="16"/>
                <w:szCs w:val="16"/>
              </w:rPr>
              <w:t xml:space="preserve"> </w:t>
            </w:r>
            <w:r w:rsidR="001D403E" w:rsidRPr="006175B5">
              <w:rPr>
                <w:sz w:val="16"/>
                <w:szCs w:val="16"/>
              </w:rPr>
              <w:t>additional</w:t>
            </w:r>
            <w:r w:rsidRPr="006175B5">
              <w:rPr>
                <w:sz w:val="16"/>
                <w:szCs w:val="16"/>
              </w:rPr>
              <w:t xml:space="preserve"> files</w:t>
            </w:r>
          </w:p>
          <w:p w14:paraId="32D75E10" w14:textId="31C78AC2" w:rsidR="00511ED4" w:rsidRPr="006175B5" w:rsidRDefault="00E66618" w:rsidP="00D311ED">
            <w:pPr>
              <w:pStyle w:val="1GAPara"/>
              <w:numPr>
                <w:ilvl w:val="1"/>
                <w:numId w:val="48"/>
              </w:numPr>
              <w:spacing w:after="60"/>
              <w:rPr>
                <w:sz w:val="16"/>
                <w:szCs w:val="16"/>
              </w:rPr>
            </w:pPr>
            <w:r w:rsidRPr="006175B5">
              <w:rPr>
                <w:sz w:val="16"/>
                <w:szCs w:val="16"/>
              </w:rPr>
              <w:t>Evaluation Body</w:t>
            </w:r>
            <w:r w:rsidR="00EB23AF" w:rsidRPr="006175B5">
              <w:rPr>
                <w:sz w:val="16"/>
                <w:szCs w:val="16"/>
              </w:rPr>
              <w:t xml:space="preserve"> members’</w:t>
            </w:r>
            <w:r w:rsidR="00511ED4" w:rsidRPr="006175B5">
              <w:rPr>
                <w:sz w:val="16"/>
                <w:szCs w:val="16"/>
              </w:rPr>
              <w:t xml:space="preserve"> </w:t>
            </w:r>
            <w:r w:rsidR="001D403E" w:rsidRPr="006175B5">
              <w:rPr>
                <w:sz w:val="16"/>
                <w:szCs w:val="16"/>
              </w:rPr>
              <w:t>additional</w:t>
            </w:r>
            <w:r w:rsidRPr="006175B5">
              <w:rPr>
                <w:sz w:val="16"/>
                <w:szCs w:val="16"/>
              </w:rPr>
              <w:t xml:space="preserve"> meeting days</w:t>
            </w:r>
          </w:p>
          <w:p w14:paraId="35CC056F" w14:textId="4F231549" w:rsidR="00D311ED" w:rsidRPr="006175B5" w:rsidRDefault="00D311ED" w:rsidP="00D311ED">
            <w:pPr>
              <w:pStyle w:val="1GAPara"/>
              <w:numPr>
                <w:ilvl w:val="1"/>
                <w:numId w:val="48"/>
              </w:numPr>
              <w:spacing w:after="60"/>
              <w:rPr>
                <w:sz w:val="16"/>
                <w:szCs w:val="16"/>
              </w:rPr>
            </w:pPr>
            <w:r w:rsidRPr="006175B5">
              <w:rPr>
                <w:sz w:val="16"/>
                <w:szCs w:val="16"/>
              </w:rPr>
              <w:t>Committee members’ additional meeting days</w:t>
            </w:r>
          </w:p>
        </w:tc>
      </w:tr>
    </w:tbl>
    <w:p w14:paraId="3C7713B5" w14:textId="77777777" w:rsidR="00DF5FEC" w:rsidRDefault="00DF5FEC">
      <w:pPr>
        <w:pStyle w:val="1GAPara"/>
        <w:numPr>
          <w:ilvl w:val="0"/>
          <w:numId w:val="0"/>
        </w:numPr>
        <w:ind w:left="567"/>
        <w:jc w:val="both"/>
      </w:pPr>
    </w:p>
    <w:p w14:paraId="1013CC79" w14:textId="101A3586" w:rsidR="00DF5FEC" w:rsidRPr="0012313A" w:rsidRDefault="007A308E" w:rsidP="00E37609">
      <w:pPr>
        <w:pStyle w:val="1GAPara"/>
        <w:numPr>
          <w:ilvl w:val="0"/>
          <w:numId w:val="68"/>
        </w:numPr>
        <w:ind w:left="567" w:hanging="567"/>
        <w:jc w:val="both"/>
      </w:pPr>
      <w:r>
        <w:t>To complete</w:t>
      </w:r>
      <w:r w:rsidR="00DF5FEC" w:rsidRPr="001C0BA4">
        <w:t xml:space="preserve"> the procedure described </w:t>
      </w:r>
      <w:r w:rsidR="00DF5FEC" w:rsidRPr="000A5B59">
        <w:t xml:space="preserve">above, </w:t>
      </w:r>
      <w:r w:rsidR="00DF5FEC" w:rsidRPr="0012313A">
        <w:t xml:space="preserve">the following </w:t>
      </w:r>
      <w:r w:rsidR="00514D4D">
        <w:t>question</w:t>
      </w:r>
      <w:r w:rsidR="00514D4D" w:rsidRPr="0012313A">
        <w:t xml:space="preserve"> </w:t>
      </w:r>
      <w:r>
        <w:t xml:space="preserve">must also </w:t>
      </w:r>
      <w:r w:rsidR="00DF5FEC" w:rsidRPr="0012313A">
        <w:t>be considered:</w:t>
      </w:r>
    </w:p>
    <w:p w14:paraId="45E41323" w14:textId="6036D4E8" w:rsidR="006C425B" w:rsidRPr="003760DF" w:rsidRDefault="00DF5FEC" w:rsidP="003760DF">
      <w:pPr>
        <w:pStyle w:val="1GAPara"/>
        <w:numPr>
          <w:ilvl w:val="0"/>
          <w:numId w:val="101"/>
        </w:numPr>
        <w:ind w:left="993" w:hanging="426"/>
        <w:jc w:val="both"/>
        <w:rPr>
          <w:u w:val="single"/>
        </w:rPr>
      </w:pPr>
      <w:r w:rsidRPr="0012313A">
        <w:t xml:space="preserve">Would </w:t>
      </w:r>
      <w:r>
        <w:t>the request for extension</w:t>
      </w:r>
      <w:r w:rsidRPr="0012313A">
        <w:t xml:space="preserve"> be treated as part of </w:t>
      </w:r>
      <w:r w:rsidR="006A2385">
        <w:rPr>
          <w:rFonts w:eastAsia="Arial"/>
          <w:lang w:bidi="en-US"/>
        </w:rPr>
        <w:t>the annual ceiling of</w:t>
      </w:r>
      <w:r w:rsidR="006A2385" w:rsidRPr="0061008C">
        <w:rPr>
          <w:rFonts w:eastAsia="Arial"/>
          <w:lang w:bidi="en-US"/>
        </w:rPr>
        <w:t xml:space="preserve"> files for examination and the priorities </w:t>
      </w:r>
      <w:r w:rsidR="006A2385">
        <w:rPr>
          <w:rFonts w:eastAsia="Arial"/>
          <w:lang w:bidi="en-US"/>
        </w:rPr>
        <w:t xml:space="preserve">as defined by </w:t>
      </w:r>
      <w:r w:rsidR="006A2385" w:rsidRPr="0061008C">
        <w:rPr>
          <w:rFonts w:eastAsia="Arial"/>
          <w:lang w:bidi="en-US"/>
        </w:rPr>
        <w:t>paragraph 34 of the Operational Directives</w:t>
      </w:r>
      <w:r w:rsidRPr="0012313A">
        <w:t>?</w:t>
      </w:r>
      <w:r w:rsidR="00994FF8" w:rsidRPr="00994FF8">
        <w:t xml:space="preserve"> </w:t>
      </w:r>
      <w:r w:rsidR="00994FF8">
        <w:t>If not, how will the Secretariat and the Evaluation Body absorb the extra workload?</w:t>
      </w:r>
    </w:p>
    <w:sectPr w:rsidR="006C425B" w:rsidRPr="003760DF" w:rsidSect="002938F2">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B310" w14:textId="77777777" w:rsidR="00946892" w:rsidRDefault="00946892" w:rsidP="002938F2">
      <w:r>
        <w:separator/>
      </w:r>
    </w:p>
    <w:p w14:paraId="658A22E9" w14:textId="77777777" w:rsidR="00946892" w:rsidRDefault="00946892"/>
  </w:endnote>
  <w:endnote w:type="continuationSeparator" w:id="0">
    <w:p w14:paraId="25F50327" w14:textId="77777777" w:rsidR="00946892" w:rsidRDefault="00946892" w:rsidP="002938F2">
      <w:r>
        <w:continuationSeparator/>
      </w:r>
    </w:p>
    <w:p w14:paraId="4386A424" w14:textId="77777777" w:rsidR="00946892" w:rsidRDefault="00946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EC54" w14:textId="77777777" w:rsidR="00946892" w:rsidRDefault="00946892" w:rsidP="002938F2">
      <w:r>
        <w:separator/>
      </w:r>
    </w:p>
    <w:p w14:paraId="0A1436EC" w14:textId="77777777" w:rsidR="00946892" w:rsidRDefault="00946892"/>
  </w:footnote>
  <w:footnote w:type="continuationSeparator" w:id="0">
    <w:p w14:paraId="4017E1E8" w14:textId="77777777" w:rsidR="00946892" w:rsidRDefault="00946892" w:rsidP="002938F2">
      <w:r>
        <w:continuationSeparator/>
      </w:r>
    </w:p>
    <w:p w14:paraId="6F425DF7" w14:textId="77777777" w:rsidR="00946892" w:rsidRDefault="00946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5584F13A" w:rsidR="00EC751C" w:rsidRPr="002B7155" w:rsidRDefault="00EC751C" w:rsidP="007E4E37">
    <w:pPr>
      <w:pStyle w:val="Header"/>
      <w:rPr>
        <w:rFonts w:ascii="Arial" w:hAnsi="Arial" w:cs="Arial"/>
        <w:lang w:val="fr-FR"/>
      </w:rPr>
    </w:pPr>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r>
      <w:rPr>
        <w:rFonts w:ascii="Arial" w:eastAsiaTheme="minorEastAsia" w:hAnsi="Arial" w:cs="Arial"/>
        <w:sz w:val="20"/>
        <w:szCs w:val="20"/>
        <w:lang w:val="fr-FR" w:eastAsia="ko-KR"/>
      </w:rPr>
      <w:t>6</w:t>
    </w:r>
    <w:r w:rsidRPr="002B7155">
      <w:rPr>
        <w:rFonts w:ascii="Arial" w:hAnsi="Arial" w:cs="Arial"/>
        <w:sz w:val="20"/>
        <w:szCs w:val="20"/>
        <w:lang w:val="fr-FR"/>
      </w:rPr>
      <w:t xml:space="preserve"> – page </w:t>
    </w:r>
    <w:r w:rsidRPr="00D81948">
      <w:rPr>
        <w:rStyle w:val="PageNumber"/>
        <w:rFonts w:ascii="Arial" w:hAnsi="Arial" w:cs="Arial"/>
        <w:sz w:val="20"/>
        <w:szCs w:val="20"/>
      </w:rPr>
      <w:fldChar w:fldCharType="begin"/>
    </w:r>
    <w:r w:rsidRPr="002B7155">
      <w:rPr>
        <w:rStyle w:val="PageNumber"/>
        <w:rFonts w:ascii="Arial" w:hAnsi="Arial" w:cs="Arial"/>
        <w:sz w:val="20"/>
        <w:szCs w:val="20"/>
        <w:lang w:val="fr-FR"/>
      </w:rPr>
      <w:instrText xml:space="preserve"> PAGE </w:instrText>
    </w:r>
    <w:r w:rsidRPr="00D81948">
      <w:rPr>
        <w:rStyle w:val="PageNumber"/>
        <w:rFonts w:ascii="Arial" w:hAnsi="Arial" w:cs="Arial"/>
        <w:sz w:val="20"/>
        <w:szCs w:val="20"/>
      </w:rPr>
      <w:fldChar w:fldCharType="separate"/>
    </w:r>
    <w:r w:rsidRPr="002B7155">
      <w:rPr>
        <w:rStyle w:val="PageNumber"/>
        <w:rFonts w:ascii="Arial" w:hAnsi="Arial" w:cs="Arial"/>
        <w:noProof/>
        <w:sz w:val="20"/>
        <w:szCs w:val="20"/>
        <w:lang w:val="fr-FR"/>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695D8638" w:rsidR="00EC751C" w:rsidRPr="007E4E37" w:rsidRDefault="00EC751C" w:rsidP="007250E3">
    <w:pPr>
      <w:pStyle w:val="Header"/>
      <w:ind w:left="2544" w:firstLine="3693"/>
      <w:jc w:val="right"/>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6</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65038084" w:rsidR="00EC751C" w:rsidRPr="008724E5" w:rsidRDefault="00CC06E7">
    <w:pPr>
      <w:pStyle w:val="Header"/>
    </w:pPr>
    <w:r>
      <w:rPr>
        <w:noProof/>
      </w:rPr>
      <w:drawing>
        <wp:inline distT="0" distB="0" distL="0" distR="0" wp14:anchorId="52663B0B" wp14:editId="36F3EED6">
          <wp:extent cx="1644015" cy="98869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015" cy="988695"/>
                  </a:xfrm>
                  <a:prstGeom prst="rect">
                    <a:avLst/>
                  </a:prstGeom>
                </pic:spPr>
              </pic:pic>
            </a:graphicData>
          </a:graphic>
        </wp:inline>
      </w:drawing>
    </w:r>
  </w:p>
  <w:p w14:paraId="278AC81C" w14:textId="6640EA2C" w:rsidR="00EC751C" w:rsidRPr="003519FF" w:rsidRDefault="00EC751C" w:rsidP="002938F2">
    <w:pPr>
      <w:pStyle w:val="Header"/>
      <w:spacing w:after="520"/>
      <w:jc w:val="right"/>
      <w:rPr>
        <w:rFonts w:ascii="Arial" w:eastAsiaTheme="minorEastAsia" w:hAnsi="Arial" w:cs="Arial"/>
        <w:b/>
        <w:sz w:val="44"/>
        <w:szCs w:val="44"/>
        <w:lang w:val="pt-PT" w:eastAsia="ko-KR"/>
      </w:rPr>
    </w:pPr>
    <w:r w:rsidRPr="003519FF">
      <w:rPr>
        <w:rFonts w:ascii="Arial" w:hAnsi="Arial" w:cs="Arial"/>
        <w:b/>
        <w:sz w:val="44"/>
        <w:szCs w:val="44"/>
        <w:lang w:val="pt-PT"/>
      </w:rPr>
      <w:t>1</w:t>
    </w:r>
    <w:r w:rsidRPr="003519FF">
      <w:rPr>
        <w:rFonts w:ascii="Arial" w:eastAsiaTheme="minorEastAsia" w:hAnsi="Arial" w:cs="Arial"/>
        <w:b/>
        <w:sz w:val="44"/>
        <w:szCs w:val="44"/>
        <w:lang w:val="pt-PT" w:eastAsia="ko-KR"/>
      </w:rPr>
      <w:t>6</w:t>
    </w:r>
    <w:r w:rsidRPr="003519FF">
      <w:rPr>
        <w:rFonts w:ascii="Arial" w:hAnsi="Arial" w:cs="Arial"/>
        <w:b/>
        <w:sz w:val="44"/>
        <w:szCs w:val="44"/>
        <w:lang w:val="pt-PT"/>
      </w:rPr>
      <w:t xml:space="preserve"> COM</w:t>
    </w:r>
    <w:r w:rsidRPr="003519FF">
      <w:rPr>
        <w:rFonts w:ascii="Arial" w:eastAsiaTheme="minorEastAsia" w:hAnsi="Arial" w:cs="Arial" w:hint="eastAsia"/>
        <w:b/>
        <w:sz w:val="44"/>
        <w:szCs w:val="44"/>
        <w:lang w:val="pt-PT" w:eastAsia="ko-KR"/>
      </w:rPr>
      <w:t xml:space="preserve"> WG</w:t>
    </w:r>
  </w:p>
  <w:p w14:paraId="122B936C" w14:textId="327730BD" w:rsidR="00EC751C" w:rsidRPr="00485CF9" w:rsidRDefault="00EC751C" w:rsidP="002D396D">
    <w:pPr>
      <w:spacing w:after="0"/>
      <w:jc w:val="right"/>
      <w:rPr>
        <w:rFonts w:ascii="Arial" w:eastAsiaTheme="minorEastAsia" w:hAnsi="Arial" w:cs="Arial"/>
        <w:b/>
        <w:szCs w:val="22"/>
        <w:lang w:val="pt-PT" w:eastAsia="ko-KR"/>
      </w:rPr>
    </w:pPr>
    <w:r w:rsidRPr="00485CF9">
      <w:rPr>
        <w:rFonts w:ascii="Arial" w:hAnsi="Arial" w:cs="Arial"/>
        <w:b/>
        <w:szCs w:val="22"/>
        <w:lang w:val="pt-PT"/>
      </w:rPr>
      <w:t>LHE/21/1</w:t>
    </w:r>
    <w:r w:rsidRPr="00485CF9">
      <w:rPr>
        <w:rFonts w:ascii="Arial" w:eastAsiaTheme="minorEastAsia" w:hAnsi="Arial" w:cs="Arial"/>
        <w:b/>
        <w:szCs w:val="22"/>
        <w:lang w:val="pt-PT" w:eastAsia="ko-KR"/>
      </w:rPr>
      <w:t>6</w:t>
    </w:r>
    <w:r w:rsidRPr="00485CF9">
      <w:rPr>
        <w:rFonts w:ascii="Arial" w:hAnsi="Arial" w:cs="Arial"/>
        <w:b/>
        <w:szCs w:val="22"/>
        <w:lang w:val="pt-PT"/>
      </w:rPr>
      <w:t>.COM</w:t>
    </w:r>
    <w:r w:rsidRPr="00485CF9">
      <w:rPr>
        <w:rFonts w:ascii="Arial" w:eastAsiaTheme="minorEastAsia" w:hAnsi="Arial" w:cs="Arial" w:hint="eastAsia"/>
        <w:b/>
        <w:szCs w:val="22"/>
        <w:lang w:val="pt-PT" w:eastAsia="ko-KR"/>
      </w:rPr>
      <w:t xml:space="preserve"> WG</w:t>
    </w:r>
    <w:r w:rsidRPr="00485CF9">
      <w:rPr>
        <w:rFonts w:ascii="Arial" w:hAnsi="Arial" w:cs="Arial"/>
        <w:b/>
        <w:szCs w:val="22"/>
        <w:lang w:val="pt-PT"/>
      </w:rPr>
      <w:t>/</w:t>
    </w:r>
    <w:r w:rsidRPr="00485CF9">
      <w:rPr>
        <w:rFonts w:ascii="Arial" w:eastAsiaTheme="minorEastAsia" w:hAnsi="Arial" w:cs="Arial"/>
        <w:b/>
        <w:szCs w:val="22"/>
        <w:lang w:val="pt-PT" w:eastAsia="ko-KR"/>
      </w:rPr>
      <w:t>6</w:t>
    </w:r>
  </w:p>
  <w:p w14:paraId="2CC34105" w14:textId="5DF5FB89" w:rsidR="00EC751C" w:rsidRPr="0012313A" w:rsidRDefault="00EC751C" w:rsidP="00C81439">
    <w:pPr>
      <w:spacing w:after="0"/>
      <w:jc w:val="right"/>
      <w:rPr>
        <w:rFonts w:ascii="Arial" w:eastAsiaTheme="minorEastAsia" w:hAnsi="Arial" w:cs="Arial"/>
        <w:b/>
        <w:szCs w:val="22"/>
        <w:lang w:eastAsia="ko-KR"/>
      </w:rPr>
    </w:pPr>
    <w:r w:rsidRPr="0012313A">
      <w:rPr>
        <w:rFonts w:ascii="Arial" w:hAnsi="Arial" w:cs="Arial"/>
        <w:b/>
        <w:szCs w:val="22"/>
      </w:rPr>
      <w:t>Paris</w:t>
    </w:r>
    <w:r w:rsidRPr="003760DF">
      <w:rPr>
        <w:rFonts w:ascii="Arial" w:hAnsi="Arial" w:cs="Arial"/>
        <w:b/>
        <w:szCs w:val="22"/>
      </w:rPr>
      <w:t xml:space="preserve">, </w:t>
    </w:r>
    <w:r w:rsidR="00327C11">
      <w:rPr>
        <w:rFonts w:ascii="Arial" w:hAnsi="Arial" w:cs="Arial"/>
        <w:b/>
        <w:szCs w:val="22"/>
      </w:rPr>
      <w:t>3 September</w:t>
    </w:r>
    <w:r w:rsidRPr="003760DF">
      <w:rPr>
        <w:rFonts w:ascii="Arial" w:hAnsi="Arial" w:cs="Arial"/>
        <w:b/>
        <w:szCs w:val="22"/>
      </w:rPr>
      <w:t xml:space="preserve"> 2021</w:t>
    </w:r>
  </w:p>
  <w:p w14:paraId="59A22BCA" w14:textId="77777777" w:rsidR="00EC751C" w:rsidRPr="00D81948" w:rsidRDefault="00EC751C" w:rsidP="00C81439">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DA4"/>
    <w:multiLevelType w:val="hybridMultilevel"/>
    <w:tmpl w:val="9E7ED87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63E1B38"/>
    <w:multiLevelType w:val="hybridMultilevel"/>
    <w:tmpl w:val="1CAEB220"/>
    <w:lvl w:ilvl="0" w:tplc="114288F8">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A205A"/>
    <w:multiLevelType w:val="hybridMultilevel"/>
    <w:tmpl w:val="0E0A16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363B6"/>
    <w:multiLevelType w:val="hybridMultilevel"/>
    <w:tmpl w:val="C10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A5199"/>
    <w:multiLevelType w:val="hybridMultilevel"/>
    <w:tmpl w:val="4FCC960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541224B"/>
    <w:multiLevelType w:val="hybridMultilevel"/>
    <w:tmpl w:val="9F46E0CE"/>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DDA7003"/>
    <w:multiLevelType w:val="hybridMultilevel"/>
    <w:tmpl w:val="0E0A16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0B3F81"/>
    <w:multiLevelType w:val="hybridMultilevel"/>
    <w:tmpl w:val="EB10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F10DC"/>
    <w:multiLevelType w:val="hybridMultilevel"/>
    <w:tmpl w:val="DCC87C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BA53EB"/>
    <w:multiLevelType w:val="hybridMultilevel"/>
    <w:tmpl w:val="C0368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8D3A2D"/>
    <w:multiLevelType w:val="hybridMultilevel"/>
    <w:tmpl w:val="FFC6DC32"/>
    <w:lvl w:ilvl="0" w:tplc="D0E46A06">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0E00EFA"/>
    <w:multiLevelType w:val="hybridMultilevel"/>
    <w:tmpl w:val="48B22692"/>
    <w:lvl w:ilvl="0" w:tplc="B2144DD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9F2BD1"/>
    <w:multiLevelType w:val="hybridMultilevel"/>
    <w:tmpl w:val="628066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71E07D1"/>
    <w:multiLevelType w:val="hybridMultilevel"/>
    <w:tmpl w:val="1DF0F70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6EB3E4C"/>
    <w:multiLevelType w:val="hybridMultilevel"/>
    <w:tmpl w:val="C2826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487062"/>
    <w:multiLevelType w:val="hybridMultilevel"/>
    <w:tmpl w:val="12884BF8"/>
    <w:lvl w:ilvl="0" w:tplc="CBDEB272">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2F3D3D"/>
    <w:multiLevelType w:val="hybridMultilevel"/>
    <w:tmpl w:val="A9280B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3"/>
  </w:num>
  <w:num w:numId="6">
    <w:abstractNumId w:val="9"/>
  </w:num>
  <w:num w:numId="7">
    <w:abstractNumId w:val="17"/>
  </w:num>
  <w:num w:numId="8">
    <w:abstractNumId w:val="14"/>
  </w:num>
  <w:num w:numId="9">
    <w:abstractNumId w:val="7"/>
  </w:num>
  <w:num w:numId="10">
    <w:abstractNumId w:val="0"/>
  </w:num>
  <w:num w:numId="11">
    <w:abstractNumId w:val="10"/>
  </w:num>
  <w:num w:numId="12">
    <w:abstractNumId w:val="6"/>
  </w:num>
  <w:num w:numId="13">
    <w:abstractNumId w:val="10"/>
  </w:num>
  <w:num w:numId="14">
    <w:abstractNumId w:val="10"/>
  </w:num>
  <w:num w:numId="15">
    <w:abstractNumId w:val="8"/>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8"/>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
  </w:num>
  <w:num w:numId="66">
    <w:abstractNumId w:val="10"/>
  </w:num>
  <w:num w:numId="67">
    <w:abstractNumId w:val="10"/>
  </w:num>
  <w:num w:numId="68">
    <w:abstractNumId w:val="11"/>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5"/>
  </w:num>
  <w:num w:numId="102">
    <w:abstractNumId w:val="10"/>
  </w:num>
  <w:num w:numId="103">
    <w:abstractNumId w:val="10"/>
  </w:num>
  <w:num w:numId="104">
    <w:abstractNumId w:val="13"/>
  </w:num>
  <w:num w:numId="105">
    <w:abstractNumId w:val="10"/>
  </w:num>
  <w:num w:numId="106">
    <w:abstractNumId w:val="10"/>
  </w:num>
  <w:num w:numId="107">
    <w:abstractNumId w:val="10"/>
  </w:num>
  <w:num w:numId="108">
    <w:abstractNumId w:val="10"/>
    <w:lvlOverride w:ilvl="0">
      <w:startOverride w:val="1"/>
    </w:lvlOverride>
  </w:num>
  <w:num w:numId="109">
    <w:abstractNumId w:val="10"/>
  </w:num>
  <w:num w:numId="110">
    <w:abstractNumId w:val="10"/>
  </w:num>
  <w:num w:numId="111">
    <w:abstractNumId w:val="10"/>
  </w:num>
  <w:num w:numId="112">
    <w:abstractNumId w:val="10"/>
  </w:num>
  <w:num w:numId="113">
    <w:abstractNumId w:val="4"/>
  </w:num>
  <w:num w:numId="114">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2795"/>
    <w:rsid w:val="000047CC"/>
    <w:rsid w:val="00005DF6"/>
    <w:rsid w:val="00006EC4"/>
    <w:rsid w:val="000120FD"/>
    <w:rsid w:val="000173D3"/>
    <w:rsid w:val="00017766"/>
    <w:rsid w:val="00021831"/>
    <w:rsid w:val="00035AD8"/>
    <w:rsid w:val="00040107"/>
    <w:rsid w:val="00047E58"/>
    <w:rsid w:val="00071C64"/>
    <w:rsid w:val="00073D20"/>
    <w:rsid w:val="000755A0"/>
    <w:rsid w:val="000755E1"/>
    <w:rsid w:val="000764A6"/>
    <w:rsid w:val="00084713"/>
    <w:rsid w:val="00085541"/>
    <w:rsid w:val="00093063"/>
    <w:rsid w:val="00093331"/>
    <w:rsid w:val="000A2171"/>
    <w:rsid w:val="000A34CE"/>
    <w:rsid w:val="000A5B59"/>
    <w:rsid w:val="000A6C5C"/>
    <w:rsid w:val="000A7264"/>
    <w:rsid w:val="000A7367"/>
    <w:rsid w:val="000C65E4"/>
    <w:rsid w:val="000D42D9"/>
    <w:rsid w:val="000E4DDE"/>
    <w:rsid w:val="000E507B"/>
    <w:rsid w:val="000E60F4"/>
    <w:rsid w:val="00101634"/>
    <w:rsid w:val="00103595"/>
    <w:rsid w:val="00105B61"/>
    <w:rsid w:val="00106B72"/>
    <w:rsid w:val="00106D5A"/>
    <w:rsid w:val="0011750D"/>
    <w:rsid w:val="0012313A"/>
    <w:rsid w:val="00140074"/>
    <w:rsid w:val="001412DE"/>
    <w:rsid w:val="00144A4D"/>
    <w:rsid w:val="00151351"/>
    <w:rsid w:val="00153447"/>
    <w:rsid w:val="00153D3B"/>
    <w:rsid w:val="00154A6C"/>
    <w:rsid w:val="00161293"/>
    <w:rsid w:val="001633E0"/>
    <w:rsid w:val="00164A54"/>
    <w:rsid w:val="00174B39"/>
    <w:rsid w:val="00177D2B"/>
    <w:rsid w:val="0018024B"/>
    <w:rsid w:val="001836C0"/>
    <w:rsid w:val="0018702A"/>
    <w:rsid w:val="00193CA6"/>
    <w:rsid w:val="00194FC0"/>
    <w:rsid w:val="001A0BB9"/>
    <w:rsid w:val="001A431C"/>
    <w:rsid w:val="001A6F43"/>
    <w:rsid w:val="001B2F76"/>
    <w:rsid w:val="001C0164"/>
    <w:rsid w:val="001C0BA4"/>
    <w:rsid w:val="001C1BC0"/>
    <w:rsid w:val="001C7ED0"/>
    <w:rsid w:val="001D00B5"/>
    <w:rsid w:val="001D11C1"/>
    <w:rsid w:val="001D29D6"/>
    <w:rsid w:val="001D3B29"/>
    <w:rsid w:val="001D3E21"/>
    <w:rsid w:val="001D402F"/>
    <w:rsid w:val="001D403E"/>
    <w:rsid w:val="001D59C8"/>
    <w:rsid w:val="001E4EEB"/>
    <w:rsid w:val="001E5B4B"/>
    <w:rsid w:val="001E6026"/>
    <w:rsid w:val="001F3696"/>
    <w:rsid w:val="001F37CA"/>
    <w:rsid w:val="00204B37"/>
    <w:rsid w:val="002119C5"/>
    <w:rsid w:val="00222AB7"/>
    <w:rsid w:val="00225B1B"/>
    <w:rsid w:val="002343CA"/>
    <w:rsid w:val="00236F99"/>
    <w:rsid w:val="00237E43"/>
    <w:rsid w:val="002401D6"/>
    <w:rsid w:val="00251C9B"/>
    <w:rsid w:val="0025208E"/>
    <w:rsid w:val="00254A0C"/>
    <w:rsid w:val="00260359"/>
    <w:rsid w:val="00270366"/>
    <w:rsid w:val="0027089E"/>
    <w:rsid w:val="0027198B"/>
    <w:rsid w:val="00271C3F"/>
    <w:rsid w:val="00272507"/>
    <w:rsid w:val="00273FCC"/>
    <w:rsid w:val="00273FFE"/>
    <w:rsid w:val="00283D67"/>
    <w:rsid w:val="00286C0C"/>
    <w:rsid w:val="00290C1D"/>
    <w:rsid w:val="00290D5F"/>
    <w:rsid w:val="002918C9"/>
    <w:rsid w:val="00292DE8"/>
    <w:rsid w:val="002938F2"/>
    <w:rsid w:val="0029520E"/>
    <w:rsid w:val="002A1D80"/>
    <w:rsid w:val="002B10C6"/>
    <w:rsid w:val="002B4EFC"/>
    <w:rsid w:val="002B63D3"/>
    <w:rsid w:val="002B7155"/>
    <w:rsid w:val="002C1FC1"/>
    <w:rsid w:val="002C3433"/>
    <w:rsid w:val="002C5280"/>
    <w:rsid w:val="002D396D"/>
    <w:rsid w:val="002D606F"/>
    <w:rsid w:val="002E78DB"/>
    <w:rsid w:val="002F2848"/>
    <w:rsid w:val="002F6BEC"/>
    <w:rsid w:val="0030146D"/>
    <w:rsid w:val="00303C44"/>
    <w:rsid w:val="003069BD"/>
    <w:rsid w:val="00317BA6"/>
    <w:rsid w:val="00321473"/>
    <w:rsid w:val="00327C11"/>
    <w:rsid w:val="00334C79"/>
    <w:rsid w:val="00342A9D"/>
    <w:rsid w:val="003519FF"/>
    <w:rsid w:val="0035648A"/>
    <w:rsid w:val="00360763"/>
    <w:rsid w:val="003622CE"/>
    <w:rsid w:val="00363995"/>
    <w:rsid w:val="00365B94"/>
    <w:rsid w:val="003720F1"/>
    <w:rsid w:val="003760DF"/>
    <w:rsid w:val="0038042A"/>
    <w:rsid w:val="0038493F"/>
    <w:rsid w:val="0039446E"/>
    <w:rsid w:val="003978E3"/>
    <w:rsid w:val="003A045E"/>
    <w:rsid w:val="003A3BC5"/>
    <w:rsid w:val="003B1B66"/>
    <w:rsid w:val="003C08DC"/>
    <w:rsid w:val="003C7065"/>
    <w:rsid w:val="003D3CF1"/>
    <w:rsid w:val="003E2826"/>
    <w:rsid w:val="003F236C"/>
    <w:rsid w:val="003F67FB"/>
    <w:rsid w:val="00404BB0"/>
    <w:rsid w:val="004108B6"/>
    <w:rsid w:val="00412D4A"/>
    <w:rsid w:val="004172B7"/>
    <w:rsid w:val="0042178D"/>
    <w:rsid w:val="00434773"/>
    <w:rsid w:val="00440D09"/>
    <w:rsid w:val="004472AA"/>
    <w:rsid w:val="00447C66"/>
    <w:rsid w:val="00453075"/>
    <w:rsid w:val="00465917"/>
    <w:rsid w:val="00467CD6"/>
    <w:rsid w:val="00471B34"/>
    <w:rsid w:val="00476377"/>
    <w:rsid w:val="00477EE6"/>
    <w:rsid w:val="0048218A"/>
    <w:rsid w:val="00483A77"/>
    <w:rsid w:val="00485CF9"/>
    <w:rsid w:val="004915D8"/>
    <w:rsid w:val="00492B1F"/>
    <w:rsid w:val="00496702"/>
    <w:rsid w:val="00496777"/>
    <w:rsid w:val="004A04D4"/>
    <w:rsid w:val="004A3248"/>
    <w:rsid w:val="004A4B6F"/>
    <w:rsid w:val="004B4ED9"/>
    <w:rsid w:val="004C660A"/>
    <w:rsid w:val="004E056C"/>
    <w:rsid w:val="004E20E0"/>
    <w:rsid w:val="004E2817"/>
    <w:rsid w:val="004F3412"/>
    <w:rsid w:val="004F64C3"/>
    <w:rsid w:val="005016FB"/>
    <w:rsid w:val="005056F8"/>
    <w:rsid w:val="00511D17"/>
    <w:rsid w:val="00511ED4"/>
    <w:rsid w:val="00514220"/>
    <w:rsid w:val="00514D4D"/>
    <w:rsid w:val="0051699F"/>
    <w:rsid w:val="005174FE"/>
    <w:rsid w:val="00522AFB"/>
    <w:rsid w:val="00531A34"/>
    <w:rsid w:val="005414A1"/>
    <w:rsid w:val="00555BE4"/>
    <w:rsid w:val="005567D7"/>
    <w:rsid w:val="005613B0"/>
    <w:rsid w:val="005622C5"/>
    <w:rsid w:val="00564FB9"/>
    <w:rsid w:val="00582778"/>
    <w:rsid w:val="00583FA8"/>
    <w:rsid w:val="0058571E"/>
    <w:rsid w:val="005908B4"/>
    <w:rsid w:val="005A2AAB"/>
    <w:rsid w:val="005B137E"/>
    <w:rsid w:val="005B5641"/>
    <w:rsid w:val="005C0660"/>
    <w:rsid w:val="005C12B1"/>
    <w:rsid w:val="005C44B9"/>
    <w:rsid w:val="005D29A4"/>
    <w:rsid w:val="005D628E"/>
    <w:rsid w:val="005D6991"/>
    <w:rsid w:val="005D6A25"/>
    <w:rsid w:val="005F3003"/>
    <w:rsid w:val="005F4C8A"/>
    <w:rsid w:val="005F551E"/>
    <w:rsid w:val="00600E03"/>
    <w:rsid w:val="00601DD6"/>
    <w:rsid w:val="00603D85"/>
    <w:rsid w:val="00603F71"/>
    <w:rsid w:val="00605897"/>
    <w:rsid w:val="0061008C"/>
    <w:rsid w:val="00610983"/>
    <w:rsid w:val="00612F77"/>
    <w:rsid w:val="006175B5"/>
    <w:rsid w:val="00620244"/>
    <w:rsid w:val="00624172"/>
    <w:rsid w:val="00636760"/>
    <w:rsid w:val="00637710"/>
    <w:rsid w:val="0064641E"/>
    <w:rsid w:val="006515C9"/>
    <w:rsid w:val="00652318"/>
    <w:rsid w:val="006525AC"/>
    <w:rsid w:val="0066222A"/>
    <w:rsid w:val="0067005F"/>
    <w:rsid w:val="0067178A"/>
    <w:rsid w:val="00680F26"/>
    <w:rsid w:val="00693F84"/>
    <w:rsid w:val="00696EA7"/>
    <w:rsid w:val="006A0D86"/>
    <w:rsid w:val="006A2385"/>
    <w:rsid w:val="006A5FA2"/>
    <w:rsid w:val="006B64CF"/>
    <w:rsid w:val="006C0911"/>
    <w:rsid w:val="006C425B"/>
    <w:rsid w:val="006D39EF"/>
    <w:rsid w:val="006D46FB"/>
    <w:rsid w:val="006D51D4"/>
    <w:rsid w:val="006E19D7"/>
    <w:rsid w:val="00701DA2"/>
    <w:rsid w:val="00703F3F"/>
    <w:rsid w:val="00707D57"/>
    <w:rsid w:val="007110EA"/>
    <w:rsid w:val="00716558"/>
    <w:rsid w:val="0072498D"/>
    <w:rsid w:val="007250E3"/>
    <w:rsid w:val="00730945"/>
    <w:rsid w:val="00734FEF"/>
    <w:rsid w:val="00743C0D"/>
    <w:rsid w:val="007440CA"/>
    <w:rsid w:val="00746204"/>
    <w:rsid w:val="00747715"/>
    <w:rsid w:val="00750138"/>
    <w:rsid w:val="00750856"/>
    <w:rsid w:val="00752EA8"/>
    <w:rsid w:val="00753CB6"/>
    <w:rsid w:val="00753DA3"/>
    <w:rsid w:val="00754BD2"/>
    <w:rsid w:val="00761416"/>
    <w:rsid w:val="00764F50"/>
    <w:rsid w:val="00770A92"/>
    <w:rsid w:val="00772823"/>
    <w:rsid w:val="00781B52"/>
    <w:rsid w:val="0078413D"/>
    <w:rsid w:val="00786899"/>
    <w:rsid w:val="00790C65"/>
    <w:rsid w:val="0079544F"/>
    <w:rsid w:val="00795BC8"/>
    <w:rsid w:val="0079717B"/>
    <w:rsid w:val="0079773C"/>
    <w:rsid w:val="007A13A4"/>
    <w:rsid w:val="007A1845"/>
    <w:rsid w:val="007A308E"/>
    <w:rsid w:val="007A4E30"/>
    <w:rsid w:val="007A77AB"/>
    <w:rsid w:val="007A7D45"/>
    <w:rsid w:val="007B43F7"/>
    <w:rsid w:val="007B514B"/>
    <w:rsid w:val="007C1B00"/>
    <w:rsid w:val="007C59AA"/>
    <w:rsid w:val="007D31CE"/>
    <w:rsid w:val="007D5BB7"/>
    <w:rsid w:val="007D7336"/>
    <w:rsid w:val="007D7C9E"/>
    <w:rsid w:val="007E0621"/>
    <w:rsid w:val="007E41AB"/>
    <w:rsid w:val="007E44F9"/>
    <w:rsid w:val="007E4E37"/>
    <w:rsid w:val="007F4B07"/>
    <w:rsid w:val="008071D3"/>
    <w:rsid w:val="008071ED"/>
    <w:rsid w:val="00813E57"/>
    <w:rsid w:val="0081595F"/>
    <w:rsid w:val="0083488D"/>
    <w:rsid w:val="0084050B"/>
    <w:rsid w:val="0084122D"/>
    <w:rsid w:val="00843B71"/>
    <w:rsid w:val="008447AC"/>
    <w:rsid w:val="008466C3"/>
    <w:rsid w:val="00851458"/>
    <w:rsid w:val="00852045"/>
    <w:rsid w:val="008562EF"/>
    <w:rsid w:val="00861A47"/>
    <w:rsid w:val="00862D23"/>
    <w:rsid w:val="008679F6"/>
    <w:rsid w:val="008707FF"/>
    <w:rsid w:val="008724E5"/>
    <w:rsid w:val="00873D40"/>
    <w:rsid w:val="008845A3"/>
    <w:rsid w:val="008941A1"/>
    <w:rsid w:val="00896898"/>
    <w:rsid w:val="00897BAD"/>
    <w:rsid w:val="008A0990"/>
    <w:rsid w:val="008B7346"/>
    <w:rsid w:val="008C121F"/>
    <w:rsid w:val="008C5ECC"/>
    <w:rsid w:val="008D3072"/>
    <w:rsid w:val="008D3BF7"/>
    <w:rsid w:val="008D6A7D"/>
    <w:rsid w:val="008E148F"/>
    <w:rsid w:val="008E2F8A"/>
    <w:rsid w:val="008E793C"/>
    <w:rsid w:val="008F16C6"/>
    <w:rsid w:val="008F34A1"/>
    <w:rsid w:val="008F5867"/>
    <w:rsid w:val="008F6DB9"/>
    <w:rsid w:val="008F72A1"/>
    <w:rsid w:val="009103B0"/>
    <w:rsid w:val="009121CE"/>
    <w:rsid w:val="009127D8"/>
    <w:rsid w:val="00913117"/>
    <w:rsid w:val="009153EF"/>
    <w:rsid w:val="00921F65"/>
    <w:rsid w:val="0092603B"/>
    <w:rsid w:val="00926E8B"/>
    <w:rsid w:val="00931FDB"/>
    <w:rsid w:val="00932BE1"/>
    <w:rsid w:val="00943BB0"/>
    <w:rsid w:val="00945D44"/>
    <w:rsid w:val="00946892"/>
    <w:rsid w:val="00946C25"/>
    <w:rsid w:val="00947E90"/>
    <w:rsid w:val="00955052"/>
    <w:rsid w:val="00966687"/>
    <w:rsid w:val="0097349C"/>
    <w:rsid w:val="00985E1A"/>
    <w:rsid w:val="009941A8"/>
    <w:rsid w:val="00994270"/>
    <w:rsid w:val="00994FF8"/>
    <w:rsid w:val="009A24B0"/>
    <w:rsid w:val="009B4F53"/>
    <w:rsid w:val="009B609A"/>
    <w:rsid w:val="009C5897"/>
    <w:rsid w:val="009C69F4"/>
    <w:rsid w:val="009D085D"/>
    <w:rsid w:val="009D1FED"/>
    <w:rsid w:val="009D4547"/>
    <w:rsid w:val="009D5E38"/>
    <w:rsid w:val="009D676C"/>
    <w:rsid w:val="009D7D80"/>
    <w:rsid w:val="009E27D4"/>
    <w:rsid w:val="009E64A9"/>
    <w:rsid w:val="009E74C1"/>
    <w:rsid w:val="009F142E"/>
    <w:rsid w:val="009F34A4"/>
    <w:rsid w:val="009F3988"/>
    <w:rsid w:val="009F4C46"/>
    <w:rsid w:val="009F6BE3"/>
    <w:rsid w:val="00A00D55"/>
    <w:rsid w:val="00A04D49"/>
    <w:rsid w:val="00A05F6F"/>
    <w:rsid w:val="00A1455A"/>
    <w:rsid w:val="00A150C7"/>
    <w:rsid w:val="00A22B5B"/>
    <w:rsid w:val="00A23422"/>
    <w:rsid w:val="00A23BE1"/>
    <w:rsid w:val="00A32435"/>
    <w:rsid w:val="00A327C9"/>
    <w:rsid w:val="00A47177"/>
    <w:rsid w:val="00A510DB"/>
    <w:rsid w:val="00A519A2"/>
    <w:rsid w:val="00A53526"/>
    <w:rsid w:val="00A70418"/>
    <w:rsid w:val="00A70883"/>
    <w:rsid w:val="00A720F4"/>
    <w:rsid w:val="00A73AED"/>
    <w:rsid w:val="00A77AEB"/>
    <w:rsid w:val="00A86042"/>
    <w:rsid w:val="00A905B5"/>
    <w:rsid w:val="00AA3D03"/>
    <w:rsid w:val="00AA444A"/>
    <w:rsid w:val="00AA4F4E"/>
    <w:rsid w:val="00AA69C7"/>
    <w:rsid w:val="00AB1528"/>
    <w:rsid w:val="00AC17BC"/>
    <w:rsid w:val="00AD29F5"/>
    <w:rsid w:val="00AD4BE7"/>
    <w:rsid w:val="00AD5DE4"/>
    <w:rsid w:val="00AE1AA6"/>
    <w:rsid w:val="00AE1B18"/>
    <w:rsid w:val="00AE3CCF"/>
    <w:rsid w:val="00AF1C32"/>
    <w:rsid w:val="00AF2AAF"/>
    <w:rsid w:val="00AF4830"/>
    <w:rsid w:val="00B0735B"/>
    <w:rsid w:val="00B07E63"/>
    <w:rsid w:val="00B11AE3"/>
    <w:rsid w:val="00B17A5A"/>
    <w:rsid w:val="00B30000"/>
    <w:rsid w:val="00B35A8D"/>
    <w:rsid w:val="00B372A4"/>
    <w:rsid w:val="00B43693"/>
    <w:rsid w:val="00B47DF4"/>
    <w:rsid w:val="00B50C63"/>
    <w:rsid w:val="00B53329"/>
    <w:rsid w:val="00B6167A"/>
    <w:rsid w:val="00B63759"/>
    <w:rsid w:val="00B71A5B"/>
    <w:rsid w:val="00B7482E"/>
    <w:rsid w:val="00B80F60"/>
    <w:rsid w:val="00B87804"/>
    <w:rsid w:val="00B9023F"/>
    <w:rsid w:val="00B973B5"/>
    <w:rsid w:val="00BA06B8"/>
    <w:rsid w:val="00BA1286"/>
    <w:rsid w:val="00BA7775"/>
    <w:rsid w:val="00BB2255"/>
    <w:rsid w:val="00BB2682"/>
    <w:rsid w:val="00BB7B09"/>
    <w:rsid w:val="00BC374D"/>
    <w:rsid w:val="00BC7BE6"/>
    <w:rsid w:val="00BD49D7"/>
    <w:rsid w:val="00BD59BD"/>
    <w:rsid w:val="00BD68B8"/>
    <w:rsid w:val="00BE32C8"/>
    <w:rsid w:val="00BE44B7"/>
    <w:rsid w:val="00BF1A1C"/>
    <w:rsid w:val="00BF46ED"/>
    <w:rsid w:val="00BF5524"/>
    <w:rsid w:val="00C0214A"/>
    <w:rsid w:val="00C02F76"/>
    <w:rsid w:val="00C0375B"/>
    <w:rsid w:val="00C138D1"/>
    <w:rsid w:val="00C16F5C"/>
    <w:rsid w:val="00C16F75"/>
    <w:rsid w:val="00C22DB1"/>
    <w:rsid w:val="00C231CB"/>
    <w:rsid w:val="00C26539"/>
    <w:rsid w:val="00C26EE2"/>
    <w:rsid w:val="00C270EF"/>
    <w:rsid w:val="00C279AE"/>
    <w:rsid w:val="00C33314"/>
    <w:rsid w:val="00C47122"/>
    <w:rsid w:val="00C6478B"/>
    <w:rsid w:val="00C73AB4"/>
    <w:rsid w:val="00C77F6E"/>
    <w:rsid w:val="00C81439"/>
    <w:rsid w:val="00C830FA"/>
    <w:rsid w:val="00C93A03"/>
    <w:rsid w:val="00CA078D"/>
    <w:rsid w:val="00CA2632"/>
    <w:rsid w:val="00CA5A4F"/>
    <w:rsid w:val="00CA6FEF"/>
    <w:rsid w:val="00CB0DCC"/>
    <w:rsid w:val="00CB0F37"/>
    <w:rsid w:val="00CB500D"/>
    <w:rsid w:val="00CB644A"/>
    <w:rsid w:val="00CC06E7"/>
    <w:rsid w:val="00CC2BC6"/>
    <w:rsid w:val="00CC51F5"/>
    <w:rsid w:val="00CC79A9"/>
    <w:rsid w:val="00CC7A90"/>
    <w:rsid w:val="00CD5B38"/>
    <w:rsid w:val="00CD7645"/>
    <w:rsid w:val="00CE2586"/>
    <w:rsid w:val="00CE36F9"/>
    <w:rsid w:val="00CF0CCE"/>
    <w:rsid w:val="00CF626A"/>
    <w:rsid w:val="00D105A6"/>
    <w:rsid w:val="00D156D1"/>
    <w:rsid w:val="00D23B40"/>
    <w:rsid w:val="00D276DF"/>
    <w:rsid w:val="00D311ED"/>
    <w:rsid w:val="00D40095"/>
    <w:rsid w:val="00D404B7"/>
    <w:rsid w:val="00D438ED"/>
    <w:rsid w:val="00D45CD6"/>
    <w:rsid w:val="00D53554"/>
    <w:rsid w:val="00D57FC5"/>
    <w:rsid w:val="00D6670C"/>
    <w:rsid w:val="00D73925"/>
    <w:rsid w:val="00D75BAB"/>
    <w:rsid w:val="00D76A42"/>
    <w:rsid w:val="00D809E5"/>
    <w:rsid w:val="00D80A75"/>
    <w:rsid w:val="00D81948"/>
    <w:rsid w:val="00D87349"/>
    <w:rsid w:val="00D9501F"/>
    <w:rsid w:val="00DA4E86"/>
    <w:rsid w:val="00DA6D61"/>
    <w:rsid w:val="00DA705B"/>
    <w:rsid w:val="00DA77C1"/>
    <w:rsid w:val="00DB47DE"/>
    <w:rsid w:val="00DB50D5"/>
    <w:rsid w:val="00DC1A7D"/>
    <w:rsid w:val="00DE1353"/>
    <w:rsid w:val="00DF3567"/>
    <w:rsid w:val="00DF3DA3"/>
    <w:rsid w:val="00DF4798"/>
    <w:rsid w:val="00DF481E"/>
    <w:rsid w:val="00DF5FEC"/>
    <w:rsid w:val="00DF6F6B"/>
    <w:rsid w:val="00E05201"/>
    <w:rsid w:val="00E05B48"/>
    <w:rsid w:val="00E06A00"/>
    <w:rsid w:val="00E14CB4"/>
    <w:rsid w:val="00E16D1D"/>
    <w:rsid w:val="00E205F8"/>
    <w:rsid w:val="00E22B99"/>
    <w:rsid w:val="00E258D9"/>
    <w:rsid w:val="00E341B5"/>
    <w:rsid w:val="00E37609"/>
    <w:rsid w:val="00E37853"/>
    <w:rsid w:val="00E37B70"/>
    <w:rsid w:val="00E43803"/>
    <w:rsid w:val="00E439CA"/>
    <w:rsid w:val="00E477B6"/>
    <w:rsid w:val="00E50503"/>
    <w:rsid w:val="00E5219B"/>
    <w:rsid w:val="00E639E7"/>
    <w:rsid w:val="00E66618"/>
    <w:rsid w:val="00E711AC"/>
    <w:rsid w:val="00E7522A"/>
    <w:rsid w:val="00E776EB"/>
    <w:rsid w:val="00E824FB"/>
    <w:rsid w:val="00E83700"/>
    <w:rsid w:val="00E87E25"/>
    <w:rsid w:val="00E919AD"/>
    <w:rsid w:val="00E9473D"/>
    <w:rsid w:val="00EA198F"/>
    <w:rsid w:val="00EA2B90"/>
    <w:rsid w:val="00EA3E4B"/>
    <w:rsid w:val="00EA7B89"/>
    <w:rsid w:val="00EB23AF"/>
    <w:rsid w:val="00EC0AB3"/>
    <w:rsid w:val="00EC1269"/>
    <w:rsid w:val="00EC751C"/>
    <w:rsid w:val="00ED0C6C"/>
    <w:rsid w:val="00ED2103"/>
    <w:rsid w:val="00ED3293"/>
    <w:rsid w:val="00ED51CD"/>
    <w:rsid w:val="00EE302F"/>
    <w:rsid w:val="00EF07D4"/>
    <w:rsid w:val="00EF0BCB"/>
    <w:rsid w:val="00EF0E74"/>
    <w:rsid w:val="00EF319E"/>
    <w:rsid w:val="00EF45DA"/>
    <w:rsid w:val="00F00E8A"/>
    <w:rsid w:val="00F029D9"/>
    <w:rsid w:val="00F05D28"/>
    <w:rsid w:val="00F11C61"/>
    <w:rsid w:val="00F162B4"/>
    <w:rsid w:val="00F20414"/>
    <w:rsid w:val="00F24E77"/>
    <w:rsid w:val="00F33650"/>
    <w:rsid w:val="00F3457E"/>
    <w:rsid w:val="00F349E7"/>
    <w:rsid w:val="00F37142"/>
    <w:rsid w:val="00F473CB"/>
    <w:rsid w:val="00F50245"/>
    <w:rsid w:val="00F54860"/>
    <w:rsid w:val="00F5494E"/>
    <w:rsid w:val="00F56978"/>
    <w:rsid w:val="00F575D4"/>
    <w:rsid w:val="00F63DDA"/>
    <w:rsid w:val="00F7057B"/>
    <w:rsid w:val="00F70858"/>
    <w:rsid w:val="00F7397F"/>
    <w:rsid w:val="00F743EF"/>
    <w:rsid w:val="00F7444D"/>
    <w:rsid w:val="00F75949"/>
    <w:rsid w:val="00F75CF4"/>
    <w:rsid w:val="00F77D58"/>
    <w:rsid w:val="00F83D0A"/>
    <w:rsid w:val="00F90CAE"/>
    <w:rsid w:val="00F93E3E"/>
    <w:rsid w:val="00F941F0"/>
    <w:rsid w:val="00F956D7"/>
    <w:rsid w:val="00FA3A08"/>
    <w:rsid w:val="00FA58BB"/>
    <w:rsid w:val="00FB5938"/>
    <w:rsid w:val="00FD7434"/>
    <w:rsid w:val="00FE6239"/>
    <w:rsid w:val="00FE7B52"/>
    <w:rsid w:val="00FF06DC"/>
    <w:rsid w:val="00FF0B98"/>
    <w:rsid w:val="00FF2B1D"/>
    <w:rsid w:val="00FF58C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uiPriority w:val="34"/>
    <w:qFormat/>
    <w:rsid w:val="005908B4"/>
    <w:pPr>
      <w:ind w:left="720"/>
      <w:contextualSpacing/>
    </w:pPr>
  </w:style>
  <w:style w:type="character" w:styleId="UnresolvedMention">
    <w:name w:val="Unresolved Mention"/>
    <w:basedOn w:val="DefaultParagraphFont"/>
    <w:uiPriority w:val="99"/>
    <w:semiHidden/>
    <w:unhideWhenUsed/>
    <w:rsid w:val="00C0375B"/>
    <w:rPr>
      <w:color w:val="605E5C"/>
      <w:shd w:val="clear" w:color="auto" w:fill="E1DFDD"/>
    </w:rPr>
  </w:style>
  <w:style w:type="paragraph" w:styleId="Revision">
    <w:name w:val="Revision"/>
    <w:hidden/>
    <w:semiHidden/>
    <w:rsid w:val="000A5B59"/>
    <w:rPr>
      <w:rFonts w:ascii="Times New Roman" w:eastAsia="Times New Roman" w:hAnsi="Times New Roman"/>
      <w:sz w:val="22"/>
      <w:szCs w:val="24"/>
      <w:lang w:val="en-GB"/>
    </w:rPr>
  </w:style>
  <w:style w:type="character" w:styleId="FollowedHyperlink">
    <w:name w:val="FollowedHyperlink"/>
    <w:basedOn w:val="DefaultParagraphFont"/>
    <w:semiHidden/>
    <w:unhideWhenUsed/>
    <w:rsid w:val="00440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1" TargetMode="External"/><Relationship Id="rId13" Type="http://schemas.openxmlformats.org/officeDocument/2006/relationships/hyperlink" Target="https://ich.unesco.org/doc/src/LHE-21-16.COM_WG-5-EN.docx" TargetMode="External"/><Relationship Id="rId18" Type="http://schemas.openxmlformats.org/officeDocument/2006/relationships/hyperlink" Target="https://ich.unesco.org/en/Decisions/13.COM/9" TargetMode="External"/><Relationship Id="rId26" Type="http://schemas.openxmlformats.org/officeDocument/2006/relationships/hyperlink" Target="https://ich.unesco.org/en/Decisions/7.COM/14" TargetMode="External"/><Relationship Id="rId3" Type="http://schemas.openxmlformats.org/officeDocument/2006/relationships/styles" Target="styles.xml"/><Relationship Id="rId21" Type="http://schemas.openxmlformats.org/officeDocument/2006/relationships/hyperlink" Target="https://ich.unesco.org/en/Decisions/7.COM/14" TargetMode="External"/><Relationship Id="rId7" Type="http://schemas.openxmlformats.org/officeDocument/2006/relationships/endnotes" Target="endnotes.xml"/><Relationship Id="rId12" Type="http://schemas.openxmlformats.org/officeDocument/2006/relationships/hyperlink" Target="https://ich.unesco.org/doc/src/52249-EN.docx" TargetMode="External"/><Relationship Id="rId17" Type="http://schemas.openxmlformats.org/officeDocument/2006/relationships/hyperlink" Target="https://ich.unesco.org/en/Decisions/12.COM/14" TargetMode="External"/><Relationship Id="rId25" Type="http://schemas.openxmlformats.org/officeDocument/2006/relationships/hyperlink" Target="https://ich.unesco.org/en/Decisions/14.COM/14" TargetMode="External"/><Relationship Id="rId2" Type="http://schemas.openxmlformats.org/officeDocument/2006/relationships/numbering" Target="numbering.xml"/><Relationship Id="rId16" Type="http://schemas.openxmlformats.org/officeDocument/2006/relationships/hyperlink" Target="https://ich.unesco.org/en/Decisions/8.GA/11" TargetMode="External"/><Relationship Id="rId20" Type="http://schemas.openxmlformats.org/officeDocument/2006/relationships/hyperlink" Target="https://ich.unesco.org/doc/src/52151-EN.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4" TargetMode="External"/><Relationship Id="rId24" Type="http://schemas.openxmlformats.org/officeDocument/2006/relationships/hyperlink" Target="https://ich.unesco.org/doc/src/52249-EN.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52149-EN.docx" TargetMode="External"/><Relationship Id="rId23" Type="http://schemas.openxmlformats.org/officeDocument/2006/relationships/hyperlink" Target="https://ich.unesco.org/en/Decisions/15.COM/8" TargetMode="External"/><Relationship Id="rId28" Type="http://schemas.openxmlformats.org/officeDocument/2006/relationships/header" Target="header1.xml"/><Relationship Id="rId10" Type="http://schemas.openxmlformats.org/officeDocument/2006/relationships/hyperlink" Target="https://ich.unesco.org/en/Decisions/14.COM/12" TargetMode="External"/><Relationship Id="rId19" Type="http://schemas.openxmlformats.org/officeDocument/2006/relationships/hyperlink" Target="https://ich.unesco.org/en/Decisions/14.COM/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2.COM/11.c" TargetMode="External"/><Relationship Id="rId14" Type="http://schemas.openxmlformats.org/officeDocument/2006/relationships/hyperlink" Target="https://ich.unesco.org/doc/src/LHE-21-16.COM_WG-7-EN.docx" TargetMode="External"/><Relationship Id="rId22" Type="http://schemas.openxmlformats.org/officeDocument/2006/relationships/hyperlink" Target="https://ich.unesco.org/en/Decisions/14.COM/14" TargetMode="External"/><Relationship Id="rId27" Type="http://schemas.openxmlformats.org/officeDocument/2006/relationships/hyperlink" Target="https://ich.unesco.org/en/Decisions/10.COM/10"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4868</Words>
  <Characters>27752</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2021-08-31T15:05:00Z</dcterms:created>
  <dcterms:modified xsi:type="dcterms:W3CDTF">2021-09-06T08:53:00Z</dcterms:modified>
</cp:coreProperties>
</file>