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2B41D" w14:textId="53AE0E27" w:rsidR="002938F2" w:rsidRPr="00636760" w:rsidRDefault="002938F2" w:rsidP="00AE1B18">
      <w:pPr>
        <w:spacing w:before="1440"/>
        <w:jc w:val="center"/>
        <w:rPr>
          <w:rFonts w:ascii="Arial" w:hAnsi="Arial" w:cs="Arial"/>
          <w:b/>
          <w:szCs w:val="22"/>
        </w:rPr>
      </w:pPr>
      <w:bookmarkStart w:id="0" w:name="_top"/>
      <w:bookmarkEnd w:id="0"/>
      <w:r w:rsidRPr="00636760">
        <w:rPr>
          <w:rFonts w:ascii="Arial" w:hAnsi="Arial" w:cs="Arial"/>
          <w:b/>
          <w:szCs w:val="22"/>
        </w:rPr>
        <w:t>CONVENTION FOR THE SAFEGUARDING OF THE</w:t>
      </w:r>
      <w:r w:rsidRPr="00636760">
        <w:rPr>
          <w:rFonts w:ascii="Arial" w:hAnsi="Arial" w:cs="Arial"/>
          <w:b/>
          <w:szCs w:val="22"/>
        </w:rPr>
        <w:br/>
        <w:t>INTANGIBLE CULTURAL HERITAGE</w:t>
      </w:r>
    </w:p>
    <w:p w14:paraId="3A9B48CB" w14:textId="1B845C42" w:rsidR="00F75CF4" w:rsidRDefault="00F75CF4" w:rsidP="00F75CF4">
      <w:pPr>
        <w:spacing w:before="840" w:after="0"/>
        <w:jc w:val="center"/>
        <w:rPr>
          <w:rFonts w:ascii="Arial" w:eastAsiaTheme="minorEastAsia" w:hAnsi="Arial" w:cs="Arial"/>
          <w:b/>
          <w:szCs w:val="22"/>
          <w:lang w:eastAsia="ko-KR"/>
        </w:rPr>
      </w:pPr>
      <w:r>
        <w:rPr>
          <w:rFonts w:ascii="Arial" w:eastAsiaTheme="minorEastAsia" w:hAnsi="Arial" w:cs="Arial" w:hint="eastAsia"/>
          <w:b/>
          <w:szCs w:val="22"/>
          <w:lang w:eastAsia="ko-KR"/>
        </w:rPr>
        <w:t>Open-ended intergovernmental working group</w:t>
      </w:r>
      <w:r>
        <w:rPr>
          <w:rFonts w:ascii="Arial" w:eastAsiaTheme="minorEastAsia" w:hAnsi="Arial" w:cs="Arial" w:hint="eastAsia"/>
          <w:b/>
          <w:szCs w:val="22"/>
          <w:lang w:eastAsia="ko-KR"/>
        </w:rPr>
        <w:br/>
      </w:r>
      <w:r w:rsidR="00292DE8" w:rsidRPr="00292DE8">
        <w:rPr>
          <w:rFonts w:ascii="Arial" w:eastAsiaTheme="minorEastAsia" w:hAnsi="Arial" w:cs="Arial"/>
          <w:b/>
          <w:szCs w:val="22"/>
          <w:lang w:eastAsia="ko-KR"/>
        </w:rPr>
        <w:t>in the framework of the global reflection on the listing mechanisms</w:t>
      </w:r>
      <w:r w:rsidR="000F483B">
        <w:rPr>
          <w:rFonts w:ascii="Arial" w:eastAsiaTheme="minorEastAsia" w:hAnsi="Arial" w:cs="Arial"/>
          <w:b/>
          <w:szCs w:val="22"/>
          <w:lang w:eastAsia="ko-KR"/>
        </w:rPr>
        <w:t xml:space="preserve"> of the 2003 Convention</w:t>
      </w:r>
    </w:p>
    <w:p w14:paraId="7822654B" w14:textId="77777777" w:rsidR="003978E3" w:rsidRDefault="003978E3" w:rsidP="003978E3">
      <w:pPr>
        <w:spacing w:before="840" w:after="0"/>
        <w:jc w:val="center"/>
        <w:rPr>
          <w:rFonts w:ascii="Arial" w:eastAsiaTheme="minorEastAsia" w:hAnsi="Arial" w:cs="Arial"/>
          <w:b/>
          <w:szCs w:val="22"/>
          <w:lang w:eastAsia="ko-KR"/>
        </w:rPr>
      </w:pPr>
      <w:r>
        <w:rPr>
          <w:rFonts w:ascii="Arial" w:eastAsiaTheme="minorEastAsia" w:hAnsi="Arial" w:cs="Arial"/>
          <w:b/>
          <w:szCs w:val="22"/>
          <w:lang w:eastAsia="ko-KR"/>
        </w:rPr>
        <w:t>Online</w:t>
      </w:r>
    </w:p>
    <w:p w14:paraId="5A94F87D" w14:textId="77777777" w:rsidR="003978E3" w:rsidRPr="00F75CF4" w:rsidRDefault="003978E3" w:rsidP="003978E3">
      <w:pPr>
        <w:spacing w:after="0"/>
        <w:jc w:val="center"/>
        <w:rPr>
          <w:rFonts w:ascii="Arial" w:eastAsiaTheme="minorEastAsia" w:hAnsi="Arial" w:cs="Arial"/>
          <w:b/>
          <w:szCs w:val="22"/>
          <w:lang w:eastAsia="ko-KR"/>
        </w:rPr>
      </w:pPr>
      <w:r>
        <w:rPr>
          <w:rFonts w:ascii="Arial" w:eastAsiaTheme="minorEastAsia" w:hAnsi="Arial" w:cs="Arial"/>
          <w:b/>
          <w:szCs w:val="22"/>
          <w:lang w:eastAsia="ko-KR"/>
        </w:rPr>
        <w:t>9.30 – 17.30 (Paris time / UTC+2)</w:t>
      </w:r>
    </w:p>
    <w:p w14:paraId="200DB232" w14:textId="77777777" w:rsidR="003978E3" w:rsidRPr="006C2A6B" w:rsidRDefault="003978E3" w:rsidP="003978E3">
      <w:pPr>
        <w:spacing w:after="0"/>
        <w:jc w:val="center"/>
        <w:rPr>
          <w:rFonts w:ascii="Arial" w:hAnsi="Arial" w:cs="Arial"/>
          <w:b/>
          <w:szCs w:val="22"/>
        </w:rPr>
      </w:pPr>
      <w:r>
        <w:rPr>
          <w:rFonts w:ascii="Arial" w:eastAsiaTheme="minorEastAsia" w:hAnsi="Arial" w:cs="Arial"/>
          <w:b/>
          <w:szCs w:val="22"/>
          <w:lang w:eastAsia="ko-KR"/>
        </w:rPr>
        <w:t>9 and 10 September</w:t>
      </w:r>
      <w:r>
        <w:rPr>
          <w:rFonts w:ascii="Arial" w:hAnsi="Arial" w:cs="Arial"/>
          <w:b/>
          <w:szCs w:val="22"/>
        </w:rPr>
        <w:t xml:space="preserve"> 2021 </w:t>
      </w:r>
      <w:r w:rsidRPr="005B0C62">
        <w:rPr>
          <w:rFonts w:ascii="Arial" w:hAnsi="Arial" w:cs="Arial"/>
          <w:b/>
          <w:szCs w:val="22"/>
        </w:rPr>
        <w:t>(Part I</w:t>
      </w:r>
      <w:r>
        <w:rPr>
          <w:rFonts w:ascii="Arial" w:hAnsi="Arial" w:cs="Arial"/>
          <w:b/>
          <w:szCs w:val="22"/>
        </w:rPr>
        <w:t>I</w:t>
      </w:r>
      <w:r w:rsidRPr="005B0C62">
        <w:rPr>
          <w:rFonts w:ascii="Arial" w:hAnsi="Arial" w:cs="Arial"/>
          <w:b/>
          <w:szCs w:val="22"/>
        </w:rPr>
        <w:t>)</w:t>
      </w:r>
    </w:p>
    <w:p w14:paraId="202C5426" w14:textId="092316FA" w:rsidR="00CB500D" w:rsidRPr="00293C60" w:rsidRDefault="00CB500D" w:rsidP="00CB500D">
      <w:pPr>
        <w:pStyle w:val="Sansinterligne2"/>
        <w:spacing w:before="720"/>
        <w:jc w:val="center"/>
        <w:rPr>
          <w:rFonts w:ascii="Arial" w:hAnsi="Arial" w:cs="Arial"/>
          <w:b/>
          <w:sz w:val="22"/>
          <w:szCs w:val="22"/>
          <w:lang w:val="en-GB"/>
        </w:rPr>
      </w:pPr>
      <w:r w:rsidRPr="00293C60">
        <w:rPr>
          <w:rFonts w:ascii="Arial" w:hAnsi="Arial" w:cs="Arial"/>
          <w:b/>
          <w:sz w:val="22"/>
          <w:szCs w:val="22"/>
          <w:u w:val="single"/>
          <w:lang w:val="en-GB"/>
        </w:rPr>
        <w:t>Item</w:t>
      </w:r>
      <w:r w:rsidR="00365B94">
        <w:rPr>
          <w:rFonts w:ascii="Arial" w:hAnsi="Arial" w:cs="Arial"/>
          <w:b/>
          <w:sz w:val="22"/>
          <w:szCs w:val="22"/>
          <w:u w:val="single"/>
          <w:lang w:val="en-GB"/>
        </w:rPr>
        <w:t xml:space="preserve"> </w:t>
      </w:r>
      <w:r w:rsidR="00BE0AED">
        <w:rPr>
          <w:rFonts w:ascii="Arial" w:hAnsi="Arial" w:cs="Arial"/>
          <w:b/>
          <w:sz w:val="22"/>
          <w:szCs w:val="22"/>
          <w:u w:val="single"/>
          <w:lang w:val="en-GB"/>
        </w:rPr>
        <w:t>7</w:t>
      </w:r>
      <w:r>
        <w:rPr>
          <w:rFonts w:ascii="Arial" w:hAnsi="Arial" w:cs="Arial"/>
          <w:b/>
          <w:sz w:val="22"/>
          <w:szCs w:val="22"/>
          <w:u w:val="single"/>
          <w:lang w:val="en-GB"/>
        </w:rPr>
        <w:t xml:space="preserve"> </w:t>
      </w:r>
      <w:r w:rsidRPr="00293C60">
        <w:rPr>
          <w:rFonts w:ascii="Arial" w:hAnsi="Arial" w:cs="Arial"/>
          <w:b/>
          <w:sz w:val="22"/>
          <w:szCs w:val="22"/>
          <w:u w:val="single"/>
          <w:lang w:val="en-GB"/>
        </w:rPr>
        <w:t>of the Agenda</w:t>
      </w:r>
      <w:r w:rsidRPr="00293C60">
        <w:rPr>
          <w:rFonts w:ascii="Arial" w:hAnsi="Arial" w:cs="Arial"/>
          <w:b/>
          <w:sz w:val="22"/>
          <w:szCs w:val="22"/>
          <w:lang w:val="en-GB"/>
        </w:rPr>
        <w:t>:</w:t>
      </w:r>
    </w:p>
    <w:p w14:paraId="6D45854C" w14:textId="79436EA1" w:rsidR="00251C9B" w:rsidRPr="00F10723" w:rsidRDefault="00BE0AED" w:rsidP="00251C9B">
      <w:pPr>
        <w:pStyle w:val="Sansinterligne2"/>
        <w:spacing w:after="1200"/>
        <w:jc w:val="center"/>
        <w:rPr>
          <w:rFonts w:ascii="Arial" w:hAnsi="Arial" w:cs="Arial"/>
          <w:b/>
          <w:sz w:val="22"/>
          <w:szCs w:val="22"/>
          <w:lang w:val="en-GB"/>
        </w:rPr>
      </w:pPr>
      <w:r>
        <w:rPr>
          <w:rFonts w:ascii="Arial" w:hAnsi="Arial" w:cs="Arial"/>
          <w:b/>
          <w:sz w:val="22"/>
          <w:szCs w:val="22"/>
          <w:lang w:val="en-GB"/>
        </w:rPr>
        <w:t>Other issues requiring further reflection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CB500D" w:rsidRPr="00A725CF" w14:paraId="11E38FB5" w14:textId="77777777" w:rsidTr="00D1707A">
        <w:trPr>
          <w:jc w:val="center"/>
        </w:trPr>
        <w:tc>
          <w:tcPr>
            <w:tcW w:w="5670" w:type="dxa"/>
            <w:vAlign w:val="center"/>
          </w:tcPr>
          <w:p w14:paraId="3AB020B5" w14:textId="0FB70A21" w:rsidR="00CB500D" w:rsidRPr="00551234" w:rsidRDefault="002F30A8" w:rsidP="00D1707A">
            <w:pPr>
              <w:pStyle w:val="Sansinterligne2"/>
              <w:spacing w:before="200" w:after="200"/>
              <w:jc w:val="both"/>
              <w:rPr>
                <w:rFonts w:ascii="Arial" w:hAnsi="Arial" w:cs="Arial"/>
                <w:b/>
                <w:sz w:val="22"/>
                <w:szCs w:val="22"/>
                <w:lang w:val="en-GB"/>
              </w:rPr>
            </w:pPr>
            <w:r w:rsidRPr="002968E2">
              <w:rPr>
                <w:rFonts w:ascii="Arial" w:hAnsi="Arial" w:cs="Arial"/>
                <w:bCs/>
                <w:sz w:val="22"/>
                <w:szCs w:val="22"/>
                <w:lang w:val="en-GB"/>
              </w:rPr>
              <w:t xml:space="preserve">In concluding </w:t>
            </w:r>
            <w:r w:rsidRPr="00551234">
              <w:rPr>
                <w:rFonts w:ascii="Arial" w:hAnsi="Arial" w:cs="Arial"/>
                <w:bCs/>
                <w:sz w:val="22"/>
                <w:szCs w:val="22"/>
                <w:lang w:val="en-GB"/>
              </w:rPr>
              <w:t xml:space="preserve">Part I of its meeting (online, 8 and 9 July 2021), the Open-ended intergovernmental working group decided to further discuss </w:t>
            </w:r>
            <w:proofErr w:type="gramStart"/>
            <w:r w:rsidRPr="00551234">
              <w:rPr>
                <w:rFonts w:ascii="Arial" w:hAnsi="Arial" w:cs="Arial"/>
                <w:bCs/>
                <w:sz w:val="22"/>
                <w:szCs w:val="22"/>
                <w:lang w:val="en-GB"/>
              </w:rPr>
              <w:t>a number of</w:t>
            </w:r>
            <w:proofErr w:type="gramEnd"/>
            <w:r w:rsidRPr="00551234">
              <w:rPr>
                <w:rFonts w:ascii="Arial" w:hAnsi="Arial" w:cs="Arial"/>
                <w:bCs/>
                <w:sz w:val="22"/>
                <w:szCs w:val="22"/>
                <w:lang w:val="en-GB"/>
              </w:rPr>
              <w:t xml:space="preserve"> issues when </w:t>
            </w:r>
            <w:r w:rsidR="006D1FED">
              <w:rPr>
                <w:rFonts w:ascii="Arial" w:hAnsi="Arial" w:cs="Arial"/>
                <w:bCs/>
                <w:sz w:val="22"/>
                <w:szCs w:val="22"/>
                <w:lang w:val="en-GB"/>
              </w:rPr>
              <w:t>resuming</w:t>
            </w:r>
            <w:r w:rsidR="00FC7BDD" w:rsidRPr="00551234">
              <w:rPr>
                <w:rFonts w:ascii="Arial" w:hAnsi="Arial" w:cs="Arial"/>
                <w:bCs/>
                <w:sz w:val="22"/>
                <w:szCs w:val="22"/>
                <w:lang w:val="en-GB"/>
              </w:rPr>
              <w:t xml:space="preserve"> </w:t>
            </w:r>
            <w:r w:rsidRPr="00551234">
              <w:rPr>
                <w:rFonts w:ascii="Arial" w:hAnsi="Arial" w:cs="Arial"/>
                <w:bCs/>
                <w:sz w:val="22"/>
                <w:szCs w:val="22"/>
                <w:lang w:val="en-GB"/>
              </w:rPr>
              <w:t>Part II</w:t>
            </w:r>
            <w:r w:rsidR="00AB7CDC" w:rsidRPr="00551234">
              <w:rPr>
                <w:rFonts w:ascii="Arial" w:hAnsi="Arial" w:cs="Arial"/>
                <w:bCs/>
                <w:sz w:val="22"/>
                <w:szCs w:val="22"/>
                <w:lang w:val="en-GB"/>
              </w:rPr>
              <w:t xml:space="preserve"> of </w:t>
            </w:r>
            <w:r w:rsidR="00FC7BDD">
              <w:rPr>
                <w:rFonts w:ascii="Arial" w:hAnsi="Arial" w:cs="Arial"/>
                <w:bCs/>
                <w:sz w:val="22"/>
                <w:szCs w:val="22"/>
                <w:lang w:val="en-GB"/>
              </w:rPr>
              <w:t>its</w:t>
            </w:r>
            <w:r w:rsidR="00FC7BDD" w:rsidRPr="00551234">
              <w:rPr>
                <w:rFonts w:ascii="Arial" w:hAnsi="Arial" w:cs="Arial"/>
                <w:bCs/>
                <w:sz w:val="22"/>
                <w:szCs w:val="22"/>
                <w:lang w:val="en-GB"/>
              </w:rPr>
              <w:t xml:space="preserve"> </w:t>
            </w:r>
            <w:r w:rsidR="00AB7CDC" w:rsidRPr="00551234">
              <w:rPr>
                <w:rFonts w:ascii="Arial" w:hAnsi="Arial" w:cs="Arial"/>
                <w:bCs/>
                <w:sz w:val="22"/>
                <w:szCs w:val="22"/>
                <w:lang w:val="en-GB"/>
              </w:rPr>
              <w:t>meeting</w:t>
            </w:r>
            <w:r w:rsidRPr="00551234">
              <w:rPr>
                <w:rFonts w:ascii="Arial" w:hAnsi="Arial" w:cs="Arial"/>
                <w:bCs/>
                <w:sz w:val="22"/>
                <w:szCs w:val="22"/>
                <w:lang w:val="en-GB"/>
              </w:rPr>
              <w:t xml:space="preserve">. The present document provides </w:t>
            </w:r>
            <w:r w:rsidR="00AB7CDC" w:rsidRPr="00551234">
              <w:rPr>
                <w:rFonts w:ascii="Arial" w:hAnsi="Arial" w:cs="Arial"/>
                <w:bCs/>
                <w:sz w:val="22"/>
                <w:szCs w:val="22"/>
                <w:lang w:val="en-GB"/>
              </w:rPr>
              <w:t xml:space="preserve">additional information and </w:t>
            </w:r>
            <w:r w:rsidRPr="00551234">
              <w:rPr>
                <w:rFonts w:ascii="Arial" w:hAnsi="Arial" w:cs="Arial"/>
                <w:bCs/>
                <w:sz w:val="22"/>
                <w:szCs w:val="22"/>
                <w:lang w:val="en-GB"/>
              </w:rPr>
              <w:t xml:space="preserve">proposals regarding </w:t>
            </w:r>
            <w:r w:rsidR="00085CC8" w:rsidRPr="00A54904">
              <w:rPr>
                <w:rFonts w:ascii="Arial" w:hAnsi="Arial" w:cs="Arial"/>
                <w:bCs/>
                <w:sz w:val="22"/>
                <w:szCs w:val="22"/>
                <w:lang w:val="en-GB"/>
              </w:rPr>
              <w:t>D</w:t>
            </w:r>
            <w:r w:rsidR="00410CD6" w:rsidRPr="00A54904">
              <w:rPr>
                <w:rFonts w:ascii="Arial" w:hAnsi="Arial" w:cs="Arial"/>
                <w:bCs/>
                <w:sz w:val="22"/>
                <w:szCs w:val="22"/>
                <w:lang w:val="en-GB"/>
              </w:rPr>
              <w:t>) </w:t>
            </w:r>
            <w:r w:rsidR="00085CC8" w:rsidRPr="002968E2">
              <w:rPr>
                <w:rFonts w:ascii="Arial" w:hAnsi="Arial" w:cs="Arial"/>
                <w:bCs/>
                <w:sz w:val="22"/>
                <w:szCs w:val="22"/>
                <w:lang w:val="en-GB"/>
              </w:rPr>
              <w:t xml:space="preserve">Feasibility, </w:t>
            </w:r>
            <w:proofErr w:type="gramStart"/>
            <w:r w:rsidR="00085CC8" w:rsidRPr="002968E2">
              <w:rPr>
                <w:rFonts w:ascii="Arial" w:hAnsi="Arial" w:cs="Arial"/>
                <w:bCs/>
                <w:sz w:val="22"/>
                <w:szCs w:val="22"/>
                <w:lang w:val="en-GB"/>
              </w:rPr>
              <w:t>roles</w:t>
            </w:r>
            <w:proofErr w:type="gramEnd"/>
            <w:r w:rsidR="00085CC8" w:rsidRPr="002968E2">
              <w:rPr>
                <w:rFonts w:ascii="Arial" w:hAnsi="Arial" w:cs="Arial"/>
                <w:bCs/>
                <w:sz w:val="22"/>
                <w:szCs w:val="22"/>
                <w:lang w:val="en-GB"/>
              </w:rPr>
              <w:t xml:space="preserve"> and functionality for creating a platform/network/forum for the follow-up of inscribed elements</w:t>
            </w:r>
            <w:r w:rsidR="00410CD6" w:rsidRPr="002968E2">
              <w:rPr>
                <w:rFonts w:ascii="Arial" w:hAnsi="Arial" w:cs="Arial"/>
                <w:bCs/>
                <w:sz w:val="22"/>
                <w:szCs w:val="22"/>
                <w:lang w:val="en-GB"/>
              </w:rPr>
              <w:t xml:space="preserve"> and </w:t>
            </w:r>
            <w:r w:rsidR="00085CC8" w:rsidRPr="00A54904">
              <w:rPr>
                <w:rFonts w:ascii="Arial" w:hAnsi="Arial" w:cs="Arial"/>
                <w:bCs/>
                <w:sz w:val="22"/>
                <w:szCs w:val="22"/>
                <w:lang w:val="en-GB"/>
              </w:rPr>
              <w:t>E</w:t>
            </w:r>
            <w:r w:rsidR="00410CD6" w:rsidRPr="002968E2">
              <w:rPr>
                <w:rFonts w:ascii="Arial" w:hAnsi="Arial" w:cs="Arial"/>
                <w:bCs/>
                <w:sz w:val="22"/>
                <w:szCs w:val="22"/>
                <w:lang w:val="en-GB"/>
              </w:rPr>
              <w:t>) </w:t>
            </w:r>
            <w:r w:rsidR="00FC7BDD">
              <w:rPr>
                <w:rFonts w:ascii="Arial" w:hAnsi="Arial" w:cs="Arial"/>
                <w:bCs/>
                <w:sz w:val="22"/>
                <w:szCs w:val="22"/>
                <w:lang w:val="en-GB"/>
              </w:rPr>
              <w:t>N</w:t>
            </w:r>
            <w:r w:rsidR="00410CD6" w:rsidRPr="002968E2">
              <w:rPr>
                <w:rFonts w:ascii="Arial" w:hAnsi="Arial" w:cs="Arial"/>
                <w:bCs/>
                <w:sz w:val="22"/>
                <w:szCs w:val="22"/>
                <w:lang w:val="en-GB"/>
              </w:rPr>
              <w:t>umber of files per cycle</w:t>
            </w:r>
            <w:r w:rsidRPr="00551234">
              <w:rPr>
                <w:rFonts w:ascii="Arial" w:hAnsi="Arial" w:cs="Arial"/>
                <w:bCs/>
                <w:sz w:val="22"/>
                <w:szCs w:val="22"/>
                <w:lang w:val="en-GB"/>
              </w:rPr>
              <w:t>.</w:t>
            </w:r>
          </w:p>
        </w:tc>
      </w:tr>
    </w:tbl>
    <w:p w14:paraId="5A14B7F8" w14:textId="6FE227CB" w:rsidR="00E22B99" w:rsidRDefault="00851458" w:rsidP="00365B94">
      <w:pPr>
        <w:pStyle w:val="1GAPara"/>
        <w:numPr>
          <w:ilvl w:val="0"/>
          <w:numId w:val="0"/>
        </w:numPr>
        <w:ind w:left="567" w:hanging="567"/>
      </w:pPr>
      <w:r w:rsidRPr="004E056C">
        <w:br w:type="page"/>
      </w:r>
    </w:p>
    <w:p w14:paraId="7DB6B935" w14:textId="77777777" w:rsidR="001D2891" w:rsidRPr="0012313A" w:rsidRDefault="001D2891" w:rsidP="001D2891">
      <w:pPr>
        <w:pStyle w:val="1GAPara"/>
        <w:numPr>
          <w:ilvl w:val="0"/>
          <w:numId w:val="0"/>
        </w:numPr>
        <w:ind w:left="567" w:hanging="567"/>
        <w:rPr>
          <w:b/>
          <w:bCs/>
        </w:rPr>
      </w:pPr>
      <w:r w:rsidRPr="0012313A">
        <w:rPr>
          <w:b/>
          <w:bCs/>
        </w:rPr>
        <w:lastRenderedPageBreak/>
        <w:t>Background</w:t>
      </w:r>
    </w:p>
    <w:p w14:paraId="4BD7C588" w14:textId="6D4CE5D9" w:rsidR="00D367B9" w:rsidRPr="008D5D0F" w:rsidRDefault="00D367B9" w:rsidP="00324C3B">
      <w:pPr>
        <w:pStyle w:val="1GAPara"/>
        <w:numPr>
          <w:ilvl w:val="0"/>
          <w:numId w:val="3"/>
        </w:numPr>
        <w:ind w:left="567" w:hanging="567"/>
        <w:jc w:val="both"/>
      </w:pPr>
      <w:r w:rsidRPr="008D5D0F">
        <w:t>The present document seeks to both present a mapping of proposals which have surfaced following experts’ advice and discussions held during</w:t>
      </w:r>
      <w:r w:rsidR="00A55312" w:rsidRPr="008D5D0F">
        <w:t xml:space="preserve"> Part I of</w:t>
      </w:r>
      <w:r w:rsidRPr="008D5D0F">
        <w:t xml:space="preserve"> the Open-ended intergovernmental working group (hereafter referred to as ‘the working group’) and further unpack the potential functionalities and roles of these proposals so that their feasibility can be further discussed during Part II of the meeting. </w:t>
      </w:r>
    </w:p>
    <w:p w14:paraId="626795EE" w14:textId="46241763" w:rsidR="00160F8A" w:rsidRPr="008D5D0F" w:rsidRDefault="001D2891" w:rsidP="00324C3B">
      <w:pPr>
        <w:pStyle w:val="1GAPara"/>
        <w:numPr>
          <w:ilvl w:val="0"/>
          <w:numId w:val="3"/>
        </w:numPr>
        <w:ind w:left="567" w:hanging="567"/>
        <w:jc w:val="both"/>
      </w:pPr>
      <w:r w:rsidRPr="008D5D0F">
        <w:t xml:space="preserve">While </w:t>
      </w:r>
      <w:r w:rsidR="00902A79" w:rsidRPr="008D5D0F">
        <w:t xml:space="preserve">Part I of </w:t>
      </w:r>
      <w:r w:rsidRPr="008D5D0F">
        <w:t>the working group was able to clarify many issue</w:t>
      </w:r>
      <w:r w:rsidR="00902A79" w:rsidRPr="008D5D0F">
        <w:t>s</w:t>
      </w:r>
      <w:r w:rsidR="00835802" w:rsidRPr="008D5D0F">
        <w:t xml:space="preserve"> along the reflection themes</w:t>
      </w:r>
      <w:r w:rsidRPr="008D5D0F">
        <w:t xml:space="preserve">, it was decided to </w:t>
      </w:r>
      <w:r w:rsidR="00E93971" w:rsidRPr="008D5D0F">
        <w:t xml:space="preserve">discuss again </w:t>
      </w:r>
      <w:r w:rsidRPr="008D5D0F">
        <w:t>a set of issues when meeting again in Part II (see paragraph </w:t>
      </w:r>
      <w:r w:rsidR="00835802" w:rsidRPr="008D5D0F">
        <w:t xml:space="preserve">12 of </w:t>
      </w:r>
      <w:hyperlink r:id="rId8" w:history="1">
        <w:r w:rsidR="00835802" w:rsidRPr="008D5D0F">
          <w:rPr>
            <w:rStyle w:val="Lienhypertexte"/>
          </w:rPr>
          <w:t>Recommendations of Part I of the Open-ended intergovernmental working group</w:t>
        </w:r>
      </w:hyperlink>
      <w:r w:rsidR="00835802" w:rsidRPr="008D5D0F">
        <w:t>)</w:t>
      </w:r>
      <w:r w:rsidRPr="008D5D0F">
        <w:t>.</w:t>
      </w:r>
      <w:r w:rsidR="005E1133" w:rsidRPr="008D5D0F">
        <w:t xml:space="preserve"> </w:t>
      </w:r>
      <w:r w:rsidR="00416FF7" w:rsidRPr="008D5D0F">
        <w:t xml:space="preserve">The working group requested the Secretariat to provide further information </w:t>
      </w:r>
      <w:proofErr w:type="gramStart"/>
      <w:r w:rsidR="00C01E8A" w:rsidRPr="008D5D0F">
        <w:t>taking into account</w:t>
      </w:r>
      <w:proofErr w:type="gramEnd"/>
      <w:r w:rsidR="00C01E8A" w:rsidRPr="008D5D0F">
        <w:t xml:space="preserve"> the points agreed </w:t>
      </w:r>
      <w:r w:rsidR="00E93971" w:rsidRPr="008D5D0F">
        <w:t>in this regard</w:t>
      </w:r>
      <w:r w:rsidR="00416FF7" w:rsidRPr="008D5D0F">
        <w:t xml:space="preserve">. </w:t>
      </w:r>
    </w:p>
    <w:p w14:paraId="426BD2C9" w14:textId="4DDE298A" w:rsidR="005E1133" w:rsidRDefault="005E1133" w:rsidP="00324C3B">
      <w:pPr>
        <w:pStyle w:val="1GAPara"/>
        <w:numPr>
          <w:ilvl w:val="0"/>
          <w:numId w:val="3"/>
        </w:numPr>
        <w:ind w:left="567" w:hanging="567"/>
        <w:jc w:val="both"/>
      </w:pPr>
      <w:r w:rsidRPr="008D5D0F">
        <w:t xml:space="preserve">Of these, </w:t>
      </w:r>
      <w:r w:rsidR="00160F8A" w:rsidRPr="008D5D0F">
        <w:t>three topics</w:t>
      </w:r>
      <w:r w:rsidR="007C4069" w:rsidRPr="008D5D0F">
        <w:t xml:space="preserve"> </w:t>
      </w:r>
      <w:r w:rsidR="00AB7CDC" w:rsidRPr="008D5D0F">
        <w:t>that</w:t>
      </w:r>
      <w:r w:rsidR="007C4069" w:rsidRPr="008D5D0F">
        <w:t xml:space="preserve"> are considered </w:t>
      </w:r>
      <w:r w:rsidR="00185D20" w:rsidRPr="008D5D0F">
        <w:t xml:space="preserve">as </w:t>
      </w:r>
      <w:r w:rsidR="007C4069" w:rsidRPr="008D5D0F">
        <w:t>priorit</w:t>
      </w:r>
      <w:r w:rsidR="00185D20" w:rsidRPr="008D5D0F">
        <w:t>ies</w:t>
      </w:r>
      <w:r w:rsidR="007C4069" w:rsidRPr="008D5D0F">
        <w:t xml:space="preserve"> </w:t>
      </w:r>
      <w:r w:rsidR="00160F8A" w:rsidRPr="008D5D0F">
        <w:t>are treated</w:t>
      </w:r>
      <w:r w:rsidRPr="008D5D0F">
        <w:t xml:space="preserve"> in working document</w:t>
      </w:r>
      <w:r>
        <w:t xml:space="preserve"> </w:t>
      </w:r>
      <w:hyperlink r:id="rId9" w:history="1">
        <w:r w:rsidRPr="00C80EAC">
          <w:rPr>
            <w:rStyle w:val="Lienhypertexte"/>
          </w:rPr>
          <w:t>LHE/21/16.COM WG/6</w:t>
        </w:r>
      </w:hyperlink>
      <w:r w:rsidR="00160F8A" w:rsidRPr="00C80EAC">
        <w:t>,</w:t>
      </w:r>
      <w:r w:rsidR="00160F8A">
        <w:t xml:space="preserve"> namely: </w:t>
      </w:r>
    </w:p>
    <w:p w14:paraId="75AE0C39" w14:textId="4A1B4860" w:rsidR="00126957" w:rsidRDefault="00126957" w:rsidP="00126957">
      <w:pPr>
        <w:pStyle w:val="1GAPara"/>
        <w:numPr>
          <w:ilvl w:val="0"/>
          <w:numId w:val="0"/>
        </w:numPr>
        <w:ind w:left="720"/>
        <w:jc w:val="both"/>
      </w:pPr>
      <w:r>
        <w:t>A: a simplified procedure for t</w:t>
      </w:r>
      <w:r w:rsidRPr="00E50503">
        <w:t>ransferring elements between the Lists as well as</w:t>
      </w:r>
      <w:r>
        <w:t xml:space="preserve"> for</w:t>
      </w:r>
      <w:r w:rsidRPr="00E50503">
        <w:t xml:space="preserve"> including in the Register those safeguarding experiences that have successfully improved the viability of elements inscribed on the Urgent Safeguarding </w:t>
      </w:r>
      <w:proofErr w:type="gramStart"/>
      <w:r w:rsidRPr="00E50503">
        <w:t>List</w:t>
      </w:r>
      <w:r>
        <w:t>;</w:t>
      </w:r>
      <w:proofErr w:type="gramEnd"/>
    </w:p>
    <w:p w14:paraId="3117EDA7" w14:textId="0A1BFA9C" w:rsidR="00126957" w:rsidRDefault="00126957" w:rsidP="00126957">
      <w:pPr>
        <w:pStyle w:val="1GAPara"/>
        <w:numPr>
          <w:ilvl w:val="0"/>
          <w:numId w:val="0"/>
        </w:numPr>
        <w:ind w:left="720"/>
        <w:jc w:val="both"/>
      </w:pPr>
      <w:r>
        <w:t>B: a s</w:t>
      </w:r>
      <w:r w:rsidRPr="00E50503">
        <w:t xml:space="preserve">pecific procedure for removing elements from the Lists of the Convention, including the introduction of interim </w:t>
      </w:r>
      <w:proofErr w:type="gramStart"/>
      <w:r w:rsidR="008D5D0F" w:rsidRPr="00E50503">
        <w:t>measures</w:t>
      </w:r>
      <w:r w:rsidR="008D5D0F">
        <w:t>;</w:t>
      </w:r>
      <w:proofErr w:type="gramEnd"/>
    </w:p>
    <w:p w14:paraId="1C61F984" w14:textId="4C5258A4" w:rsidR="00126957" w:rsidRDefault="00126957" w:rsidP="007C4069">
      <w:pPr>
        <w:pStyle w:val="1GAPara"/>
        <w:numPr>
          <w:ilvl w:val="0"/>
          <w:numId w:val="0"/>
        </w:numPr>
        <w:ind w:left="720"/>
        <w:jc w:val="both"/>
      </w:pPr>
      <w:r>
        <w:t>C: Revised procedures for inscription of elements on an extended basis.</w:t>
      </w:r>
    </w:p>
    <w:p w14:paraId="46B25409" w14:textId="77777777" w:rsidR="00F46755" w:rsidRPr="00F46755" w:rsidRDefault="00AB7CDC" w:rsidP="00324C3B">
      <w:pPr>
        <w:pStyle w:val="1GAPara"/>
        <w:numPr>
          <w:ilvl w:val="0"/>
          <w:numId w:val="3"/>
        </w:numPr>
        <w:ind w:left="567" w:hanging="567"/>
        <w:jc w:val="both"/>
        <w:rPr>
          <w:rFonts w:asciiTheme="minorBidi" w:hAnsiTheme="minorBidi" w:cstheme="minorBidi"/>
          <w:i/>
          <w:iCs/>
        </w:rPr>
      </w:pPr>
      <w:r>
        <w:t xml:space="preserve">The present document aims to deal with </w:t>
      </w:r>
      <w:r w:rsidR="00D11339">
        <w:t>questions</w:t>
      </w:r>
      <w:r>
        <w:t xml:space="preserve"> other than the above-mentioned issues, notably:</w:t>
      </w:r>
      <w:r w:rsidR="00F46755" w:rsidRPr="00F46755">
        <w:t xml:space="preserve"> </w:t>
      </w:r>
    </w:p>
    <w:p w14:paraId="4259E93E" w14:textId="1530B5EB" w:rsidR="00F46755" w:rsidRDefault="00F46755" w:rsidP="00F46755">
      <w:pPr>
        <w:pStyle w:val="1GAPara"/>
        <w:numPr>
          <w:ilvl w:val="0"/>
          <w:numId w:val="0"/>
        </w:numPr>
        <w:ind w:left="720"/>
        <w:jc w:val="both"/>
        <w:rPr>
          <w:rFonts w:asciiTheme="minorBidi" w:hAnsiTheme="minorBidi" w:cstheme="minorBidi"/>
          <w:i/>
          <w:iCs/>
        </w:rPr>
      </w:pPr>
      <w:r>
        <w:t>D</w:t>
      </w:r>
      <w:r w:rsidR="009C102E">
        <w:t>:</w:t>
      </w:r>
      <w:r>
        <w:t xml:space="preserve"> </w:t>
      </w:r>
      <w:r w:rsidRPr="00F46755">
        <w:t>Feasibility</w:t>
      </w:r>
      <w:r w:rsidR="00576266">
        <w:rPr>
          <w:rFonts w:asciiTheme="minorBidi" w:hAnsiTheme="minorBidi" w:cstheme="minorBidi"/>
        </w:rPr>
        <w:t xml:space="preserve">, </w:t>
      </w:r>
      <w:proofErr w:type="gramStart"/>
      <w:r w:rsidR="00576266">
        <w:rPr>
          <w:rFonts w:asciiTheme="minorBidi" w:hAnsiTheme="minorBidi" w:cstheme="minorBidi"/>
        </w:rPr>
        <w:t>roles</w:t>
      </w:r>
      <w:proofErr w:type="gramEnd"/>
      <w:r w:rsidR="00576266">
        <w:rPr>
          <w:rFonts w:asciiTheme="minorBidi" w:hAnsiTheme="minorBidi" w:cstheme="minorBidi"/>
        </w:rPr>
        <w:t xml:space="preserve"> a</w:t>
      </w:r>
      <w:r w:rsidRPr="00236771">
        <w:rPr>
          <w:rFonts w:asciiTheme="minorBidi" w:hAnsiTheme="minorBidi" w:cstheme="minorBidi"/>
        </w:rPr>
        <w:t xml:space="preserve">nd functionality of creating </w:t>
      </w:r>
      <w:r>
        <w:rPr>
          <w:rFonts w:asciiTheme="minorBidi" w:hAnsiTheme="minorBidi" w:cstheme="minorBidi"/>
        </w:rPr>
        <w:t xml:space="preserve">an ‘arm’s-length’ online platform, a network </w:t>
      </w:r>
      <w:r w:rsidR="00576266">
        <w:rPr>
          <w:rFonts w:asciiTheme="minorBidi" w:hAnsiTheme="minorBidi" w:cstheme="minorBidi"/>
        </w:rPr>
        <w:t>o</w:t>
      </w:r>
      <w:r>
        <w:rPr>
          <w:rFonts w:asciiTheme="minorBidi" w:hAnsiTheme="minorBidi" w:cstheme="minorBidi"/>
        </w:rPr>
        <w:t>f inscribed elements and a special forum</w:t>
      </w:r>
      <w:r w:rsidR="007573D0">
        <w:rPr>
          <w:rFonts w:asciiTheme="minorBidi" w:hAnsiTheme="minorBidi" w:cstheme="minorBidi"/>
        </w:rPr>
        <w:t xml:space="preserve"> (paragraph</w:t>
      </w:r>
      <w:r w:rsidR="00583EF9">
        <w:rPr>
          <w:rFonts w:asciiTheme="minorBidi" w:hAnsiTheme="minorBidi" w:cstheme="minorBidi"/>
        </w:rPr>
        <w:t>s</w:t>
      </w:r>
      <w:r w:rsidR="007573D0">
        <w:rPr>
          <w:rFonts w:asciiTheme="minorBidi" w:hAnsiTheme="minorBidi" w:cstheme="minorBidi"/>
        </w:rPr>
        <w:t xml:space="preserve"> </w:t>
      </w:r>
      <w:r w:rsidR="00583EF9">
        <w:rPr>
          <w:rFonts w:asciiTheme="minorBidi" w:hAnsiTheme="minorBidi" w:cstheme="minorBidi"/>
        </w:rPr>
        <w:t>12.c and 12.d</w:t>
      </w:r>
      <w:r w:rsidR="007573D0">
        <w:rPr>
          <w:rFonts w:asciiTheme="minorBidi" w:hAnsiTheme="minorBidi" w:cstheme="minorBidi"/>
        </w:rPr>
        <w:t xml:space="preserve"> of the Part I recommendation</w:t>
      </w:r>
      <w:r w:rsidR="00993F2D">
        <w:rPr>
          <w:rFonts w:asciiTheme="minorBidi" w:hAnsiTheme="minorBidi" w:cstheme="minorBidi"/>
        </w:rPr>
        <w:t>s</w:t>
      </w:r>
      <w:r w:rsidR="007573D0">
        <w:rPr>
          <w:rFonts w:asciiTheme="minorBidi" w:hAnsiTheme="minorBidi" w:cstheme="minorBidi"/>
        </w:rPr>
        <w:t>)</w:t>
      </w:r>
      <w:r>
        <w:rPr>
          <w:rFonts w:asciiTheme="minorBidi" w:hAnsiTheme="minorBidi" w:cstheme="minorBidi"/>
        </w:rPr>
        <w:t>.</w:t>
      </w:r>
    </w:p>
    <w:p w14:paraId="4D4BF28B" w14:textId="7170F33F" w:rsidR="00D6246C" w:rsidRDefault="00F46755" w:rsidP="00D6246C">
      <w:pPr>
        <w:pStyle w:val="1GAPara"/>
        <w:numPr>
          <w:ilvl w:val="0"/>
          <w:numId w:val="0"/>
        </w:numPr>
        <w:ind w:left="720"/>
        <w:jc w:val="both"/>
      </w:pPr>
      <w:r>
        <w:t>E</w:t>
      </w:r>
      <w:r w:rsidR="009C102E">
        <w:t>:</w:t>
      </w:r>
      <w:r>
        <w:t xml:space="preserve"> Number of files per cycle, </w:t>
      </w:r>
      <w:proofErr w:type="gramStart"/>
      <w:r>
        <w:t>in particular the</w:t>
      </w:r>
      <w:proofErr w:type="gramEnd"/>
      <w:r>
        <w:t xml:space="preserve"> three specific proposals put forward during Part</w:t>
      </w:r>
      <w:r w:rsidR="009C102E">
        <w:t> </w:t>
      </w:r>
      <w:r>
        <w:t>I of the working group</w:t>
      </w:r>
      <w:r w:rsidR="007573D0">
        <w:t xml:space="preserve"> (paragraph</w:t>
      </w:r>
      <w:r w:rsidR="00993F2D">
        <w:t>s</w:t>
      </w:r>
      <w:r w:rsidR="007573D0">
        <w:t xml:space="preserve"> </w:t>
      </w:r>
      <w:r w:rsidR="00583EF9">
        <w:t>12.i, 12.j and 12.k</w:t>
      </w:r>
      <w:r w:rsidR="007573D0">
        <w:t xml:space="preserve"> of the Part I recommendation</w:t>
      </w:r>
      <w:r w:rsidR="00993F2D">
        <w:t>s</w:t>
      </w:r>
      <w:r w:rsidR="007573D0">
        <w:t>)</w:t>
      </w:r>
      <w:r w:rsidR="00BC7A9F">
        <w:t>.</w:t>
      </w:r>
    </w:p>
    <w:p w14:paraId="68A73510" w14:textId="1EB1CDE8" w:rsidR="00801C7B" w:rsidRPr="0094252B" w:rsidRDefault="00801C7B" w:rsidP="00120F43">
      <w:pPr>
        <w:pStyle w:val="1GAPara"/>
        <w:numPr>
          <w:ilvl w:val="0"/>
          <w:numId w:val="3"/>
        </w:numPr>
        <w:ind w:left="567" w:hanging="567"/>
        <w:jc w:val="both"/>
      </w:pPr>
      <w:r w:rsidRPr="003159DA">
        <w:t xml:space="preserve">In Part I of its meeting, the working group recommended that a reflection for a broader implementation of Article 18 of the Convention be initiated (paragraph 10 of the Part I recommendations), while </w:t>
      </w:r>
      <w:r w:rsidR="00185D20" w:rsidRPr="003159DA">
        <w:t>the</w:t>
      </w:r>
      <w:r w:rsidR="009245EB" w:rsidRPr="003159DA">
        <w:t xml:space="preserve"> possible ‘deletion or reformulation of criteria, other than criterion P.9’ </w:t>
      </w:r>
      <w:r w:rsidRPr="003159DA">
        <w:t xml:space="preserve">could be further discussed pending this reflection </w:t>
      </w:r>
      <w:r w:rsidR="009245EB" w:rsidRPr="003159DA">
        <w:t>(paragraph 12.a of the Part I recommendations)</w:t>
      </w:r>
      <w:r w:rsidR="008324B0">
        <w:t>.</w:t>
      </w:r>
      <w:r w:rsidR="009245EB" w:rsidRPr="003159DA">
        <w:t xml:space="preserve"> Given the direct links between the selection criteria</w:t>
      </w:r>
      <w:r w:rsidR="00A40D4F" w:rsidRPr="003159DA">
        <w:t>,</w:t>
      </w:r>
      <w:r w:rsidR="009245EB" w:rsidRPr="003159DA">
        <w:t xml:space="preserve"> the nature of the Register</w:t>
      </w:r>
      <w:r w:rsidR="00A40D4F" w:rsidRPr="003159DA">
        <w:t xml:space="preserve"> and the broader implementation of Article 18</w:t>
      </w:r>
      <w:r w:rsidR="009245EB" w:rsidRPr="003159DA">
        <w:t xml:space="preserve">, it may be </w:t>
      </w:r>
      <w:r w:rsidR="005342C8">
        <w:t>more efficient</w:t>
      </w:r>
      <w:r w:rsidR="005342C8" w:rsidRPr="003159DA">
        <w:t xml:space="preserve"> </w:t>
      </w:r>
      <w:r w:rsidR="009245EB" w:rsidRPr="003159DA">
        <w:t xml:space="preserve">to frame any discussion on </w:t>
      </w:r>
      <w:r w:rsidR="00100E43" w:rsidRPr="003159DA">
        <w:t xml:space="preserve">possible </w:t>
      </w:r>
      <w:r w:rsidR="009245EB" w:rsidRPr="003159DA">
        <w:t>amend</w:t>
      </w:r>
      <w:r w:rsidR="00100E43" w:rsidRPr="003159DA">
        <w:t>ments to</w:t>
      </w:r>
      <w:r w:rsidR="009245EB" w:rsidRPr="003159DA">
        <w:t xml:space="preserve"> the criteria within </w:t>
      </w:r>
      <w:r w:rsidR="00A40D4F" w:rsidRPr="003159DA">
        <w:t>a future</w:t>
      </w:r>
      <w:r w:rsidR="009245EB" w:rsidRPr="003159DA">
        <w:t xml:space="preserve"> reflection on the implementation of Article 18.</w:t>
      </w:r>
      <w:r w:rsidR="005342C8">
        <w:t xml:space="preserve"> In the meantime</w:t>
      </w:r>
      <w:r w:rsidRPr="0094252B">
        <w:t xml:space="preserve">, </w:t>
      </w:r>
      <w:proofErr w:type="gramStart"/>
      <w:r w:rsidRPr="0094252B">
        <w:t>taking into account</w:t>
      </w:r>
      <w:proofErr w:type="gramEnd"/>
      <w:r w:rsidRPr="0094252B">
        <w:t xml:space="preserve"> that proposals to the Register of Good Safeguarding Practices </w:t>
      </w:r>
      <w:r w:rsidR="005342C8">
        <w:t xml:space="preserve">need to </w:t>
      </w:r>
      <w:r w:rsidRPr="0094252B">
        <w:t>best satisfy the selection criteria (paragraph</w:t>
      </w:r>
      <w:r w:rsidR="008324B0">
        <w:t> </w:t>
      </w:r>
      <w:r w:rsidRPr="0094252B">
        <w:t xml:space="preserve">7 of the Operational Directives) and not strictly meet each and every single criterion, the working group </w:t>
      </w:r>
      <w:r w:rsidR="00A40D4F" w:rsidRPr="0094252B">
        <w:t xml:space="preserve">may wish to recommend that the Committee invite the Evaluation Body to </w:t>
      </w:r>
      <w:r w:rsidR="00161A9A">
        <w:t xml:space="preserve">take note of the discussions of the expert meetings and intergovernmental </w:t>
      </w:r>
      <w:r w:rsidR="003159DA">
        <w:t xml:space="preserve">working group </w:t>
      </w:r>
      <w:r w:rsidR="00161A9A">
        <w:t>in taking</w:t>
      </w:r>
      <w:r w:rsidR="00A40D4F" w:rsidRPr="0094252B">
        <w:t xml:space="preserve"> </w:t>
      </w:r>
      <w:r w:rsidR="00BF6B4A">
        <w:t xml:space="preserve">an </w:t>
      </w:r>
      <w:r w:rsidR="00A40D4F" w:rsidRPr="0094252B">
        <w:t>overall approach when evaluating proposals to the Register.</w:t>
      </w:r>
      <w:r w:rsidR="009245EB" w:rsidRPr="0094252B">
        <w:t xml:space="preserve"> </w:t>
      </w:r>
    </w:p>
    <w:p w14:paraId="7D80D7C4" w14:textId="75BC3DE9" w:rsidR="000D6E3B" w:rsidRDefault="000D6E3B" w:rsidP="002968E2">
      <w:pPr>
        <w:pStyle w:val="1GAPara"/>
        <w:numPr>
          <w:ilvl w:val="0"/>
          <w:numId w:val="3"/>
        </w:numPr>
        <w:ind w:left="567" w:hanging="567"/>
        <w:jc w:val="both"/>
      </w:pPr>
      <w:r>
        <w:t>For issues to be further discussed as per paragraph</w:t>
      </w:r>
      <w:r w:rsidR="0090321E">
        <w:t>s</w:t>
      </w:r>
      <w:r>
        <w:t xml:space="preserve"> </w:t>
      </w:r>
      <w:r w:rsidR="00583EF9">
        <w:t>12.b and 12.g</w:t>
      </w:r>
      <w:r>
        <w:t xml:space="preserve"> of the Part I recommendation</w:t>
      </w:r>
      <w:r w:rsidR="00993F2D">
        <w:t>s</w:t>
      </w:r>
      <w:r>
        <w:t>, the working document</w:t>
      </w:r>
      <w:r w:rsidR="00583EF9">
        <w:t>s</w:t>
      </w:r>
      <w:r>
        <w:t xml:space="preserve"> for Part I remain relevant.</w:t>
      </w:r>
    </w:p>
    <w:p w14:paraId="56104C18" w14:textId="601D3CCC" w:rsidR="007153CE" w:rsidRPr="0053057E" w:rsidRDefault="0053057E" w:rsidP="00324C3B">
      <w:pPr>
        <w:pStyle w:val="1GAPara"/>
        <w:numPr>
          <w:ilvl w:val="0"/>
          <w:numId w:val="4"/>
        </w:numPr>
        <w:spacing w:before="240"/>
        <w:ind w:left="567" w:hanging="567"/>
        <w:rPr>
          <w:rFonts w:asciiTheme="minorBidi" w:hAnsiTheme="minorBidi" w:cstheme="minorBidi"/>
          <w:b/>
          <w:bCs/>
        </w:rPr>
      </w:pPr>
      <w:r w:rsidRPr="0053057E">
        <w:rPr>
          <w:rFonts w:asciiTheme="minorBidi" w:hAnsiTheme="minorBidi" w:cstheme="minorBidi"/>
          <w:b/>
          <w:bCs/>
        </w:rPr>
        <w:t>Feasibility</w:t>
      </w:r>
      <w:r>
        <w:rPr>
          <w:rFonts w:asciiTheme="minorBidi" w:hAnsiTheme="minorBidi" w:cstheme="minorBidi"/>
          <w:b/>
          <w:bCs/>
        </w:rPr>
        <w:t xml:space="preserve">, </w:t>
      </w:r>
      <w:proofErr w:type="gramStart"/>
      <w:r>
        <w:rPr>
          <w:rFonts w:asciiTheme="minorBidi" w:hAnsiTheme="minorBidi" w:cstheme="minorBidi"/>
          <w:b/>
          <w:bCs/>
        </w:rPr>
        <w:t>roles</w:t>
      </w:r>
      <w:proofErr w:type="gramEnd"/>
      <w:r w:rsidRPr="0053057E">
        <w:rPr>
          <w:rFonts w:asciiTheme="minorBidi" w:hAnsiTheme="minorBidi" w:cstheme="minorBidi"/>
          <w:b/>
          <w:bCs/>
        </w:rPr>
        <w:t xml:space="preserve"> and functionality for creating a platform/network/forum for the follow-up of inscribed elements</w:t>
      </w:r>
    </w:p>
    <w:p w14:paraId="1D03CECD" w14:textId="352AF51C" w:rsidR="006B78D0" w:rsidRDefault="0053057E" w:rsidP="0090321E">
      <w:pPr>
        <w:pStyle w:val="1GAPara"/>
        <w:numPr>
          <w:ilvl w:val="0"/>
          <w:numId w:val="3"/>
        </w:numPr>
        <w:spacing w:before="120" w:after="240"/>
        <w:ind w:left="567" w:hanging="567"/>
        <w:jc w:val="both"/>
      </w:pPr>
      <w:r>
        <w:t>During Part I of the meeting, the working group considered</w:t>
      </w:r>
      <w:r w:rsidR="0052546D">
        <w:t xml:space="preserve"> different ways through which to </w:t>
      </w:r>
      <w:r w:rsidR="0052546D" w:rsidRPr="0052546D">
        <w:t>enhanc</w:t>
      </w:r>
      <w:r w:rsidR="0052546D">
        <w:t>e</w:t>
      </w:r>
      <w:r w:rsidR="0052546D" w:rsidRPr="0052546D">
        <w:t xml:space="preserve"> the follow-up of inscribed elements</w:t>
      </w:r>
      <w:r w:rsidR="00FC7BDD">
        <w:t xml:space="preserve"> and</w:t>
      </w:r>
      <w:r w:rsidR="0052546D">
        <w:t xml:space="preserve"> </w:t>
      </w:r>
      <w:r w:rsidR="00FC7BDD">
        <w:t xml:space="preserve">possibly </w:t>
      </w:r>
      <w:r w:rsidR="0052546D">
        <w:t>facilitat</w:t>
      </w:r>
      <w:r w:rsidR="00FC7BDD">
        <w:t>e</w:t>
      </w:r>
      <w:r w:rsidR="0052546D">
        <w:t xml:space="preserve"> community participation, </w:t>
      </w:r>
      <w:proofErr w:type="gramStart"/>
      <w:r w:rsidR="0052546D">
        <w:t>on the basis of</w:t>
      </w:r>
      <w:proofErr w:type="gramEnd"/>
      <w:r w:rsidR="0052546D">
        <w:t xml:space="preserve"> the suggestions</w:t>
      </w:r>
      <w:r w:rsidR="00940428">
        <w:t xml:space="preserve"> made</w:t>
      </w:r>
      <w:r w:rsidR="0052546D">
        <w:t xml:space="preserve"> by the Category VI </w:t>
      </w:r>
      <w:r w:rsidR="00940428">
        <w:t xml:space="preserve">expert </w:t>
      </w:r>
      <w:r w:rsidR="0052546D">
        <w:t>meeting in May 2021</w:t>
      </w:r>
      <w:r w:rsidR="0090321E">
        <w:t>, which can be consulted in the meeting reports of breakout groups</w:t>
      </w:r>
      <w:r w:rsidR="0052546D">
        <w:t>.</w:t>
      </w:r>
      <w:r>
        <w:t xml:space="preserve"> </w:t>
      </w:r>
      <w:r w:rsidR="0052546D">
        <w:t>T</w:t>
      </w:r>
      <w:r>
        <w:t xml:space="preserve">hree </w:t>
      </w:r>
      <w:r w:rsidR="00FC7BDD">
        <w:t xml:space="preserve">types </w:t>
      </w:r>
      <w:r w:rsidR="0052546D">
        <w:t>of functions</w:t>
      </w:r>
      <w:r w:rsidR="00940428">
        <w:t xml:space="preserve"> </w:t>
      </w:r>
      <w:r w:rsidR="0052546D">
        <w:t xml:space="preserve">were </w:t>
      </w:r>
      <w:r w:rsidR="00851A62">
        <w:t xml:space="preserve">considered </w:t>
      </w:r>
      <w:r w:rsidR="00940428">
        <w:t xml:space="preserve">by the </w:t>
      </w:r>
      <w:r w:rsidR="00851A62">
        <w:t xml:space="preserve">working </w:t>
      </w:r>
      <w:r w:rsidR="00940428">
        <w:t>group</w:t>
      </w:r>
      <w:r w:rsidR="0052546D">
        <w:t xml:space="preserve"> – a</w:t>
      </w:r>
      <w:r w:rsidR="00672434">
        <w:t>n arm’s-length</w:t>
      </w:r>
      <w:r w:rsidR="0052546D">
        <w:t xml:space="preserve"> </w:t>
      </w:r>
      <w:r>
        <w:t xml:space="preserve">platform, </w:t>
      </w:r>
      <w:r w:rsidR="0052546D">
        <w:t xml:space="preserve">a </w:t>
      </w:r>
      <w:r>
        <w:t>network</w:t>
      </w:r>
      <w:r w:rsidR="00672434">
        <w:t xml:space="preserve"> of inscribed elements</w:t>
      </w:r>
      <w:r>
        <w:t xml:space="preserve"> </w:t>
      </w:r>
      <w:r w:rsidR="00DE5B97">
        <w:t>and</w:t>
      </w:r>
      <w:r>
        <w:t xml:space="preserve"> </w:t>
      </w:r>
      <w:r w:rsidR="0052546D">
        <w:t>a</w:t>
      </w:r>
      <w:r w:rsidR="00672434">
        <w:t xml:space="preserve"> special</w:t>
      </w:r>
      <w:r w:rsidR="0052546D">
        <w:t xml:space="preserve"> </w:t>
      </w:r>
      <w:r>
        <w:t>forum</w:t>
      </w:r>
      <w:r w:rsidR="00672434">
        <w:t xml:space="preserve"> to represent the voice of bearer communities</w:t>
      </w:r>
      <w:r>
        <w:t xml:space="preserve"> </w:t>
      </w:r>
      <w:r w:rsidR="0052546D">
        <w:t xml:space="preserve">– recognizing that these </w:t>
      </w:r>
      <w:r w:rsidR="0052546D">
        <w:lastRenderedPageBreak/>
        <w:t xml:space="preserve">different </w:t>
      </w:r>
      <w:r w:rsidR="00FC7BDD">
        <w:t xml:space="preserve">functions </w:t>
      </w:r>
      <w:r w:rsidR="00940428">
        <w:t>might</w:t>
      </w:r>
      <w:r w:rsidR="0052546D">
        <w:t xml:space="preserve"> be combined</w:t>
      </w:r>
      <w:r w:rsidR="00DA2E7B">
        <w:t xml:space="preserve"> under the same umbrella</w:t>
      </w:r>
      <w:r>
        <w:t xml:space="preserve">. </w:t>
      </w:r>
      <w:r w:rsidR="0003607A">
        <w:t>T</w:t>
      </w:r>
      <w:r w:rsidR="00F3349E">
        <w:t>he proposals were generally received with interest</w:t>
      </w:r>
      <w:r w:rsidR="0052546D">
        <w:t>,</w:t>
      </w:r>
      <w:r w:rsidR="00B23FF2">
        <w:t xml:space="preserve"> </w:t>
      </w:r>
      <w:r w:rsidR="0090321E">
        <w:t xml:space="preserve">however </w:t>
      </w:r>
      <w:r w:rsidR="00B23FF2">
        <w:t>t</w:t>
      </w:r>
      <w:r>
        <w:t xml:space="preserve">he working group asked </w:t>
      </w:r>
      <w:r w:rsidR="00F3349E">
        <w:t>to receive more precisions</w:t>
      </w:r>
      <w:r>
        <w:t xml:space="preserve"> pertaining to the functionalit</w:t>
      </w:r>
      <w:r w:rsidR="00F3349E">
        <w:t>ies,</w:t>
      </w:r>
      <w:r>
        <w:t xml:space="preserve"> </w:t>
      </w:r>
      <w:proofErr w:type="gramStart"/>
      <w:r>
        <w:t>role</w:t>
      </w:r>
      <w:r w:rsidR="00F3349E">
        <w:t>s</w:t>
      </w:r>
      <w:proofErr w:type="gramEnd"/>
      <w:r>
        <w:t xml:space="preserve"> and feasibility </w:t>
      </w:r>
      <w:r w:rsidR="0090321E">
        <w:t xml:space="preserve">of </w:t>
      </w:r>
      <w:r>
        <w:t>creating such</w:t>
      </w:r>
      <w:r w:rsidR="00FC7BDD">
        <w:t xml:space="preserve"> a</w:t>
      </w:r>
      <w:r w:rsidR="00DB3B19">
        <w:t>n arm’s-length</w:t>
      </w:r>
      <w:r>
        <w:t xml:space="preserve"> </w:t>
      </w:r>
      <w:r w:rsidR="00F3349E">
        <w:t>platform</w:t>
      </w:r>
      <w:r w:rsidR="00DA2E7B">
        <w:t xml:space="preserve">, </w:t>
      </w:r>
      <w:r w:rsidR="00F3349E">
        <w:t>network</w:t>
      </w:r>
      <w:r w:rsidR="00DA2E7B">
        <w:t xml:space="preserve"> and/or </w:t>
      </w:r>
      <w:r w:rsidR="00F3349E">
        <w:t>for</w:t>
      </w:r>
      <w:r w:rsidR="008324B0">
        <w:t>u</w:t>
      </w:r>
      <w:r w:rsidR="00F3349E">
        <w:t>m</w:t>
      </w:r>
      <w:r>
        <w:t>.</w:t>
      </w:r>
      <w:r w:rsidR="0090321E">
        <w:t xml:space="preserve"> </w:t>
      </w:r>
      <w:r w:rsidR="00851A62">
        <w:t xml:space="preserve">The reports of the expert breakout groups 2 and 3 discussed the issues on the follow up of inscribed elements in detail. </w:t>
      </w:r>
      <w:r w:rsidR="00EF30C9">
        <w:t>It must be noted</w:t>
      </w:r>
      <w:r w:rsidR="00851A62">
        <w:t xml:space="preserve">, however, </w:t>
      </w:r>
      <w:r w:rsidR="00EF30C9">
        <w:t xml:space="preserve">that the </w:t>
      </w:r>
      <w:r w:rsidR="0090321E">
        <w:t xml:space="preserve">establishment, maintenance and funding of </w:t>
      </w:r>
      <w:r w:rsidR="006126AC">
        <w:t xml:space="preserve">this </w:t>
      </w:r>
      <w:r w:rsidR="00976948">
        <w:t>platform, network or forum</w:t>
      </w:r>
      <w:r w:rsidR="00BE578E">
        <w:t>,</w:t>
      </w:r>
      <w:r w:rsidR="00976948">
        <w:t xml:space="preserve"> </w:t>
      </w:r>
      <w:r w:rsidR="0090321E">
        <w:t xml:space="preserve">and the </w:t>
      </w:r>
      <w:r w:rsidR="00976948">
        <w:t>status they would have under the Convention</w:t>
      </w:r>
      <w:r w:rsidR="0090321E">
        <w:t xml:space="preserve">, were intentionally not specified by the experts, as </w:t>
      </w:r>
      <w:r w:rsidR="00BE578E">
        <w:t>such</w:t>
      </w:r>
      <w:r w:rsidR="00976948">
        <w:t xml:space="preserve"> administrative, </w:t>
      </w:r>
      <w:proofErr w:type="gramStart"/>
      <w:r w:rsidR="00976948">
        <w:t>financial</w:t>
      </w:r>
      <w:proofErr w:type="gramEnd"/>
      <w:r w:rsidR="00976948">
        <w:t xml:space="preserve"> and technical matters are to be decided through the intergovernmental mechanisms of the Convention.</w:t>
      </w:r>
    </w:p>
    <w:p w14:paraId="6D858CAB" w14:textId="78FAE084" w:rsidR="004930C8" w:rsidRPr="008D5D0F" w:rsidRDefault="00F676AD" w:rsidP="00DB3B19">
      <w:pPr>
        <w:pStyle w:val="1GAPara"/>
        <w:numPr>
          <w:ilvl w:val="0"/>
          <w:numId w:val="3"/>
        </w:numPr>
        <w:spacing w:before="120" w:after="240"/>
        <w:ind w:left="567" w:hanging="567"/>
        <w:jc w:val="both"/>
      </w:pPr>
      <w:r w:rsidRPr="00DB3B19">
        <w:rPr>
          <w:b/>
          <w:bCs/>
        </w:rPr>
        <w:t xml:space="preserve">Status of the </w:t>
      </w:r>
      <w:r w:rsidR="00DB3B19" w:rsidRPr="00DB3B19">
        <w:rPr>
          <w:b/>
          <w:bCs/>
        </w:rPr>
        <w:t>arm’s-length</w:t>
      </w:r>
      <w:r w:rsidR="00DB3B19">
        <w:t xml:space="preserve"> </w:t>
      </w:r>
      <w:r w:rsidRPr="00DB3B19">
        <w:rPr>
          <w:b/>
          <w:bCs/>
        </w:rPr>
        <w:t>platform</w:t>
      </w:r>
      <w:r w:rsidR="00DB3B19">
        <w:rPr>
          <w:b/>
          <w:bCs/>
        </w:rPr>
        <w:t xml:space="preserve">, </w:t>
      </w:r>
      <w:proofErr w:type="gramStart"/>
      <w:r w:rsidRPr="00DB3B19">
        <w:rPr>
          <w:b/>
          <w:bCs/>
        </w:rPr>
        <w:t>network</w:t>
      </w:r>
      <w:proofErr w:type="gramEnd"/>
      <w:r w:rsidR="00DB3B19">
        <w:rPr>
          <w:b/>
          <w:bCs/>
        </w:rPr>
        <w:t xml:space="preserve"> and </w:t>
      </w:r>
      <w:r w:rsidRPr="00DB3B19">
        <w:rPr>
          <w:b/>
          <w:bCs/>
        </w:rPr>
        <w:t>forum</w:t>
      </w:r>
      <w:r w:rsidR="004A607B">
        <w:t>:</w:t>
      </w:r>
      <w:r>
        <w:t xml:space="preserve"> </w:t>
      </w:r>
      <w:r w:rsidR="00A1124B">
        <w:t xml:space="preserve">Based on the proposals from the Category VI expert meeting, the working group discussed three functions as </w:t>
      </w:r>
      <w:r w:rsidR="008855A7">
        <w:t>described in the paragraphs below.</w:t>
      </w:r>
      <w:r w:rsidR="007D6E0B">
        <w:t xml:space="preserve"> </w:t>
      </w:r>
      <w:r w:rsidR="00725876" w:rsidRPr="008D5D0F">
        <w:t xml:space="preserve">While the working group’s initial discussions considered that these functions could be combined, in practical terms these three functions fulfil different </w:t>
      </w:r>
      <w:proofErr w:type="gramStart"/>
      <w:r w:rsidR="00725876" w:rsidRPr="008D5D0F">
        <w:t>roles</w:t>
      </w:r>
      <w:proofErr w:type="gramEnd"/>
      <w:r w:rsidR="00725876" w:rsidRPr="008D5D0F">
        <w:t xml:space="preserve"> and their implementation is not </w:t>
      </w:r>
      <w:r w:rsidR="00793D09" w:rsidRPr="008D5D0F">
        <w:t xml:space="preserve">necessarily </w:t>
      </w:r>
      <w:r w:rsidR="00725876" w:rsidRPr="008D5D0F">
        <w:t xml:space="preserve">linked with one another. It could therefore be envisaged to </w:t>
      </w:r>
      <w:r w:rsidR="00793D09" w:rsidRPr="008D5D0F">
        <w:t>have them supported by</w:t>
      </w:r>
      <w:r w:rsidR="00725876" w:rsidRPr="008D5D0F">
        <w:t xml:space="preserve"> different bodies, such as the </w:t>
      </w:r>
      <w:r w:rsidR="00793D09" w:rsidRPr="008D5D0F">
        <w:t xml:space="preserve">Accredited NGOs </w:t>
      </w:r>
      <w:r w:rsidR="00725876" w:rsidRPr="008D5D0F">
        <w:t xml:space="preserve">(for the </w:t>
      </w:r>
      <w:r w:rsidR="00793D09" w:rsidRPr="008D5D0F">
        <w:t>arm’s length platform</w:t>
      </w:r>
      <w:r w:rsidR="00725876" w:rsidRPr="008D5D0F">
        <w:t xml:space="preserve"> - see document LHE/21/16.COM WG/6), the Secretariat of the Convention (for the network of inscribed elements) and the Secretariat of the Convention and/or the </w:t>
      </w:r>
      <w:r w:rsidR="00793D09" w:rsidRPr="008D5D0F">
        <w:t>ICH NGO Forum</w:t>
      </w:r>
      <w:r w:rsidR="00725876" w:rsidRPr="008D5D0F">
        <w:rPr>
          <w:rStyle w:val="Appelnotedebasdep"/>
        </w:rPr>
        <w:footnoteReference w:id="1"/>
      </w:r>
      <w:r w:rsidR="00725876" w:rsidRPr="008D5D0F">
        <w:t xml:space="preserve"> (for the special forum). It is proposed that the</w:t>
      </w:r>
      <w:r w:rsidR="00145ABB" w:rsidRPr="008D5D0F">
        <w:t xml:space="preserve"> working group consider</w:t>
      </w:r>
      <w:r w:rsidR="00725876" w:rsidRPr="008D5D0F">
        <w:t>s</w:t>
      </w:r>
      <w:r w:rsidR="00145ABB" w:rsidRPr="008D5D0F">
        <w:t xml:space="preserve"> each one of the</w:t>
      </w:r>
      <w:r w:rsidR="00725876" w:rsidRPr="008D5D0F">
        <w:t xml:space="preserve">se functions separately </w:t>
      </w:r>
      <w:r w:rsidR="00145ABB" w:rsidRPr="008D5D0F">
        <w:t xml:space="preserve">when discussing their respective feasibility and roles. </w:t>
      </w:r>
    </w:p>
    <w:p w14:paraId="76432177" w14:textId="6ED3FD7A" w:rsidR="00B02F7A" w:rsidRDefault="00A73B6E" w:rsidP="00A54904">
      <w:pPr>
        <w:pStyle w:val="1GAPara"/>
        <w:numPr>
          <w:ilvl w:val="0"/>
          <w:numId w:val="3"/>
        </w:numPr>
        <w:spacing w:before="120" w:after="240"/>
        <w:ind w:left="567" w:hanging="567"/>
        <w:jc w:val="both"/>
      </w:pPr>
      <w:r>
        <w:rPr>
          <w:b/>
          <w:bCs/>
        </w:rPr>
        <w:t>Arm’s-length p</w:t>
      </w:r>
      <w:r w:rsidR="004A607B" w:rsidRPr="004A607B">
        <w:rPr>
          <w:b/>
          <w:bCs/>
        </w:rPr>
        <w:t>latform for the follow-up of inscribed elements</w:t>
      </w:r>
      <w:r w:rsidR="00EF30C9">
        <w:t>:</w:t>
      </w:r>
      <w:r w:rsidR="006B78D0">
        <w:t xml:space="preserve"> It is </w:t>
      </w:r>
      <w:r w:rsidR="004206C2">
        <w:t xml:space="preserve">intended </w:t>
      </w:r>
      <w:r w:rsidR="006942C0">
        <w:t>to be a platform</w:t>
      </w:r>
      <w:r w:rsidR="00EF4C16">
        <w:t xml:space="preserve"> to coordinate the provision of advisory services to the Committee in the follow-up of inscribed elements (see</w:t>
      </w:r>
      <w:r w:rsidR="00522E37">
        <w:t xml:space="preserve"> </w:t>
      </w:r>
      <w:r w:rsidR="00522E37" w:rsidRPr="00C80EAC">
        <w:t xml:space="preserve">document </w:t>
      </w:r>
      <w:hyperlink r:id="rId10" w:history="1">
        <w:r w:rsidR="00522E37" w:rsidRPr="00C80EAC">
          <w:rPr>
            <w:rStyle w:val="Lienhypertexte"/>
          </w:rPr>
          <w:t>LHE/21/16.COM WG/6</w:t>
        </w:r>
      </w:hyperlink>
      <w:r w:rsidR="00EF4C16" w:rsidRPr="00C80EAC">
        <w:t>). It</w:t>
      </w:r>
      <w:r w:rsidR="00EF4C16">
        <w:t xml:space="preserve"> would</w:t>
      </w:r>
      <w:r w:rsidR="00522E37">
        <w:t xml:space="preserve"> </w:t>
      </w:r>
      <w:r w:rsidR="006126AC">
        <w:t>allow</w:t>
      </w:r>
      <w:r w:rsidR="006A77F7">
        <w:t xml:space="preserve"> </w:t>
      </w:r>
      <w:r w:rsidR="006126AC">
        <w:t xml:space="preserve">the Committee to benefit from the expertise of </w:t>
      </w:r>
      <w:r w:rsidR="006126AC" w:rsidRPr="006B78D0">
        <w:t>community representatives from inscribed elements and selected good safeguarding practices, accredited NGOs, UNESCO Chairs, relevant expert institutions, UNESCO facilitators</w:t>
      </w:r>
      <w:r w:rsidR="00620731">
        <w:t xml:space="preserve"> and </w:t>
      </w:r>
      <w:r w:rsidR="006126AC" w:rsidRPr="006B78D0">
        <w:t>Category 2 Centres</w:t>
      </w:r>
      <w:r w:rsidR="004A682F">
        <w:t>.</w:t>
      </w:r>
      <w:r w:rsidR="004A682F" w:rsidRPr="004A682F">
        <w:t xml:space="preserve"> </w:t>
      </w:r>
      <w:r w:rsidR="004A682F">
        <w:t xml:space="preserve">While the platform would be </w:t>
      </w:r>
      <w:r w:rsidR="003C430C">
        <w:t>run</w:t>
      </w:r>
      <w:r w:rsidR="004A682F">
        <w:t xml:space="preserve"> on a global basis, inter-regional dialogue could be facilitated at the same time through regional ‘rooms’ or similar. </w:t>
      </w:r>
    </w:p>
    <w:p w14:paraId="739A0533" w14:textId="065E2AF9" w:rsidR="00E015DB" w:rsidRDefault="00E015DB" w:rsidP="00E015DB">
      <w:pPr>
        <w:pStyle w:val="1GAPara"/>
        <w:numPr>
          <w:ilvl w:val="0"/>
          <w:numId w:val="3"/>
        </w:numPr>
        <w:spacing w:before="120" w:after="240"/>
        <w:ind w:left="567" w:hanging="567"/>
        <w:jc w:val="both"/>
      </w:pPr>
      <w:r>
        <w:t>The Convention provides</w:t>
      </w:r>
      <w:r w:rsidRPr="00D77AB2">
        <w:t xml:space="preserve"> </w:t>
      </w:r>
      <w:r>
        <w:t xml:space="preserve">a specific and clear framework </w:t>
      </w:r>
      <w:r w:rsidR="006D29B1">
        <w:t xml:space="preserve">to conduct advisory services for </w:t>
      </w:r>
      <w:r>
        <w:t>the</w:t>
      </w:r>
      <w:r w:rsidR="006D29B1">
        <w:t xml:space="preserve"> </w:t>
      </w:r>
      <w:r>
        <w:t xml:space="preserve">Committee: </w:t>
      </w:r>
      <w:hyperlink r:id="rId11" w:history="1">
        <w:r w:rsidRPr="006F2915">
          <w:rPr>
            <w:rStyle w:val="Lienhypertexte"/>
          </w:rPr>
          <w:t>Article</w:t>
        </w:r>
        <w:r>
          <w:rPr>
            <w:rStyle w:val="Lienhypertexte"/>
          </w:rPr>
          <w:t> </w:t>
        </w:r>
        <w:r w:rsidRPr="006F2915">
          <w:rPr>
            <w:rStyle w:val="Lienhypertexte"/>
          </w:rPr>
          <w:t>9</w:t>
        </w:r>
      </w:hyperlink>
      <w:r>
        <w:t xml:space="preserve"> establishes an accreditation system for </w:t>
      </w:r>
      <w:r w:rsidRPr="0020565B">
        <w:t xml:space="preserve">non-governmental organizations (NGOs) </w:t>
      </w:r>
      <w:r>
        <w:t xml:space="preserve">with </w:t>
      </w:r>
      <w:r w:rsidRPr="006C35BE">
        <w:t>recognized competence in the field of intangible cultural heritage</w:t>
      </w:r>
      <w:r>
        <w:t xml:space="preserve"> to contribute in an advisory capacity to the work of the Committee.</w:t>
      </w:r>
      <w:r>
        <w:rPr>
          <w:rStyle w:val="Appelnotedebasdep"/>
        </w:rPr>
        <w:footnoteReference w:id="2"/>
      </w:r>
      <w:r>
        <w:t xml:space="preserve"> Should the governing bodies require advisory services in the follow-up of inscribed elements, be it from experts, communities and/or other relevant stakeholders, Article 9 of the Convention constitutes a statutory basis that the working group should consider in its debates.</w:t>
      </w:r>
    </w:p>
    <w:p w14:paraId="41358F1A" w14:textId="78DCA131" w:rsidR="00E015DB" w:rsidRPr="00DB3B19" w:rsidRDefault="009F0BDD" w:rsidP="00DB3B19">
      <w:pPr>
        <w:pStyle w:val="1GAPara"/>
        <w:numPr>
          <w:ilvl w:val="0"/>
          <w:numId w:val="3"/>
        </w:numPr>
        <w:spacing w:before="120" w:after="240"/>
        <w:ind w:left="567" w:hanging="567"/>
        <w:jc w:val="both"/>
        <w:rPr>
          <w:rFonts w:asciiTheme="minorBidi" w:hAnsiTheme="minorBidi" w:cstheme="minorBidi"/>
        </w:rPr>
      </w:pPr>
      <w:r w:rsidRPr="00DB3B19">
        <w:rPr>
          <w:rFonts w:asciiTheme="minorBidi" w:hAnsiTheme="minorBidi" w:cstheme="minorBidi"/>
        </w:rPr>
        <w:t xml:space="preserve">It </w:t>
      </w:r>
      <w:r w:rsidR="00D45F5E">
        <w:rPr>
          <w:rFonts w:asciiTheme="minorBidi" w:hAnsiTheme="minorBidi" w:cstheme="minorBidi"/>
        </w:rPr>
        <w:t>seems to be</w:t>
      </w:r>
      <w:r w:rsidRPr="00DB3B19">
        <w:rPr>
          <w:rFonts w:asciiTheme="minorBidi" w:hAnsiTheme="minorBidi" w:cstheme="minorBidi"/>
        </w:rPr>
        <w:t xml:space="preserve"> in the interest of the Convention and its governing bodies to benefit from the advice of a wide range of stakeholders, particularly from the communities concerned, in the follow-up of inscribed elements. However, one primary concern should be to avoid establishing parallel advisory services, which would not be cost-efficient and may in fact </w:t>
      </w:r>
      <w:r w:rsidR="00D35123" w:rsidRPr="00DB3B19">
        <w:rPr>
          <w:rFonts w:asciiTheme="minorBidi" w:hAnsiTheme="minorBidi" w:cstheme="minorBidi"/>
        </w:rPr>
        <w:t xml:space="preserve">complicate </w:t>
      </w:r>
      <w:r w:rsidRPr="00DB3B19">
        <w:rPr>
          <w:rFonts w:asciiTheme="minorBidi" w:hAnsiTheme="minorBidi" w:cstheme="minorBidi"/>
        </w:rPr>
        <w:t xml:space="preserve">the work of the Committee. Considering that the Convention foresees a specific mechanism for advisory organizations to assist the Committee in fulfilling its functions and that the General </w:t>
      </w:r>
      <w:r w:rsidRPr="00DB3B19">
        <w:rPr>
          <w:rFonts w:asciiTheme="minorBidi" w:hAnsiTheme="minorBidi" w:cstheme="minorBidi"/>
        </w:rPr>
        <w:lastRenderedPageBreak/>
        <w:t>Assembly and the Committee recognized that this mechanism was under-utilized,</w:t>
      </w:r>
      <w:r w:rsidR="003C3D09">
        <w:rPr>
          <w:rStyle w:val="Appelnotedebasdep"/>
          <w:rFonts w:asciiTheme="minorBidi" w:hAnsiTheme="minorBidi" w:cstheme="minorBidi"/>
        </w:rPr>
        <w:footnoteReference w:id="3"/>
      </w:r>
      <w:r w:rsidRPr="00DB3B19">
        <w:rPr>
          <w:rFonts w:asciiTheme="minorBidi" w:hAnsiTheme="minorBidi" w:cstheme="minorBidi"/>
        </w:rPr>
        <w:t xml:space="preserve"> it would be logical to reinforce the application of Article 9</w:t>
      </w:r>
      <w:r w:rsidR="00A6539A" w:rsidRPr="00DB3B19">
        <w:rPr>
          <w:rFonts w:asciiTheme="minorBidi" w:hAnsiTheme="minorBidi" w:cstheme="minorBidi"/>
        </w:rPr>
        <w:t xml:space="preserve"> perhaps through an extension of </w:t>
      </w:r>
      <w:r w:rsidR="007777F2" w:rsidRPr="00DB3B19">
        <w:rPr>
          <w:rFonts w:asciiTheme="minorBidi" w:hAnsiTheme="minorBidi" w:cstheme="minorBidi"/>
        </w:rPr>
        <w:t>advisory</w:t>
      </w:r>
      <w:r w:rsidR="00A6539A" w:rsidRPr="00DB3B19">
        <w:rPr>
          <w:rFonts w:asciiTheme="minorBidi" w:hAnsiTheme="minorBidi" w:cstheme="minorBidi"/>
        </w:rPr>
        <w:t xml:space="preserve"> function</w:t>
      </w:r>
      <w:r w:rsidR="007777F2" w:rsidRPr="00DB3B19">
        <w:rPr>
          <w:rFonts w:asciiTheme="minorBidi" w:hAnsiTheme="minorBidi" w:cstheme="minorBidi"/>
        </w:rPr>
        <w:t xml:space="preserve">s </w:t>
      </w:r>
      <w:r w:rsidR="003C3D09">
        <w:rPr>
          <w:rFonts w:asciiTheme="minorBidi" w:hAnsiTheme="minorBidi" w:cstheme="minorBidi"/>
        </w:rPr>
        <w:t>carried out by</w:t>
      </w:r>
      <w:r w:rsidR="007777F2" w:rsidRPr="00DB3B19">
        <w:rPr>
          <w:rFonts w:asciiTheme="minorBidi" w:hAnsiTheme="minorBidi" w:cstheme="minorBidi"/>
        </w:rPr>
        <w:t xml:space="preserve"> accredited NGOs</w:t>
      </w:r>
      <w:r w:rsidR="00A6539A" w:rsidRPr="00DB3B19">
        <w:rPr>
          <w:rFonts w:asciiTheme="minorBidi" w:hAnsiTheme="minorBidi" w:cstheme="minorBidi"/>
        </w:rPr>
        <w:t xml:space="preserve"> </w:t>
      </w:r>
      <w:r w:rsidR="000E1CD6" w:rsidRPr="00DB3B19">
        <w:rPr>
          <w:rFonts w:asciiTheme="minorBidi" w:hAnsiTheme="minorBidi" w:cstheme="minorBidi"/>
        </w:rPr>
        <w:t xml:space="preserve">to include such </w:t>
      </w:r>
      <w:r w:rsidR="00A6539A" w:rsidRPr="00DB3B19">
        <w:rPr>
          <w:rFonts w:asciiTheme="minorBidi" w:hAnsiTheme="minorBidi" w:cstheme="minorBidi"/>
        </w:rPr>
        <w:t>a</w:t>
      </w:r>
      <w:r w:rsidR="003C3D09">
        <w:rPr>
          <w:rFonts w:asciiTheme="minorBidi" w:hAnsiTheme="minorBidi" w:cstheme="minorBidi"/>
        </w:rPr>
        <w:t>n arm’s length</w:t>
      </w:r>
      <w:r w:rsidR="00A6539A" w:rsidRPr="00DB3B19">
        <w:rPr>
          <w:rFonts w:asciiTheme="minorBidi" w:hAnsiTheme="minorBidi" w:cstheme="minorBidi"/>
        </w:rPr>
        <w:t xml:space="preserve"> platform,</w:t>
      </w:r>
      <w:r w:rsidRPr="00DB3B19">
        <w:rPr>
          <w:rFonts w:asciiTheme="minorBidi" w:hAnsiTheme="minorBidi" w:cstheme="minorBidi"/>
        </w:rPr>
        <w:t xml:space="preserve"> rather than creating a separate </w:t>
      </w:r>
      <w:r w:rsidR="00A6539A" w:rsidRPr="00DB3B19">
        <w:rPr>
          <w:rFonts w:asciiTheme="minorBidi" w:hAnsiTheme="minorBidi" w:cstheme="minorBidi"/>
        </w:rPr>
        <w:t>advisory</w:t>
      </w:r>
      <w:r w:rsidR="000E1CD6" w:rsidRPr="00DB3B19">
        <w:rPr>
          <w:rFonts w:asciiTheme="minorBidi" w:hAnsiTheme="minorBidi" w:cstheme="minorBidi"/>
        </w:rPr>
        <w:t xml:space="preserve"> mechanism.</w:t>
      </w:r>
      <w:r w:rsidR="00FD0D76">
        <w:rPr>
          <w:rFonts w:asciiTheme="minorBidi" w:hAnsiTheme="minorBidi" w:cstheme="minorBidi"/>
        </w:rPr>
        <w:t xml:space="preserve"> </w:t>
      </w:r>
      <w:r w:rsidR="00E015DB" w:rsidRPr="00DB3B19">
        <w:rPr>
          <w:rFonts w:asciiTheme="minorBidi" w:hAnsiTheme="minorBidi" w:cstheme="minorBidi"/>
        </w:rPr>
        <w:t>The details for setting up and maintaining a</w:t>
      </w:r>
      <w:r w:rsidR="00DB3B19">
        <w:rPr>
          <w:rFonts w:asciiTheme="minorBidi" w:hAnsiTheme="minorBidi" w:cstheme="minorBidi"/>
        </w:rPr>
        <w:t>n arm’s-length</w:t>
      </w:r>
      <w:r w:rsidR="00E015DB" w:rsidRPr="00DB3B19">
        <w:rPr>
          <w:rFonts w:asciiTheme="minorBidi" w:hAnsiTheme="minorBidi" w:cstheme="minorBidi"/>
        </w:rPr>
        <w:t xml:space="preserve"> platform might be summarized as follows:</w:t>
      </w:r>
    </w:p>
    <w:tbl>
      <w:tblPr>
        <w:tblStyle w:val="Grilledutableau"/>
        <w:tblW w:w="9067" w:type="dxa"/>
        <w:tblInd w:w="567" w:type="dxa"/>
        <w:tblLayout w:type="fixed"/>
        <w:tblLook w:val="04A0" w:firstRow="1" w:lastRow="0" w:firstColumn="1" w:lastColumn="0" w:noHBand="0" w:noVBand="1"/>
      </w:tblPr>
      <w:tblGrid>
        <w:gridCol w:w="1555"/>
        <w:gridCol w:w="7512"/>
      </w:tblGrid>
      <w:tr w:rsidR="00A752BD" w14:paraId="4E8244AB" w14:textId="77777777" w:rsidTr="00DB3B19">
        <w:tc>
          <w:tcPr>
            <w:tcW w:w="1555" w:type="dxa"/>
          </w:tcPr>
          <w:p w14:paraId="3C093510" w14:textId="77777777" w:rsidR="00A752BD" w:rsidRPr="004F3412" w:rsidRDefault="00A752BD" w:rsidP="00850DB7">
            <w:pPr>
              <w:pStyle w:val="1GAPara"/>
              <w:numPr>
                <w:ilvl w:val="0"/>
                <w:numId w:val="0"/>
              </w:numPr>
              <w:spacing w:after="0"/>
              <w:jc w:val="both"/>
              <w:rPr>
                <w:sz w:val="20"/>
                <w:szCs w:val="20"/>
              </w:rPr>
            </w:pPr>
          </w:p>
        </w:tc>
        <w:tc>
          <w:tcPr>
            <w:tcW w:w="7512" w:type="dxa"/>
            <w:shd w:val="clear" w:color="auto" w:fill="DBE5F1" w:themeFill="accent1" w:themeFillTint="33"/>
          </w:tcPr>
          <w:p w14:paraId="48458BAA" w14:textId="4320D3CE" w:rsidR="00A752BD" w:rsidRPr="0008670B" w:rsidRDefault="00A73B6E" w:rsidP="00587064">
            <w:pPr>
              <w:pStyle w:val="1GAPara"/>
              <w:numPr>
                <w:ilvl w:val="0"/>
                <w:numId w:val="0"/>
              </w:numPr>
              <w:spacing w:after="60"/>
              <w:jc w:val="center"/>
              <w:rPr>
                <w:b/>
                <w:bCs/>
                <w:sz w:val="20"/>
                <w:szCs w:val="20"/>
              </w:rPr>
            </w:pPr>
            <w:r>
              <w:rPr>
                <w:b/>
                <w:bCs/>
                <w:sz w:val="20"/>
                <w:szCs w:val="20"/>
              </w:rPr>
              <w:t>Arm’s length p</w:t>
            </w:r>
            <w:r w:rsidR="00A752BD">
              <w:rPr>
                <w:b/>
                <w:bCs/>
                <w:sz w:val="20"/>
                <w:szCs w:val="20"/>
              </w:rPr>
              <w:t>latform for the follow-up of inscribed elements</w:t>
            </w:r>
          </w:p>
        </w:tc>
      </w:tr>
      <w:tr w:rsidR="00A752BD" w14:paraId="59E234E2" w14:textId="77777777" w:rsidTr="00587064">
        <w:trPr>
          <w:trHeight w:val="568"/>
        </w:trPr>
        <w:tc>
          <w:tcPr>
            <w:tcW w:w="1555" w:type="dxa"/>
          </w:tcPr>
          <w:p w14:paraId="7691335A" w14:textId="77777777" w:rsidR="00A752BD" w:rsidRPr="004F3412" w:rsidRDefault="00A752BD" w:rsidP="00850DB7">
            <w:pPr>
              <w:pStyle w:val="1GAPara"/>
              <w:numPr>
                <w:ilvl w:val="0"/>
                <w:numId w:val="0"/>
              </w:numPr>
              <w:spacing w:after="0"/>
              <w:jc w:val="both"/>
              <w:rPr>
                <w:sz w:val="20"/>
                <w:szCs w:val="20"/>
              </w:rPr>
            </w:pPr>
            <w:r w:rsidRPr="004F3412">
              <w:rPr>
                <w:sz w:val="20"/>
                <w:szCs w:val="20"/>
              </w:rPr>
              <w:t>Main purpose</w:t>
            </w:r>
          </w:p>
        </w:tc>
        <w:tc>
          <w:tcPr>
            <w:tcW w:w="7512" w:type="dxa"/>
            <w:shd w:val="clear" w:color="auto" w:fill="DBE5F1" w:themeFill="accent1" w:themeFillTint="33"/>
          </w:tcPr>
          <w:p w14:paraId="3B6BFEBA" w14:textId="77777777" w:rsidR="00A752BD" w:rsidRPr="00B67DA3" w:rsidRDefault="00A752BD" w:rsidP="00587064">
            <w:pPr>
              <w:pStyle w:val="1GAPara"/>
              <w:numPr>
                <w:ilvl w:val="0"/>
                <w:numId w:val="0"/>
              </w:numPr>
              <w:spacing w:after="60"/>
              <w:rPr>
                <w:sz w:val="20"/>
                <w:szCs w:val="20"/>
              </w:rPr>
            </w:pPr>
            <w:r w:rsidRPr="00B67DA3">
              <w:rPr>
                <w:sz w:val="20"/>
                <w:szCs w:val="20"/>
              </w:rPr>
              <w:t>Enhance follow-up mechanisms</w:t>
            </w:r>
          </w:p>
        </w:tc>
      </w:tr>
      <w:tr w:rsidR="00A752BD" w14:paraId="2A4EB1F2" w14:textId="77777777" w:rsidTr="00587064">
        <w:trPr>
          <w:trHeight w:val="472"/>
        </w:trPr>
        <w:tc>
          <w:tcPr>
            <w:tcW w:w="1555" w:type="dxa"/>
          </w:tcPr>
          <w:p w14:paraId="56139B6A" w14:textId="77777777" w:rsidR="00A752BD" w:rsidRPr="00A03986" w:rsidRDefault="00A752BD" w:rsidP="00850DB7">
            <w:pPr>
              <w:pStyle w:val="1GAPara"/>
              <w:numPr>
                <w:ilvl w:val="0"/>
                <w:numId w:val="0"/>
              </w:numPr>
              <w:spacing w:after="0"/>
              <w:jc w:val="both"/>
              <w:rPr>
                <w:sz w:val="20"/>
                <w:szCs w:val="20"/>
              </w:rPr>
            </w:pPr>
            <w:r>
              <w:rPr>
                <w:sz w:val="20"/>
                <w:szCs w:val="20"/>
              </w:rPr>
              <w:t>Support structure</w:t>
            </w:r>
          </w:p>
        </w:tc>
        <w:tc>
          <w:tcPr>
            <w:tcW w:w="7512" w:type="dxa"/>
            <w:shd w:val="clear" w:color="auto" w:fill="DBE5F1" w:themeFill="accent1" w:themeFillTint="33"/>
          </w:tcPr>
          <w:p w14:paraId="493E1F21" w14:textId="77777777" w:rsidR="00A752BD" w:rsidRDefault="00A752BD">
            <w:pPr>
              <w:pStyle w:val="1GAPara"/>
              <w:numPr>
                <w:ilvl w:val="0"/>
                <w:numId w:val="0"/>
              </w:numPr>
              <w:spacing w:after="60"/>
              <w:rPr>
                <w:sz w:val="20"/>
                <w:szCs w:val="20"/>
              </w:rPr>
            </w:pPr>
            <w:r>
              <w:rPr>
                <w:sz w:val="20"/>
                <w:szCs w:val="20"/>
              </w:rPr>
              <w:t>ICH NGO Forum</w:t>
            </w:r>
          </w:p>
        </w:tc>
      </w:tr>
      <w:tr w:rsidR="00A752BD" w14:paraId="099D93FA" w14:textId="77777777" w:rsidTr="00587064">
        <w:trPr>
          <w:trHeight w:val="640"/>
        </w:trPr>
        <w:tc>
          <w:tcPr>
            <w:tcW w:w="1555" w:type="dxa"/>
          </w:tcPr>
          <w:p w14:paraId="280D5AA5" w14:textId="77777777" w:rsidR="00A752BD" w:rsidRPr="00A03986" w:rsidRDefault="00A752BD" w:rsidP="00850DB7">
            <w:pPr>
              <w:pStyle w:val="1GAPara"/>
              <w:numPr>
                <w:ilvl w:val="0"/>
                <w:numId w:val="0"/>
              </w:numPr>
              <w:spacing w:after="0"/>
              <w:jc w:val="both"/>
              <w:rPr>
                <w:sz w:val="20"/>
                <w:szCs w:val="20"/>
              </w:rPr>
            </w:pPr>
            <w:r w:rsidRPr="00A03986">
              <w:rPr>
                <w:sz w:val="20"/>
                <w:szCs w:val="20"/>
              </w:rPr>
              <w:t xml:space="preserve">Statutory </w:t>
            </w:r>
            <w:r>
              <w:rPr>
                <w:sz w:val="20"/>
                <w:szCs w:val="20"/>
              </w:rPr>
              <w:t>requirements</w:t>
            </w:r>
          </w:p>
        </w:tc>
        <w:tc>
          <w:tcPr>
            <w:tcW w:w="7512" w:type="dxa"/>
            <w:shd w:val="clear" w:color="auto" w:fill="DBE5F1" w:themeFill="accent1" w:themeFillTint="33"/>
          </w:tcPr>
          <w:p w14:paraId="235B3B98" w14:textId="77777777" w:rsidR="00A752BD" w:rsidRDefault="00A752BD">
            <w:pPr>
              <w:pStyle w:val="1GAPara"/>
              <w:numPr>
                <w:ilvl w:val="0"/>
                <w:numId w:val="19"/>
              </w:numPr>
              <w:spacing w:after="60"/>
              <w:ind w:left="170" w:hanging="170"/>
              <w:rPr>
                <w:sz w:val="20"/>
                <w:szCs w:val="20"/>
              </w:rPr>
            </w:pPr>
            <w:r>
              <w:rPr>
                <w:sz w:val="20"/>
                <w:szCs w:val="20"/>
              </w:rPr>
              <w:t>Committee decision</w:t>
            </w:r>
          </w:p>
          <w:p w14:paraId="7E09ECEA" w14:textId="77777777" w:rsidR="00A752BD" w:rsidRPr="00A03986" w:rsidRDefault="00A752BD">
            <w:pPr>
              <w:pStyle w:val="1GAPara"/>
              <w:numPr>
                <w:ilvl w:val="0"/>
                <w:numId w:val="19"/>
              </w:numPr>
              <w:spacing w:after="60"/>
              <w:ind w:left="170" w:hanging="170"/>
              <w:rPr>
                <w:sz w:val="20"/>
                <w:szCs w:val="20"/>
              </w:rPr>
            </w:pPr>
            <w:r>
              <w:rPr>
                <w:sz w:val="20"/>
                <w:szCs w:val="20"/>
              </w:rPr>
              <w:t>Amendments of Operational Directives</w:t>
            </w:r>
          </w:p>
        </w:tc>
      </w:tr>
      <w:tr w:rsidR="00A752BD" w14:paraId="2537D3DB" w14:textId="77777777" w:rsidTr="00DB3B19">
        <w:tc>
          <w:tcPr>
            <w:tcW w:w="1555" w:type="dxa"/>
          </w:tcPr>
          <w:p w14:paraId="7D4298A3" w14:textId="77777777" w:rsidR="00A752BD" w:rsidRDefault="00A752BD" w:rsidP="00850DB7">
            <w:pPr>
              <w:pStyle w:val="1GAPara"/>
              <w:numPr>
                <w:ilvl w:val="0"/>
                <w:numId w:val="0"/>
              </w:numPr>
              <w:spacing w:after="0"/>
              <w:jc w:val="both"/>
              <w:rPr>
                <w:sz w:val="20"/>
                <w:szCs w:val="20"/>
              </w:rPr>
            </w:pPr>
            <w:r>
              <w:rPr>
                <w:sz w:val="20"/>
                <w:szCs w:val="20"/>
              </w:rPr>
              <w:t>Membership</w:t>
            </w:r>
          </w:p>
        </w:tc>
        <w:tc>
          <w:tcPr>
            <w:tcW w:w="7512" w:type="dxa"/>
            <w:shd w:val="clear" w:color="auto" w:fill="DBE5F1" w:themeFill="accent1" w:themeFillTint="33"/>
          </w:tcPr>
          <w:p w14:paraId="7EE6959B" w14:textId="77777777" w:rsidR="00A752BD" w:rsidRPr="00B67DA3" w:rsidRDefault="00A752BD" w:rsidP="00587064">
            <w:pPr>
              <w:pStyle w:val="1GAPara"/>
              <w:numPr>
                <w:ilvl w:val="0"/>
                <w:numId w:val="0"/>
              </w:numPr>
              <w:spacing w:after="60"/>
              <w:rPr>
                <w:sz w:val="20"/>
                <w:szCs w:val="20"/>
              </w:rPr>
            </w:pPr>
            <w:r w:rsidRPr="00B67DA3">
              <w:rPr>
                <w:sz w:val="20"/>
                <w:szCs w:val="20"/>
              </w:rPr>
              <w:t>Community representatives from inscribed elements and selected good safeguarding practices, accredited NGOs, UNESCO Chairs, expert institutions, UNESCO facilitators, Category 2 Centres</w:t>
            </w:r>
            <w:r>
              <w:rPr>
                <w:sz w:val="20"/>
                <w:szCs w:val="20"/>
              </w:rPr>
              <w:t xml:space="preserve"> </w:t>
            </w:r>
          </w:p>
        </w:tc>
      </w:tr>
      <w:tr w:rsidR="00A752BD" w14:paraId="61EC4C22" w14:textId="77777777" w:rsidTr="00DB3B19">
        <w:tc>
          <w:tcPr>
            <w:tcW w:w="1555" w:type="dxa"/>
          </w:tcPr>
          <w:p w14:paraId="69C72EF4" w14:textId="77777777" w:rsidR="00A752BD" w:rsidRDefault="00A752BD" w:rsidP="00850DB7">
            <w:pPr>
              <w:pStyle w:val="1GAPara"/>
              <w:numPr>
                <w:ilvl w:val="0"/>
                <w:numId w:val="0"/>
              </w:numPr>
              <w:spacing w:after="0"/>
              <w:jc w:val="both"/>
              <w:rPr>
                <w:sz w:val="20"/>
                <w:szCs w:val="20"/>
              </w:rPr>
            </w:pPr>
            <w:r>
              <w:rPr>
                <w:sz w:val="20"/>
                <w:szCs w:val="20"/>
              </w:rPr>
              <w:t>Main activities</w:t>
            </w:r>
          </w:p>
        </w:tc>
        <w:tc>
          <w:tcPr>
            <w:tcW w:w="7512" w:type="dxa"/>
            <w:shd w:val="clear" w:color="auto" w:fill="DBE5F1" w:themeFill="accent1" w:themeFillTint="33"/>
          </w:tcPr>
          <w:p w14:paraId="196141E6" w14:textId="77777777" w:rsidR="00A752BD" w:rsidRPr="00BC2F61" w:rsidRDefault="00A752BD" w:rsidP="00587064">
            <w:pPr>
              <w:pStyle w:val="1GAPara"/>
              <w:numPr>
                <w:ilvl w:val="0"/>
                <w:numId w:val="6"/>
              </w:numPr>
              <w:spacing w:after="60"/>
              <w:ind w:left="180" w:hanging="180"/>
              <w:rPr>
                <w:sz w:val="20"/>
                <w:szCs w:val="20"/>
              </w:rPr>
            </w:pPr>
            <w:r>
              <w:rPr>
                <w:sz w:val="20"/>
                <w:szCs w:val="20"/>
              </w:rPr>
              <w:t>Engaging with communities and bearers on the follow-up of inscribed elements</w:t>
            </w:r>
          </w:p>
          <w:p w14:paraId="398357AF" w14:textId="218E9345" w:rsidR="00A752BD" w:rsidRDefault="00A752BD" w:rsidP="00587064">
            <w:pPr>
              <w:pStyle w:val="1GAPara"/>
              <w:numPr>
                <w:ilvl w:val="0"/>
                <w:numId w:val="6"/>
              </w:numPr>
              <w:spacing w:after="60"/>
              <w:ind w:left="180" w:hanging="180"/>
              <w:rPr>
                <w:sz w:val="20"/>
                <w:szCs w:val="20"/>
              </w:rPr>
            </w:pPr>
            <w:r>
              <w:rPr>
                <w:sz w:val="20"/>
                <w:szCs w:val="20"/>
              </w:rPr>
              <w:t>Upstream advice as part of the transfer of elements</w:t>
            </w:r>
          </w:p>
          <w:p w14:paraId="7EC7B06F" w14:textId="27188BCC" w:rsidR="00A752BD" w:rsidRDefault="00A752BD" w:rsidP="00587064">
            <w:pPr>
              <w:pStyle w:val="1GAPara"/>
              <w:numPr>
                <w:ilvl w:val="0"/>
                <w:numId w:val="6"/>
              </w:numPr>
              <w:spacing w:after="60"/>
              <w:ind w:left="180" w:hanging="180"/>
              <w:rPr>
                <w:sz w:val="20"/>
                <w:szCs w:val="20"/>
              </w:rPr>
            </w:pPr>
            <w:r>
              <w:rPr>
                <w:sz w:val="20"/>
                <w:szCs w:val="20"/>
              </w:rPr>
              <w:t>Preparing justification for the inclusion of successful safeguarding experience in the Register</w:t>
            </w:r>
          </w:p>
          <w:p w14:paraId="4DC886B0" w14:textId="70F9C6BE" w:rsidR="00A752BD" w:rsidRPr="00B67DA3" w:rsidRDefault="00A752BD" w:rsidP="00587064">
            <w:pPr>
              <w:pStyle w:val="1GAPara"/>
              <w:numPr>
                <w:ilvl w:val="0"/>
                <w:numId w:val="6"/>
              </w:numPr>
              <w:spacing w:after="60"/>
              <w:ind w:left="180" w:hanging="180"/>
              <w:rPr>
                <w:sz w:val="20"/>
                <w:szCs w:val="20"/>
              </w:rPr>
            </w:pPr>
            <w:r>
              <w:rPr>
                <w:sz w:val="20"/>
                <w:szCs w:val="20"/>
              </w:rPr>
              <w:t>Checking information and undertaking enhanced follow-up actions as part of the procedure for the removal of elements</w:t>
            </w:r>
          </w:p>
        </w:tc>
      </w:tr>
      <w:tr w:rsidR="00A752BD" w14:paraId="1A6BEDA6" w14:textId="77777777" w:rsidTr="008D5D0F">
        <w:trPr>
          <w:trHeight w:val="1650"/>
        </w:trPr>
        <w:tc>
          <w:tcPr>
            <w:tcW w:w="1555" w:type="dxa"/>
          </w:tcPr>
          <w:p w14:paraId="4131B202" w14:textId="77777777" w:rsidR="00A752BD" w:rsidRPr="008D5D0F" w:rsidRDefault="00A752BD" w:rsidP="00850DB7">
            <w:pPr>
              <w:pStyle w:val="1GAPara"/>
              <w:numPr>
                <w:ilvl w:val="0"/>
                <w:numId w:val="0"/>
              </w:numPr>
              <w:spacing w:after="0"/>
              <w:jc w:val="both"/>
              <w:rPr>
                <w:sz w:val="16"/>
                <w:szCs w:val="16"/>
              </w:rPr>
            </w:pPr>
            <w:r w:rsidRPr="008D5D0F">
              <w:rPr>
                <w:sz w:val="16"/>
                <w:szCs w:val="16"/>
              </w:rPr>
              <w:t>Cost implications</w:t>
            </w:r>
          </w:p>
        </w:tc>
        <w:tc>
          <w:tcPr>
            <w:tcW w:w="7512" w:type="dxa"/>
            <w:shd w:val="clear" w:color="auto" w:fill="D9D9D9" w:themeFill="background1" w:themeFillShade="D9"/>
          </w:tcPr>
          <w:p w14:paraId="2A86C1A8" w14:textId="77777777" w:rsidR="00A752BD" w:rsidRPr="008D5D0F" w:rsidRDefault="00A752BD">
            <w:pPr>
              <w:pStyle w:val="1GAPara"/>
              <w:numPr>
                <w:ilvl w:val="0"/>
                <w:numId w:val="19"/>
              </w:numPr>
              <w:spacing w:after="60"/>
              <w:ind w:left="170" w:hanging="170"/>
              <w:rPr>
                <w:sz w:val="16"/>
                <w:szCs w:val="16"/>
              </w:rPr>
            </w:pPr>
            <w:r w:rsidRPr="008D5D0F">
              <w:rPr>
                <w:sz w:val="16"/>
                <w:szCs w:val="16"/>
              </w:rPr>
              <w:t>Additional financial resources for:</w:t>
            </w:r>
          </w:p>
          <w:p w14:paraId="0EC01616" w14:textId="77777777" w:rsidR="00A752BD" w:rsidRPr="008D5D0F" w:rsidRDefault="00A752BD">
            <w:pPr>
              <w:pStyle w:val="1GAPara"/>
              <w:numPr>
                <w:ilvl w:val="1"/>
                <w:numId w:val="19"/>
              </w:numPr>
              <w:spacing w:after="60"/>
              <w:ind w:left="527" w:hanging="357"/>
              <w:rPr>
                <w:sz w:val="16"/>
                <w:szCs w:val="16"/>
              </w:rPr>
            </w:pPr>
            <w:r w:rsidRPr="008D5D0F">
              <w:rPr>
                <w:sz w:val="16"/>
                <w:szCs w:val="16"/>
              </w:rPr>
              <w:t>administrative and logistical costs for the maintenance of the ICH NGO Forum and the platform</w:t>
            </w:r>
          </w:p>
          <w:p w14:paraId="7A1C0B7A" w14:textId="77777777" w:rsidR="00A752BD" w:rsidRPr="008D5D0F" w:rsidRDefault="00A752BD">
            <w:pPr>
              <w:pStyle w:val="1GAPara"/>
              <w:numPr>
                <w:ilvl w:val="1"/>
                <w:numId w:val="19"/>
              </w:numPr>
              <w:spacing w:after="60"/>
              <w:ind w:left="527" w:hanging="357"/>
              <w:rPr>
                <w:sz w:val="16"/>
                <w:szCs w:val="16"/>
              </w:rPr>
            </w:pPr>
            <w:r w:rsidRPr="008D5D0F">
              <w:rPr>
                <w:sz w:val="16"/>
                <w:szCs w:val="16"/>
              </w:rPr>
              <w:t>knowledge management services</w:t>
            </w:r>
          </w:p>
          <w:p w14:paraId="20F13E15" w14:textId="77777777" w:rsidR="00A752BD" w:rsidRPr="008D5D0F" w:rsidRDefault="00A752BD">
            <w:pPr>
              <w:pStyle w:val="1GAPara"/>
              <w:numPr>
                <w:ilvl w:val="0"/>
                <w:numId w:val="19"/>
              </w:numPr>
              <w:spacing w:after="60"/>
              <w:ind w:left="170" w:hanging="170"/>
              <w:rPr>
                <w:i/>
                <w:iCs/>
                <w:sz w:val="16"/>
                <w:szCs w:val="16"/>
              </w:rPr>
            </w:pPr>
            <w:r w:rsidRPr="008D5D0F">
              <w:rPr>
                <w:sz w:val="16"/>
                <w:szCs w:val="16"/>
              </w:rPr>
              <w:t xml:space="preserve">Additional Secretariat time required for: </w:t>
            </w:r>
          </w:p>
          <w:p w14:paraId="61E781B8" w14:textId="77777777" w:rsidR="00A752BD" w:rsidRPr="008D5D0F" w:rsidRDefault="00A752BD">
            <w:pPr>
              <w:pStyle w:val="1GAPara"/>
              <w:numPr>
                <w:ilvl w:val="1"/>
                <w:numId w:val="19"/>
              </w:numPr>
              <w:spacing w:after="60"/>
              <w:ind w:left="527" w:hanging="357"/>
              <w:rPr>
                <w:sz w:val="16"/>
                <w:szCs w:val="16"/>
              </w:rPr>
            </w:pPr>
            <w:r w:rsidRPr="008D5D0F">
              <w:rPr>
                <w:sz w:val="16"/>
                <w:szCs w:val="16"/>
              </w:rPr>
              <w:t>liaising with and coordinating the work of ICH NGO Forum</w:t>
            </w:r>
          </w:p>
          <w:p w14:paraId="04ED4190" w14:textId="22F20B38" w:rsidR="00A752BD" w:rsidRPr="008D5D0F" w:rsidRDefault="00A752BD">
            <w:pPr>
              <w:pStyle w:val="1GAPara"/>
              <w:numPr>
                <w:ilvl w:val="0"/>
                <w:numId w:val="19"/>
              </w:numPr>
              <w:spacing w:after="60"/>
              <w:ind w:left="170" w:hanging="170"/>
              <w:rPr>
                <w:sz w:val="16"/>
                <w:szCs w:val="16"/>
              </w:rPr>
            </w:pPr>
            <w:r w:rsidRPr="008D5D0F">
              <w:rPr>
                <w:sz w:val="16"/>
                <w:szCs w:val="16"/>
              </w:rPr>
              <w:t>Direct costs related to follow-up actions (see document LHE/21/16.COM WG/6)</w:t>
            </w:r>
          </w:p>
        </w:tc>
      </w:tr>
    </w:tbl>
    <w:p w14:paraId="449DE05B" w14:textId="76A441AB" w:rsidR="00E015DB" w:rsidRPr="00FE419C" w:rsidRDefault="00EF30C9" w:rsidP="009B5212">
      <w:pPr>
        <w:pStyle w:val="1GAPara"/>
        <w:numPr>
          <w:ilvl w:val="0"/>
          <w:numId w:val="3"/>
        </w:numPr>
        <w:spacing w:before="120" w:after="240"/>
        <w:jc w:val="both"/>
        <w:rPr>
          <w:rFonts w:asciiTheme="minorBidi" w:hAnsiTheme="minorBidi" w:cstheme="minorBidi"/>
        </w:rPr>
      </w:pPr>
      <w:r w:rsidRPr="007E0955">
        <w:rPr>
          <w:b/>
          <w:bCs/>
        </w:rPr>
        <w:t>A network of inscribed elem</w:t>
      </w:r>
      <w:r w:rsidR="003E4B08" w:rsidRPr="007E0955">
        <w:rPr>
          <w:b/>
          <w:bCs/>
        </w:rPr>
        <w:t>e</w:t>
      </w:r>
      <w:r w:rsidRPr="007E0955">
        <w:rPr>
          <w:b/>
          <w:bCs/>
        </w:rPr>
        <w:t>nts</w:t>
      </w:r>
      <w:r w:rsidR="00B36D3C">
        <w:t xml:space="preserve">: </w:t>
      </w:r>
      <w:r w:rsidR="00B6776E">
        <w:t xml:space="preserve">The main purpose of creating a network of inscribed elements is to specifically facilitate dialogue amongst communities </w:t>
      </w:r>
      <w:r w:rsidR="004257DC">
        <w:t xml:space="preserve">practising </w:t>
      </w:r>
      <w:r w:rsidR="00B6776E">
        <w:t>elements of intangible cultural heritage that are inscribed on the Lists of the Convention</w:t>
      </w:r>
      <w:r w:rsidR="00D039FF">
        <w:t>, for sharing safeguarding experiences</w:t>
      </w:r>
      <w:r w:rsidR="00681368">
        <w:t>,</w:t>
      </w:r>
      <w:r w:rsidR="00681368" w:rsidRPr="00681368">
        <w:t xml:space="preserve"> </w:t>
      </w:r>
      <w:r w:rsidR="00681368">
        <w:t>without necessarily going through the Register-related procedures</w:t>
      </w:r>
      <w:r w:rsidR="00B6776E">
        <w:t xml:space="preserve">. It is </w:t>
      </w:r>
      <w:r w:rsidR="00D039FF">
        <w:t xml:space="preserve">also </w:t>
      </w:r>
      <w:r w:rsidR="00B6776E">
        <w:t xml:space="preserve">hoped that this focused </w:t>
      </w:r>
      <w:r w:rsidR="00FD7F8C">
        <w:t xml:space="preserve">and </w:t>
      </w:r>
      <w:r w:rsidR="00B6776E">
        <w:t xml:space="preserve">bottom-up approach would allow the Committee to </w:t>
      </w:r>
      <w:r w:rsidR="00D039FF">
        <w:t>learn the views of communities, for example on thematic issues of interest by launching a call</w:t>
      </w:r>
      <w:r w:rsidR="004E2454">
        <w:t xml:space="preserve"> through the network</w:t>
      </w:r>
      <w:r w:rsidR="00D039FF" w:rsidRPr="008D5D0F">
        <w:t xml:space="preserve">. </w:t>
      </w:r>
      <w:r w:rsidR="007A7D91" w:rsidRPr="008D5D0F">
        <w:t xml:space="preserve">In addition, the network would aim at facilitating cooperation among communities, fostering communication and could provide capacity-building opportunities for communities with support from </w:t>
      </w:r>
      <w:r w:rsidR="005B7E6B" w:rsidRPr="008D5D0F">
        <w:t xml:space="preserve">accredited NGOs through the ICH NGO Forum, UNESCO Chairs, expert institutions, UNESCO facilitators, Category 2 </w:t>
      </w:r>
      <w:proofErr w:type="gramStart"/>
      <w:r w:rsidR="005B7E6B" w:rsidRPr="008D5D0F">
        <w:t>Centres</w:t>
      </w:r>
      <w:proofErr w:type="gramEnd"/>
      <w:r w:rsidR="005B7E6B" w:rsidRPr="008D5D0F">
        <w:t xml:space="preserve"> and other relevant stakeholders.</w:t>
      </w:r>
      <w:r w:rsidR="007A7D91" w:rsidRPr="008D5D0F">
        <w:t xml:space="preserve"> </w:t>
      </w:r>
      <w:r w:rsidR="00DB6D37">
        <w:t xml:space="preserve">It is proposed that the network be supported in its activities by a dedicated team within the Secretariat of the Convention. </w:t>
      </w:r>
      <w:r w:rsidR="009318B0">
        <w:t>A network of inscribed elements could also constitute a b</w:t>
      </w:r>
      <w:r w:rsidR="002B5326">
        <w:t xml:space="preserve">asis </w:t>
      </w:r>
      <w:r w:rsidR="009318B0">
        <w:t>upon</w:t>
      </w:r>
      <w:r w:rsidR="002B5326">
        <w:t xml:space="preserve"> which to </w:t>
      </w:r>
      <w:r w:rsidR="009318B0">
        <w:t>organize</w:t>
      </w:r>
      <w:r w:rsidR="002B5326">
        <w:t xml:space="preserve"> an ad</w:t>
      </w:r>
      <w:r w:rsidR="009318B0">
        <w:t> </w:t>
      </w:r>
      <w:r w:rsidR="002B5326">
        <w:t xml:space="preserve">hoc </w:t>
      </w:r>
      <w:r w:rsidR="009318B0">
        <w:t xml:space="preserve">special </w:t>
      </w:r>
      <w:r w:rsidR="002B5326">
        <w:t>forum</w:t>
      </w:r>
      <w:r w:rsidR="009318B0">
        <w:t xml:space="preserve"> on themes relevant to the work of the Committee (</w:t>
      </w:r>
      <w:r w:rsidR="009318B0" w:rsidRPr="00C97BAA">
        <w:t xml:space="preserve">see </w:t>
      </w:r>
      <w:hyperlink w:anchor="_A_special_forum:" w:history="1">
        <w:r w:rsidR="009318B0" w:rsidRPr="00C97BAA">
          <w:rPr>
            <w:rStyle w:val="Lienhypertexte"/>
          </w:rPr>
          <w:t>paragraph </w:t>
        </w:r>
        <w:r w:rsidR="00795E02" w:rsidRPr="00C97BAA">
          <w:rPr>
            <w:rStyle w:val="Lienhypertexte"/>
          </w:rPr>
          <w:t>13</w:t>
        </w:r>
      </w:hyperlink>
      <w:r w:rsidR="00795E02" w:rsidRPr="00C97BAA">
        <w:t xml:space="preserve"> </w:t>
      </w:r>
      <w:r w:rsidR="00D249ED" w:rsidRPr="00C97BAA">
        <w:t>below</w:t>
      </w:r>
      <w:r w:rsidR="009318B0" w:rsidRPr="00C97BAA">
        <w:t>)</w:t>
      </w:r>
      <w:r w:rsidR="002B5326" w:rsidRPr="00C97BAA">
        <w:t>.</w:t>
      </w:r>
      <w:r w:rsidR="006D29B1" w:rsidRPr="00C97BAA">
        <w:t xml:space="preserve"> </w:t>
      </w:r>
      <w:r w:rsidR="00E015DB" w:rsidRPr="00C97BAA">
        <w:rPr>
          <w:rFonts w:asciiTheme="minorBidi" w:hAnsiTheme="minorBidi" w:cstheme="minorBidi"/>
        </w:rPr>
        <w:t>The</w:t>
      </w:r>
      <w:r w:rsidR="00E015DB" w:rsidRPr="007E0955">
        <w:rPr>
          <w:rFonts w:asciiTheme="minorBidi" w:hAnsiTheme="minorBidi" w:cstheme="minorBidi"/>
        </w:rPr>
        <w:t xml:space="preserve"> details for setting up and maintaining such a network might be summarized as follows:</w:t>
      </w:r>
    </w:p>
    <w:tbl>
      <w:tblPr>
        <w:tblStyle w:val="Grilledutableau"/>
        <w:tblW w:w="9067" w:type="dxa"/>
        <w:tblInd w:w="567" w:type="dxa"/>
        <w:tblLayout w:type="fixed"/>
        <w:tblLook w:val="04A0" w:firstRow="1" w:lastRow="0" w:firstColumn="1" w:lastColumn="0" w:noHBand="0" w:noVBand="1"/>
      </w:tblPr>
      <w:tblGrid>
        <w:gridCol w:w="1555"/>
        <w:gridCol w:w="7512"/>
      </w:tblGrid>
      <w:tr w:rsidR="00A752BD" w14:paraId="40DDB214" w14:textId="77777777" w:rsidTr="00DB3B19">
        <w:tc>
          <w:tcPr>
            <w:tcW w:w="1555" w:type="dxa"/>
          </w:tcPr>
          <w:p w14:paraId="3988B998" w14:textId="77777777" w:rsidR="00A752BD" w:rsidRPr="004F3412" w:rsidRDefault="00A752BD" w:rsidP="00DB3B19">
            <w:pPr>
              <w:pStyle w:val="1GAPara"/>
              <w:keepNext/>
              <w:numPr>
                <w:ilvl w:val="0"/>
                <w:numId w:val="0"/>
              </w:numPr>
              <w:spacing w:after="0"/>
              <w:jc w:val="both"/>
              <w:rPr>
                <w:sz w:val="20"/>
                <w:szCs w:val="20"/>
              </w:rPr>
            </w:pPr>
          </w:p>
        </w:tc>
        <w:tc>
          <w:tcPr>
            <w:tcW w:w="7512" w:type="dxa"/>
            <w:shd w:val="clear" w:color="auto" w:fill="F2DBDB" w:themeFill="accent2" w:themeFillTint="33"/>
          </w:tcPr>
          <w:p w14:paraId="63F49935" w14:textId="77777777" w:rsidR="00A752BD" w:rsidRPr="0008670B" w:rsidRDefault="00A752BD" w:rsidP="00587064">
            <w:pPr>
              <w:pStyle w:val="1GAPara"/>
              <w:keepNext/>
              <w:numPr>
                <w:ilvl w:val="0"/>
                <w:numId w:val="0"/>
              </w:numPr>
              <w:spacing w:after="60"/>
              <w:jc w:val="center"/>
              <w:rPr>
                <w:b/>
                <w:bCs/>
                <w:sz w:val="20"/>
                <w:szCs w:val="20"/>
              </w:rPr>
            </w:pPr>
            <w:r>
              <w:rPr>
                <w:b/>
                <w:bCs/>
                <w:sz w:val="20"/>
                <w:szCs w:val="20"/>
              </w:rPr>
              <w:t>N</w:t>
            </w:r>
            <w:r w:rsidRPr="0008670B">
              <w:rPr>
                <w:b/>
                <w:bCs/>
                <w:sz w:val="20"/>
                <w:szCs w:val="20"/>
              </w:rPr>
              <w:t>etwork of inscribed elements</w:t>
            </w:r>
          </w:p>
        </w:tc>
      </w:tr>
      <w:tr w:rsidR="00A752BD" w14:paraId="6ADB07A0" w14:textId="77777777" w:rsidTr="00DB3B19">
        <w:tc>
          <w:tcPr>
            <w:tcW w:w="1555" w:type="dxa"/>
          </w:tcPr>
          <w:p w14:paraId="14057B2A" w14:textId="77777777" w:rsidR="00A752BD" w:rsidRPr="004F3412" w:rsidRDefault="00A752BD" w:rsidP="00850DB7">
            <w:pPr>
              <w:pStyle w:val="1GAPara"/>
              <w:numPr>
                <w:ilvl w:val="0"/>
                <w:numId w:val="0"/>
              </w:numPr>
              <w:spacing w:after="0"/>
              <w:jc w:val="both"/>
              <w:rPr>
                <w:sz w:val="20"/>
                <w:szCs w:val="20"/>
              </w:rPr>
            </w:pPr>
            <w:r w:rsidRPr="004F3412">
              <w:rPr>
                <w:sz w:val="20"/>
                <w:szCs w:val="20"/>
              </w:rPr>
              <w:t>Main purpose</w:t>
            </w:r>
          </w:p>
        </w:tc>
        <w:tc>
          <w:tcPr>
            <w:tcW w:w="7512" w:type="dxa"/>
            <w:shd w:val="clear" w:color="auto" w:fill="F2DBDB" w:themeFill="accent2" w:themeFillTint="33"/>
          </w:tcPr>
          <w:p w14:paraId="4EF093AA" w14:textId="535C652E" w:rsidR="00A752BD" w:rsidRPr="00B67DA3" w:rsidRDefault="00A752BD" w:rsidP="00587064">
            <w:pPr>
              <w:pStyle w:val="1GAPara"/>
              <w:numPr>
                <w:ilvl w:val="0"/>
                <w:numId w:val="0"/>
              </w:numPr>
              <w:spacing w:after="60"/>
              <w:rPr>
                <w:sz w:val="20"/>
                <w:szCs w:val="20"/>
              </w:rPr>
            </w:pPr>
            <w:r w:rsidRPr="00B67DA3">
              <w:rPr>
                <w:sz w:val="20"/>
                <w:szCs w:val="20"/>
              </w:rPr>
              <w:t>Facilitate exchanges</w:t>
            </w:r>
            <w:r w:rsidR="007A7D91">
              <w:rPr>
                <w:sz w:val="20"/>
                <w:szCs w:val="20"/>
              </w:rPr>
              <w:t>, communication and capacity-building</w:t>
            </w:r>
            <w:r w:rsidRPr="00B67DA3">
              <w:rPr>
                <w:sz w:val="20"/>
                <w:szCs w:val="20"/>
              </w:rPr>
              <w:t xml:space="preserve"> and dialogue on safeguarding experiences and thematic issues</w:t>
            </w:r>
          </w:p>
        </w:tc>
      </w:tr>
      <w:tr w:rsidR="00A752BD" w14:paraId="534147ED" w14:textId="77777777" w:rsidTr="00DB3B19">
        <w:trPr>
          <w:trHeight w:val="809"/>
        </w:trPr>
        <w:tc>
          <w:tcPr>
            <w:tcW w:w="1555" w:type="dxa"/>
          </w:tcPr>
          <w:p w14:paraId="6FC074FE" w14:textId="77777777" w:rsidR="00A752BD" w:rsidRPr="00A03986" w:rsidRDefault="00A752BD" w:rsidP="00850DB7">
            <w:pPr>
              <w:pStyle w:val="1GAPara"/>
              <w:numPr>
                <w:ilvl w:val="0"/>
                <w:numId w:val="0"/>
              </w:numPr>
              <w:spacing w:after="0"/>
              <w:jc w:val="both"/>
              <w:rPr>
                <w:sz w:val="20"/>
                <w:szCs w:val="20"/>
              </w:rPr>
            </w:pPr>
            <w:r>
              <w:rPr>
                <w:sz w:val="20"/>
                <w:szCs w:val="20"/>
              </w:rPr>
              <w:lastRenderedPageBreak/>
              <w:t>Support structure</w:t>
            </w:r>
          </w:p>
        </w:tc>
        <w:tc>
          <w:tcPr>
            <w:tcW w:w="7512" w:type="dxa"/>
            <w:shd w:val="clear" w:color="auto" w:fill="F2DBDB" w:themeFill="accent2" w:themeFillTint="33"/>
          </w:tcPr>
          <w:p w14:paraId="6C24F39B" w14:textId="77777777" w:rsidR="00A752BD" w:rsidRDefault="00A752BD">
            <w:pPr>
              <w:pStyle w:val="1GAPara"/>
              <w:numPr>
                <w:ilvl w:val="0"/>
                <w:numId w:val="0"/>
              </w:numPr>
              <w:spacing w:after="60"/>
              <w:rPr>
                <w:sz w:val="20"/>
                <w:szCs w:val="20"/>
              </w:rPr>
            </w:pPr>
            <w:r>
              <w:rPr>
                <w:sz w:val="20"/>
                <w:szCs w:val="20"/>
              </w:rPr>
              <w:t>Secretariat of the 2003 Convention</w:t>
            </w:r>
          </w:p>
        </w:tc>
      </w:tr>
      <w:tr w:rsidR="00A752BD" w14:paraId="161F2EA5" w14:textId="77777777" w:rsidTr="00587064">
        <w:trPr>
          <w:trHeight w:val="416"/>
        </w:trPr>
        <w:tc>
          <w:tcPr>
            <w:tcW w:w="1555" w:type="dxa"/>
          </w:tcPr>
          <w:p w14:paraId="0A7141BE" w14:textId="77777777" w:rsidR="00A752BD" w:rsidRPr="00A03986" w:rsidRDefault="00A752BD" w:rsidP="00850DB7">
            <w:pPr>
              <w:pStyle w:val="1GAPara"/>
              <w:numPr>
                <w:ilvl w:val="0"/>
                <w:numId w:val="0"/>
              </w:numPr>
              <w:spacing w:after="0"/>
              <w:jc w:val="both"/>
              <w:rPr>
                <w:sz w:val="20"/>
                <w:szCs w:val="20"/>
              </w:rPr>
            </w:pPr>
            <w:r w:rsidRPr="00A03986">
              <w:rPr>
                <w:sz w:val="20"/>
                <w:szCs w:val="20"/>
              </w:rPr>
              <w:t xml:space="preserve">Statutory </w:t>
            </w:r>
            <w:r>
              <w:rPr>
                <w:sz w:val="20"/>
                <w:szCs w:val="20"/>
              </w:rPr>
              <w:t>requirements</w:t>
            </w:r>
          </w:p>
        </w:tc>
        <w:tc>
          <w:tcPr>
            <w:tcW w:w="7512" w:type="dxa"/>
            <w:shd w:val="clear" w:color="auto" w:fill="F2DBDB" w:themeFill="accent2" w:themeFillTint="33"/>
          </w:tcPr>
          <w:p w14:paraId="5625C1C6" w14:textId="1AA2734D" w:rsidR="00A752BD" w:rsidRPr="005B7E6B" w:rsidRDefault="00A752BD" w:rsidP="00587064">
            <w:pPr>
              <w:pStyle w:val="1GAPara"/>
              <w:numPr>
                <w:ilvl w:val="0"/>
                <w:numId w:val="19"/>
              </w:numPr>
              <w:spacing w:after="60"/>
              <w:ind w:left="170" w:hanging="170"/>
              <w:rPr>
                <w:sz w:val="20"/>
                <w:szCs w:val="20"/>
              </w:rPr>
            </w:pPr>
            <w:r>
              <w:rPr>
                <w:sz w:val="20"/>
                <w:szCs w:val="20"/>
              </w:rPr>
              <w:t>Committee decision</w:t>
            </w:r>
          </w:p>
        </w:tc>
      </w:tr>
      <w:tr w:rsidR="00A752BD" w14:paraId="08640DB7" w14:textId="77777777" w:rsidTr="00587064">
        <w:trPr>
          <w:trHeight w:val="456"/>
        </w:trPr>
        <w:tc>
          <w:tcPr>
            <w:tcW w:w="1555" w:type="dxa"/>
          </w:tcPr>
          <w:p w14:paraId="454D2DE8" w14:textId="77777777" w:rsidR="00A752BD" w:rsidRDefault="00A752BD" w:rsidP="00850DB7">
            <w:pPr>
              <w:pStyle w:val="1GAPara"/>
              <w:numPr>
                <w:ilvl w:val="0"/>
                <w:numId w:val="0"/>
              </w:numPr>
              <w:spacing w:after="0"/>
              <w:jc w:val="both"/>
              <w:rPr>
                <w:sz w:val="20"/>
                <w:szCs w:val="20"/>
              </w:rPr>
            </w:pPr>
            <w:r>
              <w:rPr>
                <w:sz w:val="20"/>
                <w:szCs w:val="20"/>
              </w:rPr>
              <w:t>Membership</w:t>
            </w:r>
          </w:p>
        </w:tc>
        <w:tc>
          <w:tcPr>
            <w:tcW w:w="7512" w:type="dxa"/>
            <w:shd w:val="clear" w:color="auto" w:fill="F2DBDB" w:themeFill="accent2" w:themeFillTint="33"/>
          </w:tcPr>
          <w:p w14:paraId="04E24395" w14:textId="77777777" w:rsidR="00A752BD" w:rsidRPr="00B67DA3" w:rsidRDefault="00A752BD" w:rsidP="00587064">
            <w:pPr>
              <w:pStyle w:val="1GAPara"/>
              <w:numPr>
                <w:ilvl w:val="0"/>
                <w:numId w:val="0"/>
              </w:numPr>
              <w:spacing w:after="60"/>
              <w:rPr>
                <w:sz w:val="20"/>
                <w:szCs w:val="20"/>
              </w:rPr>
            </w:pPr>
            <w:r w:rsidRPr="00B67DA3">
              <w:rPr>
                <w:sz w:val="20"/>
                <w:szCs w:val="20"/>
              </w:rPr>
              <w:t>Contact persons of the inscribed elements as focal points</w:t>
            </w:r>
          </w:p>
        </w:tc>
      </w:tr>
      <w:tr w:rsidR="00A752BD" w14:paraId="47D3DFBD" w14:textId="77777777" w:rsidTr="00DB3B19">
        <w:tc>
          <w:tcPr>
            <w:tcW w:w="1555" w:type="dxa"/>
          </w:tcPr>
          <w:p w14:paraId="016EEA0B" w14:textId="77777777" w:rsidR="00A752BD" w:rsidRDefault="00A752BD" w:rsidP="00850DB7">
            <w:pPr>
              <w:pStyle w:val="1GAPara"/>
              <w:numPr>
                <w:ilvl w:val="0"/>
                <w:numId w:val="0"/>
              </w:numPr>
              <w:spacing w:after="0"/>
              <w:jc w:val="both"/>
              <w:rPr>
                <w:sz w:val="20"/>
                <w:szCs w:val="20"/>
              </w:rPr>
            </w:pPr>
            <w:r>
              <w:rPr>
                <w:sz w:val="20"/>
                <w:szCs w:val="20"/>
              </w:rPr>
              <w:t>Main activities</w:t>
            </w:r>
          </w:p>
        </w:tc>
        <w:tc>
          <w:tcPr>
            <w:tcW w:w="7512" w:type="dxa"/>
            <w:shd w:val="clear" w:color="auto" w:fill="F2DBDB" w:themeFill="accent2" w:themeFillTint="33"/>
          </w:tcPr>
          <w:p w14:paraId="2BF3827A" w14:textId="2788BAE9" w:rsidR="00A752BD" w:rsidRDefault="00A752BD" w:rsidP="00587064">
            <w:pPr>
              <w:pStyle w:val="1GAPara"/>
              <w:numPr>
                <w:ilvl w:val="0"/>
                <w:numId w:val="6"/>
              </w:numPr>
              <w:spacing w:after="60"/>
              <w:ind w:left="180" w:hanging="180"/>
              <w:rPr>
                <w:sz w:val="20"/>
                <w:szCs w:val="20"/>
              </w:rPr>
            </w:pPr>
            <w:r>
              <w:rPr>
                <w:sz w:val="20"/>
                <w:szCs w:val="20"/>
              </w:rPr>
              <w:t>Coordination of experience sharing</w:t>
            </w:r>
          </w:p>
          <w:p w14:paraId="4377440D" w14:textId="554FE34E" w:rsidR="007A7D91" w:rsidRDefault="007A7D91" w:rsidP="00587064">
            <w:pPr>
              <w:pStyle w:val="1GAPara"/>
              <w:numPr>
                <w:ilvl w:val="0"/>
                <w:numId w:val="6"/>
              </w:numPr>
              <w:spacing w:after="60"/>
              <w:ind w:left="180" w:hanging="180"/>
              <w:rPr>
                <w:sz w:val="20"/>
                <w:szCs w:val="20"/>
              </w:rPr>
            </w:pPr>
            <w:r>
              <w:rPr>
                <w:sz w:val="20"/>
                <w:szCs w:val="20"/>
              </w:rPr>
              <w:t>Communication</w:t>
            </w:r>
          </w:p>
          <w:p w14:paraId="37E14A2D" w14:textId="30ACEA1E" w:rsidR="00A752BD" w:rsidRPr="005C2A70" w:rsidRDefault="007A7D91" w:rsidP="00587064">
            <w:pPr>
              <w:pStyle w:val="1GAPara"/>
              <w:numPr>
                <w:ilvl w:val="0"/>
                <w:numId w:val="6"/>
              </w:numPr>
              <w:spacing w:after="60"/>
              <w:ind w:left="180" w:hanging="180"/>
              <w:rPr>
                <w:sz w:val="20"/>
                <w:szCs w:val="20"/>
              </w:rPr>
            </w:pPr>
            <w:r w:rsidRPr="008D5D0F">
              <w:rPr>
                <w:sz w:val="20"/>
                <w:szCs w:val="20"/>
              </w:rPr>
              <w:t xml:space="preserve">Capacity-building (with support from </w:t>
            </w:r>
            <w:r w:rsidR="005B7E6B" w:rsidRPr="008D5D0F">
              <w:rPr>
                <w:sz w:val="20"/>
                <w:szCs w:val="20"/>
              </w:rPr>
              <w:t xml:space="preserve">accredited NGOs through the ICH NGO Forum, UNESCO Chairs, expert institutions, UNESCO facilitators, Category 2 </w:t>
            </w:r>
            <w:proofErr w:type="gramStart"/>
            <w:r w:rsidR="005B7E6B" w:rsidRPr="008D5D0F">
              <w:rPr>
                <w:sz w:val="20"/>
                <w:szCs w:val="20"/>
              </w:rPr>
              <w:t>Centres</w:t>
            </w:r>
            <w:proofErr w:type="gramEnd"/>
            <w:r w:rsidR="005B7E6B" w:rsidRPr="008D5D0F">
              <w:rPr>
                <w:sz w:val="20"/>
                <w:szCs w:val="20"/>
              </w:rPr>
              <w:t xml:space="preserve"> and other relevant stakeholders</w:t>
            </w:r>
            <w:r w:rsidRPr="008D5D0F">
              <w:rPr>
                <w:sz w:val="20"/>
                <w:szCs w:val="20"/>
              </w:rPr>
              <w:t>)</w:t>
            </w:r>
          </w:p>
        </w:tc>
      </w:tr>
      <w:tr w:rsidR="00A752BD" w14:paraId="6A9DC7B4" w14:textId="77777777" w:rsidTr="008D5D0F">
        <w:trPr>
          <w:trHeight w:val="1303"/>
        </w:trPr>
        <w:tc>
          <w:tcPr>
            <w:tcW w:w="1555" w:type="dxa"/>
          </w:tcPr>
          <w:p w14:paraId="263B229D" w14:textId="77777777" w:rsidR="00A752BD" w:rsidRPr="008D5D0F" w:rsidRDefault="00A752BD" w:rsidP="00850DB7">
            <w:pPr>
              <w:pStyle w:val="1GAPara"/>
              <w:numPr>
                <w:ilvl w:val="0"/>
                <w:numId w:val="0"/>
              </w:numPr>
              <w:spacing w:after="0"/>
              <w:jc w:val="both"/>
              <w:rPr>
                <w:sz w:val="16"/>
                <w:szCs w:val="16"/>
              </w:rPr>
            </w:pPr>
            <w:r w:rsidRPr="008D5D0F">
              <w:rPr>
                <w:sz w:val="16"/>
                <w:szCs w:val="16"/>
              </w:rPr>
              <w:t>Cost implications</w:t>
            </w:r>
          </w:p>
        </w:tc>
        <w:tc>
          <w:tcPr>
            <w:tcW w:w="7512" w:type="dxa"/>
            <w:shd w:val="clear" w:color="auto" w:fill="D9D9D9" w:themeFill="background1" w:themeFillShade="D9"/>
          </w:tcPr>
          <w:p w14:paraId="0E6D3EB3" w14:textId="77777777" w:rsidR="00A752BD" w:rsidRPr="00411028" w:rsidRDefault="00A752BD">
            <w:pPr>
              <w:pStyle w:val="1GAPara"/>
              <w:numPr>
                <w:ilvl w:val="0"/>
                <w:numId w:val="19"/>
              </w:numPr>
              <w:spacing w:after="60"/>
              <w:ind w:left="170" w:hanging="170"/>
              <w:rPr>
                <w:sz w:val="16"/>
                <w:szCs w:val="16"/>
              </w:rPr>
            </w:pPr>
            <w:r w:rsidRPr="00411028">
              <w:rPr>
                <w:sz w:val="16"/>
                <w:szCs w:val="16"/>
              </w:rPr>
              <w:t>Additional financial resources for:</w:t>
            </w:r>
          </w:p>
          <w:p w14:paraId="100B2469" w14:textId="4D5DA9D6" w:rsidR="00A752BD" w:rsidRPr="00411028" w:rsidRDefault="00271BF5">
            <w:pPr>
              <w:pStyle w:val="1GAPara"/>
              <w:numPr>
                <w:ilvl w:val="1"/>
                <w:numId w:val="19"/>
              </w:numPr>
              <w:spacing w:after="60"/>
              <w:ind w:left="527" w:hanging="357"/>
              <w:rPr>
                <w:sz w:val="16"/>
                <w:szCs w:val="16"/>
              </w:rPr>
            </w:pPr>
            <w:r w:rsidRPr="00411028">
              <w:rPr>
                <w:sz w:val="16"/>
                <w:szCs w:val="16"/>
              </w:rPr>
              <w:t xml:space="preserve">Personnel </w:t>
            </w:r>
            <w:r w:rsidR="00817A66" w:rsidRPr="00411028">
              <w:rPr>
                <w:sz w:val="16"/>
                <w:szCs w:val="16"/>
              </w:rPr>
              <w:t xml:space="preserve">need to maintain the functioning of the </w:t>
            </w:r>
            <w:r w:rsidR="00424EAE" w:rsidRPr="00411028">
              <w:rPr>
                <w:sz w:val="16"/>
                <w:szCs w:val="16"/>
              </w:rPr>
              <w:t>network</w:t>
            </w:r>
          </w:p>
          <w:p w14:paraId="16807948" w14:textId="77777777" w:rsidR="00A752BD" w:rsidRPr="008D5D0F" w:rsidRDefault="00A752BD">
            <w:pPr>
              <w:pStyle w:val="1GAPara"/>
              <w:numPr>
                <w:ilvl w:val="1"/>
                <w:numId w:val="19"/>
              </w:numPr>
              <w:spacing w:after="60"/>
              <w:ind w:left="527" w:hanging="357"/>
              <w:rPr>
                <w:sz w:val="16"/>
                <w:szCs w:val="16"/>
              </w:rPr>
            </w:pPr>
            <w:r w:rsidRPr="008D5D0F">
              <w:rPr>
                <w:sz w:val="16"/>
                <w:szCs w:val="16"/>
              </w:rPr>
              <w:t>meeting organization costs (interpretation, technicians etc)</w:t>
            </w:r>
          </w:p>
          <w:p w14:paraId="59B98E47" w14:textId="77777777" w:rsidR="00A752BD" w:rsidRPr="008D5D0F" w:rsidRDefault="00A752BD">
            <w:pPr>
              <w:pStyle w:val="1GAPara"/>
              <w:numPr>
                <w:ilvl w:val="1"/>
                <w:numId w:val="19"/>
              </w:numPr>
              <w:spacing w:after="60"/>
              <w:ind w:left="527" w:hanging="357"/>
              <w:rPr>
                <w:sz w:val="16"/>
                <w:szCs w:val="16"/>
              </w:rPr>
            </w:pPr>
            <w:r w:rsidRPr="008D5D0F">
              <w:rPr>
                <w:sz w:val="16"/>
                <w:szCs w:val="16"/>
              </w:rPr>
              <w:t>translation of documents</w:t>
            </w:r>
          </w:p>
          <w:p w14:paraId="566DC9B9" w14:textId="3CD47E2F" w:rsidR="00A752BD" w:rsidRPr="008D5D0F" w:rsidRDefault="00A752BD">
            <w:pPr>
              <w:pStyle w:val="1GAPara"/>
              <w:numPr>
                <w:ilvl w:val="1"/>
                <w:numId w:val="19"/>
              </w:numPr>
              <w:spacing w:after="60"/>
              <w:ind w:left="527" w:hanging="357"/>
              <w:rPr>
                <w:sz w:val="16"/>
                <w:szCs w:val="16"/>
              </w:rPr>
            </w:pPr>
            <w:r w:rsidRPr="008D5D0F">
              <w:rPr>
                <w:sz w:val="16"/>
                <w:szCs w:val="16"/>
              </w:rPr>
              <w:t>expert advisory services (when relevant)</w:t>
            </w:r>
          </w:p>
        </w:tc>
      </w:tr>
    </w:tbl>
    <w:p w14:paraId="5D01DFAE" w14:textId="0A650A91" w:rsidR="004257DC" w:rsidRPr="00C97BAA" w:rsidRDefault="003E4B08" w:rsidP="00C97BAA">
      <w:pPr>
        <w:pStyle w:val="Titre5"/>
        <w:numPr>
          <w:ilvl w:val="0"/>
          <w:numId w:val="3"/>
        </w:numPr>
        <w:spacing w:before="240"/>
        <w:ind w:left="567" w:hanging="567"/>
        <w:jc w:val="both"/>
        <w:rPr>
          <w:rFonts w:ascii="Arial" w:hAnsi="Arial" w:cs="Arial"/>
          <w:color w:val="auto"/>
        </w:rPr>
      </w:pPr>
      <w:bookmarkStart w:id="1" w:name="_A_special_forum:"/>
      <w:bookmarkEnd w:id="1"/>
      <w:r w:rsidRPr="004C2092">
        <w:rPr>
          <w:rStyle w:val="Titre5Car"/>
          <w:rFonts w:ascii="Arial" w:hAnsi="Arial" w:cs="Arial"/>
          <w:b/>
          <w:bCs/>
          <w:color w:val="auto"/>
        </w:rPr>
        <w:t>A special forum</w:t>
      </w:r>
      <w:r w:rsidR="00A76FD1" w:rsidRPr="004C2092">
        <w:rPr>
          <w:rStyle w:val="Titre5Car"/>
          <w:rFonts w:ascii="Arial" w:hAnsi="Arial" w:cs="Arial"/>
          <w:b/>
          <w:bCs/>
          <w:color w:val="auto"/>
        </w:rPr>
        <w:t>:</w:t>
      </w:r>
      <w:r w:rsidR="00C97BAA" w:rsidRPr="004C2092">
        <w:rPr>
          <w:rStyle w:val="Titre5Car"/>
          <w:rFonts w:ascii="Arial" w:hAnsi="Arial" w:cs="Arial"/>
          <w:b/>
          <w:bCs/>
          <w:color w:val="auto"/>
        </w:rPr>
        <w:t xml:space="preserve"> </w:t>
      </w:r>
      <w:r w:rsidR="00026AF2" w:rsidRPr="004C2092">
        <w:rPr>
          <w:rFonts w:ascii="Arial" w:hAnsi="Arial" w:cs="Arial"/>
          <w:color w:val="auto"/>
        </w:rPr>
        <w:t>This</w:t>
      </w:r>
      <w:r w:rsidR="00026AF2" w:rsidRPr="00C97BAA">
        <w:rPr>
          <w:rFonts w:ascii="Arial" w:hAnsi="Arial" w:cs="Arial"/>
          <w:color w:val="auto"/>
        </w:rPr>
        <w:t xml:space="preserve"> forum</w:t>
      </w:r>
      <w:r w:rsidR="006D5A48" w:rsidRPr="00C97BAA">
        <w:rPr>
          <w:rFonts w:ascii="Arial" w:hAnsi="Arial" w:cs="Arial"/>
          <w:color w:val="auto"/>
        </w:rPr>
        <w:t>’s aim would be to represent the voices of communities and bearers of living heritage with regards to the 2003 Convention during its governing bodies’ meetings</w:t>
      </w:r>
      <w:r w:rsidR="00105896" w:rsidRPr="00C97BAA">
        <w:rPr>
          <w:rFonts w:ascii="Arial" w:hAnsi="Arial" w:cs="Arial"/>
          <w:color w:val="auto"/>
        </w:rPr>
        <w:t xml:space="preserve"> and other statutory processes</w:t>
      </w:r>
      <w:r w:rsidR="006D5A48" w:rsidRPr="00C97BAA">
        <w:rPr>
          <w:rFonts w:ascii="Arial" w:hAnsi="Arial" w:cs="Arial"/>
          <w:color w:val="auto"/>
        </w:rPr>
        <w:t>. This suggestion</w:t>
      </w:r>
      <w:r w:rsidR="00026AF2" w:rsidRPr="00C97BAA">
        <w:rPr>
          <w:rFonts w:ascii="Arial" w:hAnsi="Arial" w:cs="Arial"/>
          <w:color w:val="auto"/>
        </w:rPr>
        <w:t xml:space="preserve"> is i</w:t>
      </w:r>
      <w:r w:rsidR="00A76FD1" w:rsidRPr="00C97BAA">
        <w:rPr>
          <w:rFonts w:ascii="Arial" w:hAnsi="Arial" w:cs="Arial"/>
          <w:color w:val="auto"/>
        </w:rPr>
        <w:t>nspired by the</w:t>
      </w:r>
      <w:r w:rsidR="0015675F" w:rsidRPr="00C97BAA">
        <w:rPr>
          <w:rFonts w:ascii="Arial" w:hAnsi="Arial" w:cs="Arial"/>
          <w:color w:val="auto"/>
        </w:rPr>
        <w:t xml:space="preserve"> International Indigenous Peoples’ Forum on World Heritage (IIPFWH) launched in 2018</w:t>
      </w:r>
      <w:r w:rsidR="00026AF2" w:rsidRPr="00C97BAA">
        <w:rPr>
          <w:rFonts w:ascii="Arial" w:hAnsi="Arial" w:cs="Arial"/>
          <w:color w:val="auto"/>
        </w:rPr>
        <w:t xml:space="preserve"> under the 1972</w:t>
      </w:r>
      <w:r w:rsidR="00E400AE" w:rsidRPr="00C97BAA">
        <w:rPr>
          <w:rFonts w:ascii="Arial" w:hAnsi="Arial" w:cs="Arial"/>
          <w:color w:val="auto"/>
        </w:rPr>
        <w:t> </w:t>
      </w:r>
      <w:r w:rsidR="00026AF2" w:rsidRPr="00C97BAA">
        <w:rPr>
          <w:rFonts w:ascii="Arial" w:hAnsi="Arial" w:cs="Arial"/>
          <w:color w:val="auto"/>
        </w:rPr>
        <w:t>Convention</w:t>
      </w:r>
      <w:r w:rsidR="00E400AE" w:rsidRPr="00C97BAA">
        <w:rPr>
          <w:rFonts w:ascii="Arial" w:hAnsi="Arial" w:cs="Arial"/>
          <w:color w:val="auto"/>
        </w:rPr>
        <w:t>,</w:t>
      </w:r>
      <w:r w:rsidR="006D5A48" w:rsidRPr="00C97BAA">
        <w:rPr>
          <w:rFonts w:ascii="Arial" w:hAnsi="Arial" w:cs="Arial"/>
          <w:color w:val="auto"/>
        </w:rPr>
        <w:t xml:space="preserve"> </w:t>
      </w:r>
      <w:r w:rsidR="00026AF2" w:rsidRPr="00C97BAA">
        <w:rPr>
          <w:rFonts w:ascii="Arial" w:hAnsi="Arial" w:cs="Arial"/>
          <w:color w:val="auto"/>
        </w:rPr>
        <w:t>which itself is modelled on the UN Convention on Biological Diversity and the UN Framework Convention on Climate Change</w:t>
      </w:r>
      <w:r w:rsidR="006D5A48" w:rsidRPr="00C97BAA">
        <w:rPr>
          <w:rFonts w:ascii="Arial" w:hAnsi="Arial" w:cs="Arial"/>
          <w:color w:val="auto"/>
        </w:rPr>
        <w:t xml:space="preserve"> (IIPFCC</w:t>
      </w:r>
      <w:r w:rsidR="00026AF2" w:rsidRPr="00C97BAA">
        <w:rPr>
          <w:rFonts w:ascii="Arial" w:hAnsi="Arial" w:cs="Arial"/>
          <w:color w:val="auto"/>
        </w:rPr>
        <w:t>)</w:t>
      </w:r>
      <w:r w:rsidR="00932035" w:rsidRPr="00C97BAA">
        <w:rPr>
          <w:rFonts w:ascii="Arial" w:hAnsi="Arial" w:cs="Arial"/>
          <w:color w:val="auto"/>
        </w:rPr>
        <w:t>.</w:t>
      </w:r>
      <w:r w:rsidR="0015675F" w:rsidRPr="00C97BAA">
        <w:rPr>
          <w:rFonts w:ascii="Arial" w:hAnsi="Arial" w:cs="Arial"/>
          <w:color w:val="auto"/>
        </w:rPr>
        <w:t xml:space="preserve"> </w:t>
      </w:r>
      <w:r w:rsidR="00932035" w:rsidRPr="00C97BAA">
        <w:rPr>
          <w:rFonts w:ascii="Arial" w:hAnsi="Arial" w:cs="Arial"/>
          <w:color w:val="auto"/>
        </w:rPr>
        <w:t>It</w:t>
      </w:r>
      <w:r w:rsidR="00786785" w:rsidRPr="00C97BAA">
        <w:rPr>
          <w:rFonts w:ascii="Arial" w:hAnsi="Arial" w:cs="Arial"/>
          <w:color w:val="auto"/>
        </w:rPr>
        <w:t xml:space="preserve"> would </w:t>
      </w:r>
      <w:r w:rsidR="00026AF2" w:rsidRPr="00C97BAA">
        <w:rPr>
          <w:rFonts w:ascii="Arial" w:hAnsi="Arial" w:cs="Arial"/>
          <w:color w:val="auto"/>
        </w:rPr>
        <w:t>be a</w:t>
      </w:r>
      <w:r w:rsidR="00D60569" w:rsidRPr="00C97BAA">
        <w:rPr>
          <w:rFonts w:ascii="Arial" w:hAnsi="Arial" w:cs="Arial"/>
          <w:color w:val="auto"/>
        </w:rPr>
        <w:t>n ad hoc</w:t>
      </w:r>
      <w:r w:rsidR="00026AF2" w:rsidRPr="00C97BAA">
        <w:rPr>
          <w:rFonts w:ascii="Arial" w:hAnsi="Arial" w:cs="Arial"/>
          <w:color w:val="auto"/>
        </w:rPr>
        <w:t xml:space="preserve"> body aiming to </w:t>
      </w:r>
      <w:r w:rsidR="00786785" w:rsidRPr="00C97BAA">
        <w:rPr>
          <w:rFonts w:ascii="Arial" w:hAnsi="Arial" w:cs="Arial"/>
          <w:color w:val="auto"/>
        </w:rPr>
        <w:t xml:space="preserve">support more direct and formal engagement </w:t>
      </w:r>
      <w:r w:rsidR="00932035" w:rsidRPr="00C97BAA">
        <w:rPr>
          <w:rFonts w:ascii="Arial" w:hAnsi="Arial" w:cs="Arial"/>
          <w:color w:val="auto"/>
        </w:rPr>
        <w:t>w</w:t>
      </w:r>
      <w:r w:rsidR="00026AF2" w:rsidRPr="00C97BAA">
        <w:rPr>
          <w:rFonts w:ascii="Arial" w:hAnsi="Arial" w:cs="Arial"/>
          <w:color w:val="auto"/>
        </w:rPr>
        <w:t>ith</w:t>
      </w:r>
      <w:r w:rsidR="00786785" w:rsidRPr="00C97BAA">
        <w:rPr>
          <w:rFonts w:ascii="Arial" w:hAnsi="Arial" w:cs="Arial"/>
          <w:color w:val="auto"/>
        </w:rPr>
        <w:t xml:space="preserve"> the </w:t>
      </w:r>
      <w:r w:rsidR="00026AF2" w:rsidRPr="00C97BAA">
        <w:rPr>
          <w:rFonts w:ascii="Arial" w:hAnsi="Arial" w:cs="Arial"/>
          <w:color w:val="auto"/>
        </w:rPr>
        <w:t xml:space="preserve">2003 </w:t>
      </w:r>
      <w:r w:rsidR="00786785" w:rsidRPr="00C97BAA">
        <w:rPr>
          <w:rFonts w:ascii="Arial" w:hAnsi="Arial" w:cs="Arial"/>
          <w:color w:val="auto"/>
        </w:rPr>
        <w:t xml:space="preserve">Convention’s governing bodies </w:t>
      </w:r>
      <w:r w:rsidR="00026AF2" w:rsidRPr="00C97BAA">
        <w:rPr>
          <w:rFonts w:ascii="Arial" w:hAnsi="Arial" w:cs="Arial"/>
          <w:color w:val="auto"/>
        </w:rPr>
        <w:t xml:space="preserve">during its statutory meetings. </w:t>
      </w:r>
    </w:p>
    <w:p w14:paraId="67205341" w14:textId="12437A25" w:rsidR="00751581" w:rsidRDefault="004257DC" w:rsidP="00DB3B19">
      <w:pPr>
        <w:pStyle w:val="1GAPara"/>
        <w:keepNext/>
        <w:numPr>
          <w:ilvl w:val="0"/>
          <w:numId w:val="3"/>
        </w:numPr>
        <w:spacing w:before="120" w:after="240"/>
        <w:ind w:left="567" w:hanging="567"/>
        <w:jc w:val="both"/>
      </w:pPr>
      <w:r w:rsidRPr="008D5D0F">
        <w:t>Its</w:t>
      </w:r>
      <w:r w:rsidR="0017524C" w:rsidRPr="008D5D0F">
        <w:t xml:space="preserve"> organizational structure would be fluid</w:t>
      </w:r>
      <w:r w:rsidR="00D45F5E" w:rsidRPr="008D5D0F">
        <w:t xml:space="preserve"> and the special forum would be convened on an ad hoc basis by decision of the Intergovernmental Committee. Its role would be to address thematic issues which may benefit from closer engagement and dialogue between States Parties to the Convention and ICH practitioners and bearers. The</w:t>
      </w:r>
      <w:r w:rsidR="00D60569" w:rsidRPr="008D5D0F">
        <w:t xml:space="preserve"> </w:t>
      </w:r>
      <w:r w:rsidR="003F09F1" w:rsidRPr="008D5D0F">
        <w:t>Secretariat could engage with accredited NGOs</w:t>
      </w:r>
      <w:r w:rsidRPr="008D5D0F">
        <w:t xml:space="preserve"> and </w:t>
      </w:r>
      <w:r w:rsidR="00D60569" w:rsidRPr="008D5D0F">
        <w:t>the network of inscribed elements</w:t>
      </w:r>
      <w:r w:rsidR="00D45F5E" w:rsidRPr="008D5D0F">
        <w:t xml:space="preserve"> </w:t>
      </w:r>
      <w:r w:rsidR="003F09F1" w:rsidRPr="008D5D0F">
        <w:t xml:space="preserve">to </w:t>
      </w:r>
      <w:r w:rsidR="00D60569" w:rsidRPr="008D5D0F">
        <w:t>identify</w:t>
      </w:r>
      <w:r w:rsidR="003F09F1" w:rsidRPr="008D5D0F">
        <w:t xml:space="preserve"> </w:t>
      </w:r>
      <w:r w:rsidR="007E0955" w:rsidRPr="008D5D0F">
        <w:t xml:space="preserve">key </w:t>
      </w:r>
      <w:r w:rsidR="00E832FC" w:rsidRPr="008D5D0F">
        <w:t>thematic areas</w:t>
      </w:r>
      <w:r w:rsidR="003F09F1" w:rsidRPr="008D5D0F">
        <w:t xml:space="preserve"> and participants </w:t>
      </w:r>
      <w:r w:rsidR="007E0955" w:rsidRPr="008D5D0F">
        <w:t>with relevant experience and knowledge on</w:t>
      </w:r>
      <w:r w:rsidR="003F09F1" w:rsidRPr="008D5D0F">
        <w:t xml:space="preserve"> </w:t>
      </w:r>
      <w:r w:rsidR="00E832FC" w:rsidRPr="008D5D0F">
        <w:t xml:space="preserve">the </w:t>
      </w:r>
      <w:r w:rsidR="003F09F1" w:rsidRPr="008D5D0F">
        <w:t>issues at hand</w:t>
      </w:r>
      <w:r w:rsidR="00D60569" w:rsidRPr="008D5D0F">
        <w:t>.</w:t>
      </w:r>
      <w:r w:rsidR="0017524C" w:rsidRPr="008D5D0F">
        <w:t xml:space="preserve"> </w:t>
      </w:r>
      <w:r w:rsidR="0051444A">
        <w:t>T</w:t>
      </w:r>
      <w:r w:rsidR="00AB1217">
        <w:t>he details for setting up and maintaining</w:t>
      </w:r>
      <w:r w:rsidR="00ED6930">
        <w:t xml:space="preserve"> </w:t>
      </w:r>
      <w:r w:rsidR="0051444A">
        <w:t>such</w:t>
      </w:r>
      <w:r w:rsidR="00ED6930">
        <w:t xml:space="preserve"> </w:t>
      </w:r>
      <w:r w:rsidR="00A16294">
        <w:t xml:space="preserve">a </w:t>
      </w:r>
      <w:r w:rsidR="00ED6930">
        <w:t xml:space="preserve">forum might be summarized </w:t>
      </w:r>
      <w:r w:rsidR="00AB1217">
        <w:t xml:space="preserve">as </w:t>
      </w:r>
      <w:r w:rsidR="00E015DB">
        <w:t>follows</w:t>
      </w:r>
      <w:r w:rsidR="00ED6930">
        <w:t>:</w:t>
      </w:r>
    </w:p>
    <w:tbl>
      <w:tblPr>
        <w:tblStyle w:val="Grilledutableau"/>
        <w:tblW w:w="9067" w:type="dxa"/>
        <w:tblInd w:w="567" w:type="dxa"/>
        <w:tblLayout w:type="fixed"/>
        <w:tblLook w:val="04A0" w:firstRow="1" w:lastRow="0" w:firstColumn="1" w:lastColumn="0" w:noHBand="0" w:noVBand="1"/>
      </w:tblPr>
      <w:tblGrid>
        <w:gridCol w:w="1555"/>
        <w:gridCol w:w="7512"/>
      </w:tblGrid>
      <w:tr w:rsidR="00A752BD" w14:paraId="2C9F470B" w14:textId="77777777" w:rsidTr="00DB3B19">
        <w:tc>
          <w:tcPr>
            <w:tcW w:w="1555" w:type="dxa"/>
          </w:tcPr>
          <w:p w14:paraId="1FEE6D3F" w14:textId="77777777" w:rsidR="00A752BD" w:rsidRPr="004F3412" w:rsidRDefault="00A752BD" w:rsidP="00D1707A">
            <w:pPr>
              <w:pStyle w:val="1GAPara"/>
              <w:numPr>
                <w:ilvl w:val="0"/>
                <w:numId w:val="0"/>
              </w:numPr>
              <w:spacing w:after="0"/>
              <w:jc w:val="both"/>
              <w:rPr>
                <w:sz w:val="20"/>
                <w:szCs w:val="20"/>
              </w:rPr>
            </w:pPr>
          </w:p>
        </w:tc>
        <w:tc>
          <w:tcPr>
            <w:tcW w:w="7512" w:type="dxa"/>
            <w:shd w:val="clear" w:color="auto" w:fill="EAF1DD" w:themeFill="accent3" w:themeFillTint="33"/>
          </w:tcPr>
          <w:p w14:paraId="73D0CEED" w14:textId="6FC8EDF3" w:rsidR="00A752BD" w:rsidRPr="0008670B" w:rsidRDefault="00A752BD" w:rsidP="00587064">
            <w:pPr>
              <w:pStyle w:val="1GAPara"/>
              <w:numPr>
                <w:ilvl w:val="0"/>
                <w:numId w:val="0"/>
              </w:numPr>
              <w:spacing w:after="60"/>
              <w:jc w:val="center"/>
              <w:rPr>
                <w:b/>
                <w:bCs/>
                <w:sz w:val="20"/>
                <w:szCs w:val="20"/>
              </w:rPr>
            </w:pPr>
            <w:r>
              <w:rPr>
                <w:b/>
                <w:bCs/>
                <w:sz w:val="20"/>
                <w:szCs w:val="20"/>
              </w:rPr>
              <w:t>S</w:t>
            </w:r>
            <w:r w:rsidRPr="0008670B">
              <w:rPr>
                <w:b/>
                <w:bCs/>
                <w:sz w:val="20"/>
                <w:szCs w:val="20"/>
              </w:rPr>
              <w:t>pecial forum</w:t>
            </w:r>
          </w:p>
        </w:tc>
      </w:tr>
      <w:tr w:rsidR="00A752BD" w14:paraId="5BAE71DA" w14:textId="77777777" w:rsidTr="00DB3B19">
        <w:tc>
          <w:tcPr>
            <w:tcW w:w="1555" w:type="dxa"/>
          </w:tcPr>
          <w:p w14:paraId="75754F07" w14:textId="096D8292" w:rsidR="00A752BD" w:rsidRPr="004F3412" w:rsidRDefault="00A752BD" w:rsidP="00D1707A">
            <w:pPr>
              <w:pStyle w:val="1GAPara"/>
              <w:numPr>
                <w:ilvl w:val="0"/>
                <w:numId w:val="0"/>
              </w:numPr>
              <w:spacing w:after="0"/>
              <w:jc w:val="both"/>
              <w:rPr>
                <w:sz w:val="20"/>
                <w:szCs w:val="20"/>
              </w:rPr>
            </w:pPr>
            <w:r w:rsidRPr="004F3412">
              <w:rPr>
                <w:sz w:val="20"/>
                <w:szCs w:val="20"/>
              </w:rPr>
              <w:t>Main purpose</w:t>
            </w:r>
          </w:p>
        </w:tc>
        <w:tc>
          <w:tcPr>
            <w:tcW w:w="7512" w:type="dxa"/>
            <w:shd w:val="clear" w:color="auto" w:fill="EAF1DD" w:themeFill="accent3" w:themeFillTint="33"/>
          </w:tcPr>
          <w:p w14:paraId="33082CE1" w14:textId="14DD4ACA" w:rsidR="00A752BD" w:rsidRPr="00B67DA3" w:rsidRDefault="00A752BD" w:rsidP="00587064">
            <w:pPr>
              <w:pStyle w:val="1GAPara"/>
              <w:numPr>
                <w:ilvl w:val="0"/>
                <w:numId w:val="0"/>
              </w:numPr>
              <w:spacing w:after="60"/>
              <w:rPr>
                <w:sz w:val="20"/>
                <w:szCs w:val="20"/>
              </w:rPr>
            </w:pPr>
            <w:r w:rsidRPr="00B67DA3">
              <w:rPr>
                <w:sz w:val="20"/>
                <w:szCs w:val="20"/>
              </w:rPr>
              <w:t>Support more direct engagement of the Committee with communities and bearers of living heritage</w:t>
            </w:r>
            <w:r>
              <w:rPr>
                <w:sz w:val="20"/>
                <w:szCs w:val="20"/>
              </w:rPr>
              <w:t xml:space="preserve"> </w:t>
            </w:r>
            <w:r w:rsidRPr="009318B0">
              <w:rPr>
                <w:sz w:val="20"/>
                <w:szCs w:val="20"/>
              </w:rPr>
              <w:t>(on an ad hoc basis)</w:t>
            </w:r>
          </w:p>
        </w:tc>
      </w:tr>
      <w:tr w:rsidR="00A752BD" w14:paraId="6FA52998" w14:textId="77777777" w:rsidTr="00587064">
        <w:trPr>
          <w:trHeight w:val="464"/>
        </w:trPr>
        <w:tc>
          <w:tcPr>
            <w:tcW w:w="1555" w:type="dxa"/>
          </w:tcPr>
          <w:p w14:paraId="77A5F988" w14:textId="28E48327" w:rsidR="00A752BD" w:rsidRPr="00A03986" w:rsidRDefault="00A752BD" w:rsidP="00A03986">
            <w:pPr>
              <w:pStyle w:val="1GAPara"/>
              <w:numPr>
                <w:ilvl w:val="0"/>
                <w:numId w:val="0"/>
              </w:numPr>
              <w:spacing w:after="0"/>
              <w:jc w:val="both"/>
              <w:rPr>
                <w:sz w:val="20"/>
                <w:szCs w:val="20"/>
              </w:rPr>
            </w:pPr>
            <w:r>
              <w:rPr>
                <w:sz w:val="20"/>
                <w:szCs w:val="20"/>
              </w:rPr>
              <w:t>Support structure</w:t>
            </w:r>
          </w:p>
        </w:tc>
        <w:tc>
          <w:tcPr>
            <w:tcW w:w="7512" w:type="dxa"/>
            <w:shd w:val="clear" w:color="auto" w:fill="EAF1DD" w:themeFill="accent3" w:themeFillTint="33"/>
          </w:tcPr>
          <w:p w14:paraId="6121FAF3" w14:textId="650D1578" w:rsidR="00A752BD" w:rsidRDefault="00A752BD">
            <w:pPr>
              <w:pStyle w:val="1GAPara"/>
              <w:numPr>
                <w:ilvl w:val="0"/>
                <w:numId w:val="0"/>
              </w:numPr>
              <w:spacing w:after="60"/>
              <w:rPr>
                <w:sz w:val="20"/>
                <w:szCs w:val="20"/>
              </w:rPr>
            </w:pPr>
            <w:r>
              <w:rPr>
                <w:sz w:val="20"/>
                <w:szCs w:val="20"/>
              </w:rPr>
              <w:t>Secretariat of the 2003 Convention with support from the ICH NGO Forum and the network of inscribed elements</w:t>
            </w:r>
          </w:p>
        </w:tc>
      </w:tr>
      <w:tr w:rsidR="00A752BD" w14:paraId="2353F6F0" w14:textId="77777777" w:rsidTr="00587064">
        <w:trPr>
          <w:trHeight w:val="486"/>
        </w:trPr>
        <w:tc>
          <w:tcPr>
            <w:tcW w:w="1555" w:type="dxa"/>
          </w:tcPr>
          <w:p w14:paraId="3E6972EA" w14:textId="41B41F1F" w:rsidR="00A752BD" w:rsidRPr="00A03986" w:rsidRDefault="00A752BD" w:rsidP="00A03986">
            <w:pPr>
              <w:pStyle w:val="1GAPara"/>
              <w:numPr>
                <w:ilvl w:val="0"/>
                <w:numId w:val="0"/>
              </w:numPr>
              <w:spacing w:after="0"/>
              <w:jc w:val="both"/>
              <w:rPr>
                <w:sz w:val="20"/>
                <w:szCs w:val="20"/>
              </w:rPr>
            </w:pPr>
            <w:r w:rsidRPr="00A03986">
              <w:rPr>
                <w:sz w:val="20"/>
                <w:szCs w:val="20"/>
              </w:rPr>
              <w:t xml:space="preserve">Statutory </w:t>
            </w:r>
            <w:r>
              <w:rPr>
                <w:sz w:val="20"/>
                <w:szCs w:val="20"/>
              </w:rPr>
              <w:t>requirements</w:t>
            </w:r>
          </w:p>
        </w:tc>
        <w:tc>
          <w:tcPr>
            <w:tcW w:w="7512" w:type="dxa"/>
            <w:shd w:val="clear" w:color="auto" w:fill="EAF1DD" w:themeFill="accent3" w:themeFillTint="33"/>
          </w:tcPr>
          <w:p w14:paraId="53ADBE72" w14:textId="77777777" w:rsidR="00A752BD" w:rsidRDefault="00A752BD">
            <w:pPr>
              <w:pStyle w:val="1GAPara"/>
              <w:numPr>
                <w:ilvl w:val="0"/>
                <w:numId w:val="19"/>
              </w:numPr>
              <w:spacing w:after="60"/>
              <w:ind w:left="170" w:hanging="170"/>
              <w:rPr>
                <w:sz w:val="20"/>
                <w:szCs w:val="20"/>
              </w:rPr>
            </w:pPr>
            <w:r>
              <w:rPr>
                <w:sz w:val="20"/>
                <w:szCs w:val="20"/>
              </w:rPr>
              <w:t>Committee decision</w:t>
            </w:r>
          </w:p>
          <w:p w14:paraId="4B7003F0" w14:textId="77777777" w:rsidR="00A752BD" w:rsidRPr="00A03986" w:rsidRDefault="00A752BD">
            <w:pPr>
              <w:pStyle w:val="1GAPara"/>
              <w:numPr>
                <w:ilvl w:val="0"/>
                <w:numId w:val="0"/>
              </w:numPr>
              <w:spacing w:after="60"/>
              <w:ind w:left="170"/>
              <w:rPr>
                <w:sz w:val="20"/>
                <w:szCs w:val="20"/>
              </w:rPr>
            </w:pPr>
          </w:p>
        </w:tc>
      </w:tr>
      <w:tr w:rsidR="00A752BD" w14:paraId="631567B7" w14:textId="77777777" w:rsidTr="00DB3B19">
        <w:tc>
          <w:tcPr>
            <w:tcW w:w="1555" w:type="dxa"/>
          </w:tcPr>
          <w:p w14:paraId="7C339059" w14:textId="6E68DEA2" w:rsidR="00A752BD" w:rsidRDefault="00A752BD" w:rsidP="00D1707A">
            <w:pPr>
              <w:pStyle w:val="1GAPara"/>
              <w:numPr>
                <w:ilvl w:val="0"/>
                <w:numId w:val="0"/>
              </w:numPr>
              <w:spacing w:after="0"/>
              <w:jc w:val="both"/>
              <w:rPr>
                <w:sz w:val="20"/>
                <w:szCs w:val="20"/>
              </w:rPr>
            </w:pPr>
            <w:r>
              <w:rPr>
                <w:sz w:val="20"/>
                <w:szCs w:val="20"/>
              </w:rPr>
              <w:t>Membership</w:t>
            </w:r>
          </w:p>
        </w:tc>
        <w:tc>
          <w:tcPr>
            <w:tcW w:w="7512" w:type="dxa"/>
            <w:shd w:val="clear" w:color="auto" w:fill="EAF1DD" w:themeFill="accent3" w:themeFillTint="33"/>
          </w:tcPr>
          <w:p w14:paraId="78C97188" w14:textId="3DDACD29" w:rsidR="00A752BD" w:rsidRPr="00B67DA3" w:rsidRDefault="00A752BD" w:rsidP="00587064">
            <w:pPr>
              <w:pStyle w:val="1GAPara"/>
              <w:numPr>
                <w:ilvl w:val="0"/>
                <w:numId w:val="0"/>
              </w:numPr>
              <w:spacing w:after="60"/>
              <w:rPr>
                <w:sz w:val="20"/>
                <w:szCs w:val="20"/>
              </w:rPr>
            </w:pPr>
            <w:r>
              <w:rPr>
                <w:sz w:val="20"/>
                <w:szCs w:val="20"/>
              </w:rPr>
              <w:t xml:space="preserve">No permanent membership. </w:t>
            </w:r>
            <w:r w:rsidRPr="00B67DA3">
              <w:rPr>
                <w:sz w:val="20"/>
                <w:szCs w:val="20"/>
              </w:rPr>
              <w:t>Session</w:t>
            </w:r>
            <w:r>
              <w:rPr>
                <w:sz w:val="20"/>
                <w:szCs w:val="20"/>
              </w:rPr>
              <w:t>-</w:t>
            </w:r>
            <w:r w:rsidRPr="00B67DA3">
              <w:rPr>
                <w:sz w:val="20"/>
                <w:szCs w:val="20"/>
              </w:rPr>
              <w:t>based selection</w:t>
            </w:r>
            <w:r>
              <w:rPr>
                <w:sz w:val="20"/>
                <w:szCs w:val="20"/>
              </w:rPr>
              <w:t xml:space="preserve"> of community representatives</w:t>
            </w:r>
          </w:p>
        </w:tc>
      </w:tr>
      <w:tr w:rsidR="00A752BD" w14:paraId="7C09FE6C" w14:textId="77777777" w:rsidTr="00DB3B19">
        <w:tc>
          <w:tcPr>
            <w:tcW w:w="1555" w:type="dxa"/>
          </w:tcPr>
          <w:p w14:paraId="3E4A8900" w14:textId="4E0CD229" w:rsidR="00A752BD" w:rsidRDefault="00A752BD" w:rsidP="00D1707A">
            <w:pPr>
              <w:pStyle w:val="1GAPara"/>
              <w:numPr>
                <w:ilvl w:val="0"/>
                <w:numId w:val="0"/>
              </w:numPr>
              <w:spacing w:after="0"/>
              <w:jc w:val="both"/>
              <w:rPr>
                <w:sz w:val="20"/>
                <w:szCs w:val="20"/>
              </w:rPr>
            </w:pPr>
            <w:r>
              <w:rPr>
                <w:sz w:val="20"/>
                <w:szCs w:val="20"/>
              </w:rPr>
              <w:t>Main activities</w:t>
            </w:r>
          </w:p>
        </w:tc>
        <w:tc>
          <w:tcPr>
            <w:tcW w:w="7512" w:type="dxa"/>
            <w:shd w:val="clear" w:color="auto" w:fill="EAF1DD" w:themeFill="accent3" w:themeFillTint="33"/>
          </w:tcPr>
          <w:p w14:paraId="1F5FC2D5" w14:textId="2D7F6CE0" w:rsidR="00A752BD" w:rsidRDefault="00A752BD" w:rsidP="00587064">
            <w:pPr>
              <w:pStyle w:val="1GAPara"/>
              <w:numPr>
                <w:ilvl w:val="0"/>
                <w:numId w:val="6"/>
              </w:numPr>
              <w:spacing w:after="60"/>
              <w:ind w:left="180" w:hanging="180"/>
              <w:rPr>
                <w:sz w:val="20"/>
                <w:szCs w:val="20"/>
              </w:rPr>
            </w:pPr>
            <w:r>
              <w:rPr>
                <w:sz w:val="20"/>
                <w:szCs w:val="20"/>
              </w:rPr>
              <w:t>Selection of participants</w:t>
            </w:r>
          </w:p>
          <w:p w14:paraId="5B483444" w14:textId="37C2212C" w:rsidR="00A752BD" w:rsidRPr="00324C3B" w:rsidRDefault="00A752BD" w:rsidP="00587064">
            <w:pPr>
              <w:pStyle w:val="1GAPara"/>
              <w:numPr>
                <w:ilvl w:val="0"/>
                <w:numId w:val="6"/>
              </w:numPr>
              <w:spacing w:after="60"/>
              <w:ind w:left="180" w:hanging="180"/>
              <w:rPr>
                <w:sz w:val="20"/>
                <w:szCs w:val="20"/>
              </w:rPr>
            </w:pPr>
            <w:r w:rsidRPr="00324C3B">
              <w:rPr>
                <w:sz w:val="20"/>
                <w:szCs w:val="20"/>
              </w:rPr>
              <w:t>Travel and participation in the Committee meetings</w:t>
            </w:r>
          </w:p>
        </w:tc>
      </w:tr>
      <w:tr w:rsidR="00A752BD" w14:paraId="062D938F" w14:textId="77777777" w:rsidTr="008D5D0F">
        <w:trPr>
          <w:trHeight w:val="1317"/>
        </w:trPr>
        <w:tc>
          <w:tcPr>
            <w:tcW w:w="1555" w:type="dxa"/>
          </w:tcPr>
          <w:p w14:paraId="75115EA7" w14:textId="0A9519AE" w:rsidR="00A752BD" w:rsidRPr="008D5D0F" w:rsidRDefault="00A752BD" w:rsidP="00D1707A">
            <w:pPr>
              <w:pStyle w:val="1GAPara"/>
              <w:numPr>
                <w:ilvl w:val="0"/>
                <w:numId w:val="0"/>
              </w:numPr>
              <w:spacing w:after="0"/>
              <w:jc w:val="both"/>
              <w:rPr>
                <w:sz w:val="16"/>
                <w:szCs w:val="16"/>
              </w:rPr>
            </w:pPr>
            <w:bookmarkStart w:id="2" w:name="_Hlk80971455"/>
            <w:r w:rsidRPr="008D5D0F">
              <w:rPr>
                <w:sz w:val="16"/>
                <w:szCs w:val="16"/>
              </w:rPr>
              <w:t>Cost implications</w:t>
            </w:r>
          </w:p>
        </w:tc>
        <w:tc>
          <w:tcPr>
            <w:tcW w:w="7512" w:type="dxa"/>
            <w:shd w:val="clear" w:color="auto" w:fill="D9D9D9" w:themeFill="background1" w:themeFillShade="D9"/>
          </w:tcPr>
          <w:p w14:paraId="478DB71F" w14:textId="77777777" w:rsidR="00A752BD" w:rsidRPr="008D5D0F" w:rsidRDefault="00A752BD">
            <w:pPr>
              <w:pStyle w:val="1GAPara"/>
              <w:numPr>
                <w:ilvl w:val="0"/>
                <w:numId w:val="19"/>
              </w:numPr>
              <w:spacing w:after="60"/>
              <w:ind w:left="170" w:hanging="170"/>
              <w:rPr>
                <w:sz w:val="16"/>
                <w:szCs w:val="16"/>
              </w:rPr>
            </w:pPr>
            <w:r w:rsidRPr="008D5D0F">
              <w:rPr>
                <w:sz w:val="16"/>
                <w:szCs w:val="16"/>
              </w:rPr>
              <w:t>Additional financial resources for:</w:t>
            </w:r>
          </w:p>
          <w:p w14:paraId="160604D0" w14:textId="60AA2BB3" w:rsidR="00A752BD" w:rsidRPr="008D5D0F" w:rsidRDefault="00A752BD">
            <w:pPr>
              <w:pStyle w:val="1GAPara"/>
              <w:numPr>
                <w:ilvl w:val="1"/>
                <w:numId w:val="19"/>
              </w:numPr>
              <w:spacing w:after="60"/>
              <w:ind w:left="527" w:hanging="357"/>
              <w:rPr>
                <w:sz w:val="16"/>
                <w:szCs w:val="16"/>
              </w:rPr>
            </w:pPr>
            <w:r w:rsidRPr="008D5D0F">
              <w:rPr>
                <w:sz w:val="16"/>
                <w:szCs w:val="16"/>
              </w:rPr>
              <w:t>travel costs of community representatives and bearers</w:t>
            </w:r>
          </w:p>
          <w:p w14:paraId="6BB6812F" w14:textId="45851AE9" w:rsidR="00A752BD" w:rsidRPr="008D5D0F" w:rsidRDefault="00A752BD">
            <w:pPr>
              <w:pStyle w:val="1GAPara"/>
              <w:numPr>
                <w:ilvl w:val="1"/>
                <w:numId w:val="19"/>
              </w:numPr>
              <w:spacing w:after="60"/>
              <w:ind w:left="527" w:hanging="357"/>
              <w:rPr>
                <w:sz w:val="16"/>
                <w:szCs w:val="16"/>
              </w:rPr>
            </w:pPr>
            <w:r w:rsidRPr="008D5D0F">
              <w:rPr>
                <w:sz w:val="16"/>
                <w:szCs w:val="16"/>
              </w:rPr>
              <w:t>organization of events during Committee sessions</w:t>
            </w:r>
          </w:p>
          <w:p w14:paraId="59467843" w14:textId="77777777" w:rsidR="00A752BD" w:rsidRPr="008D5D0F" w:rsidRDefault="00A752BD">
            <w:pPr>
              <w:pStyle w:val="1GAPara"/>
              <w:numPr>
                <w:ilvl w:val="0"/>
                <w:numId w:val="19"/>
              </w:numPr>
              <w:spacing w:after="60"/>
              <w:ind w:left="170" w:hanging="170"/>
              <w:rPr>
                <w:i/>
                <w:iCs/>
                <w:sz w:val="16"/>
                <w:szCs w:val="16"/>
              </w:rPr>
            </w:pPr>
            <w:r w:rsidRPr="008D5D0F">
              <w:rPr>
                <w:sz w:val="16"/>
                <w:szCs w:val="16"/>
              </w:rPr>
              <w:t xml:space="preserve">Additional Secretariat time required for: </w:t>
            </w:r>
          </w:p>
          <w:p w14:paraId="6A22FB0A" w14:textId="77777777" w:rsidR="00A752BD" w:rsidRPr="008D5D0F" w:rsidRDefault="00A752BD">
            <w:pPr>
              <w:pStyle w:val="1GAPara"/>
              <w:numPr>
                <w:ilvl w:val="1"/>
                <w:numId w:val="19"/>
              </w:numPr>
              <w:spacing w:after="60"/>
              <w:ind w:left="527" w:hanging="357"/>
              <w:rPr>
                <w:strike/>
                <w:sz w:val="16"/>
                <w:szCs w:val="16"/>
              </w:rPr>
            </w:pPr>
            <w:r w:rsidRPr="008D5D0F">
              <w:rPr>
                <w:sz w:val="16"/>
                <w:szCs w:val="16"/>
              </w:rPr>
              <w:t>Identification of participants and liaison with the ICH NGO Forum and the network of inscribed elements</w:t>
            </w:r>
          </w:p>
          <w:p w14:paraId="5F3EC58D" w14:textId="360348C0" w:rsidR="003F09F1" w:rsidRPr="00587064" w:rsidRDefault="003F09F1" w:rsidP="00587064">
            <w:pPr>
              <w:pStyle w:val="1GAPara"/>
              <w:numPr>
                <w:ilvl w:val="0"/>
                <w:numId w:val="19"/>
              </w:numPr>
              <w:spacing w:after="60"/>
              <w:ind w:left="170" w:hanging="170"/>
              <w:rPr>
                <w:sz w:val="20"/>
                <w:szCs w:val="20"/>
              </w:rPr>
            </w:pPr>
            <w:r w:rsidRPr="008D5D0F">
              <w:rPr>
                <w:sz w:val="16"/>
                <w:szCs w:val="16"/>
              </w:rPr>
              <w:t>Additional Committee time</w:t>
            </w:r>
          </w:p>
        </w:tc>
      </w:tr>
    </w:tbl>
    <w:p w14:paraId="0635A5F5" w14:textId="77777777" w:rsidR="00457573" w:rsidRDefault="00457573" w:rsidP="009B5212">
      <w:pPr>
        <w:pStyle w:val="1GAPara"/>
        <w:numPr>
          <w:ilvl w:val="0"/>
          <w:numId w:val="0"/>
        </w:numPr>
        <w:spacing w:before="240"/>
        <w:rPr>
          <w:rFonts w:asciiTheme="minorBidi" w:hAnsiTheme="minorBidi" w:cstheme="minorBidi"/>
          <w:b/>
          <w:bCs/>
        </w:rPr>
      </w:pPr>
      <w:bookmarkStart w:id="3" w:name="_Number_of_files"/>
      <w:bookmarkEnd w:id="2"/>
      <w:bookmarkEnd w:id="3"/>
    </w:p>
    <w:p w14:paraId="51B17E02" w14:textId="7C975DFF" w:rsidR="00B95A11" w:rsidRPr="0091678F" w:rsidRDefault="003F50C3" w:rsidP="0091678F">
      <w:pPr>
        <w:pStyle w:val="1GAPara"/>
        <w:numPr>
          <w:ilvl w:val="0"/>
          <w:numId w:val="4"/>
        </w:numPr>
        <w:spacing w:before="240"/>
        <w:ind w:left="567" w:hanging="567"/>
        <w:rPr>
          <w:rFonts w:asciiTheme="minorBidi" w:hAnsiTheme="minorBidi" w:cstheme="minorBidi"/>
          <w:b/>
          <w:bCs/>
        </w:rPr>
      </w:pPr>
      <w:r w:rsidRPr="0091678F">
        <w:rPr>
          <w:rFonts w:asciiTheme="minorBidi" w:hAnsiTheme="minorBidi" w:cstheme="minorBidi"/>
          <w:b/>
          <w:bCs/>
        </w:rPr>
        <w:lastRenderedPageBreak/>
        <w:t>Number of files by cycle</w:t>
      </w:r>
    </w:p>
    <w:p w14:paraId="13F7072F" w14:textId="3C605BDC" w:rsidR="007600EB" w:rsidRPr="00B964EA" w:rsidRDefault="00B63543" w:rsidP="007600EB">
      <w:pPr>
        <w:pStyle w:val="1GAPara"/>
        <w:numPr>
          <w:ilvl w:val="0"/>
          <w:numId w:val="3"/>
        </w:numPr>
        <w:spacing w:before="120" w:after="240"/>
        <w:ind w:left="567" w:hanging="567"/>
        <w:jc w:val="both"/>
        <w:rPr>
          <w:rFonts w:asciiTheme="minorBidi" w:hAnsiTheme="minorBidi" w:cstheme="minorBidi"/>
        </w:rPr>
      </w:pPr>
      <w:r>
        <w:t>It is evident that the reform of the listing mechanism</w:t>
      </w:r>
      <w:r w:rsidR="00993F2D">
        <w:t>s</w:t>
      </w:r>
      <w:r>
        <w:t xml:space="preserve"> would bring important implications to the annual number of files that can be treated by the Committee, Evaluation </w:t>
      </w:r>
      <w:proofErr w:type="gramStart"/>
      <w:r w:rsidR="001E33BF">
        <w:t>Body</w:t>
      </w:r>
      <w:proofErr w:type="gramEnd"/>
      <w:r w:rsidR="001E33BF">
        <w:t xml:space="preserve"> </w:t>
      </w:r>
      <w:r>
        <w:t xml:space="preserve">and the Secretariat. </w:t>
      </w:r>
      <w:r w:rsidR="007600EB">
        <w:t xml:space="preserve">The working group took note during its Part I meeting that </w:t>
      </w:r>
      <w:r w:rsidR="007600EB">
        <w:rPr>
          <w:rFonts w:asciiTheme="minorBidi" w:hAnsiTheme="minorBidi" w:cstheme="minorBidi"/>
        </w:rPr>
        <w:t>s</w:t>
      </w:r>
      <w:r w:rsidR="007600EB" w:rsidRPr="00B964EA">
        <w:rPr>
          <w:rFonts w:asciiTheme="minorBidi" w:hAnsiTheme="minorBidi" w:cstheme="minorBidi"/>
        </w:rPr>
        <w:t>ince a high number of files (particularly multinational nominations) continue to be presented each year and with 180</w:t>
      </w:r>
      <w:r w:rsidR="009C102E">
        <w:rPr>
          <w:rFonts w:asciiTheme="minorBidi" w:hAnsiTheme="minorBidi" w:cstheme="minorBidi"/>
        </w:rPr>
        <w:t> </w:t>
      </w:r>
      <w:r w:rsidR="007600EB" w:rsidRPr="00B964EA">
        <w:rPr>
          <w:rFonts w:asciiTheme="minorBidi" w:hAnsiTheme="minorBidi" w:cstheme="minorBidi"/>
        </w:rPr>
        <w:t xml:space="preserve">States Parties on board, it </w:t>
      </w:r>
      <w:r w:rsidR="007600EB">
        <w:rPr>
          <w:rFonts w:asciiTheme="minorBidi" w:hAnsiTheme="minorBidi" w:cstheme="minorBidi"/>
        </w:rPr>
        <w:t>would</w:t>
      </w:r>
      <w:r w:rsidR="007600EB" w:rsidRPr="00B964EA">
        <w:rPr>
          <w:rFonts w:asciiTheme="minorBidi" w:hAnsiTheme="minorBidi" w:cstheme="minorBidi"/>
        </w:rPr>
        <w:t xml:space="preserve"> not be possible</w:t>
      </w:r>
      <w:r w:rsidR="00A6539A">
        <w:rPr>
          <w:rFonts w:asciiTheme="minorBidi" w:hAnsiTheme="minorBidi" w:cstheme="minorBidi"/>
        </w:rPr>
        <w:t xml:space="preserve"> under the current circumstances</w:t>
      </w:r>
      <w:r w:rsidR="007600EB" w:rsidRPr="00B964EA">
        <w:rPr>
          <w:rFonts w:asciiTheme="minorBidi" w:hAnsiTheme="minorBidi" w:cstheme="minorBidi"/>
        </w:rPr>
        <w:t xml:space="preserve"> to respect the principle of treating one file per State Party every two years, let alone responding to the priorities set out in paragraph</w:t>
      </w:r>
      <w:r w:rsidR="009C102E">
        <w:rPr>
          <w:rFonts w:asciiTheme="minorBidi" w:hAnsiTheme="minorBidi" w:cstheme="minorBidi"/>
        </w:rPr>
        <w:t> </w:t>
      </w:r>
      <w:r w:rsidR="007600EB" w:rsidRPr="00B964EA">
        <w:rPr>
          <w:rFonts w:asciiTheme="minorBidi" w:hAnsiTheme="minorBidi" w:cstheme="minorBidi"/>
        </w:rPr>
        <w:t>34 of the Operational Directives; alternative measures would have to be introduced</w:t>
      </w:r>
      <w:r w:rsidR="007600EB">
        <w:rPr>
          <w:rFonts w:asciiTheme="minorBidi" w:hAnsiTheme="minorBidi" w:cstheme="minorBidi"/>
        </w:rPr>
        <w:t>.</w:t>
      </w:r>
    </w:p>
    <w:p w14:paraId="64F07A2E" w14:textId="153262F7" w:rsidR="00967E3C" w:rsidRPr="00967E3C" w:rsidRDefault="009F6A06" w:rsidP="00E21B39">
      <w:pPr>
        <w:pStyle w:val="1GAPara"/>
        <w:numPr>
          <w:ilvl w:val="0"/>
          <w:numId w:val="3"/>
        </w:numPr>
        <w:spacing w:before="120" w:after="240"/>
        <w:ind w:left="567" w:hanging="567"/>
        <w:jc w:val="both"/>
      </w:pPr>
      <w:r>
        <w:t>T</w:t>
      </w:r>
      <w:r w:rsidR="00B63543">
        <w:t>he working group members started to discuss the following three issues</w:t>
      </w:r>
      <w:r>
        <w:t xml:space="preserve"> at the end of Part I of the meeting</w:t>
      </w:r>
      <w:r w:rsidR="007600EB">
        <w:t>,</w:t>
      </w:r>
      <w:r w:rsidR="00B63543">
        <w:t xml:space="preserve"> but the time was not enough to clearly define the issues presented between square brackets in the Part I Recommendation.</w:t>
      </w:r>
      <w:r>
        <w:t xml:space="preserve"> It would be necessary, therefore, that Part II of the meeting first agree whether to treat these question</w:t>
      </w:r>
      <w:r w:rsidR="009C102E">
        <w:t>s</w:t>
      </w:r>
      <w:r>
        <w:t>.</w:t>
      </w:r>
    </w:p>
    <w:p w14:paraId="09718D91" w14:textId="688BA7A2" w:rsidR="003F50C3" w:rsidRPr="003F50C3" w:rsidRDefault="003F50C3" w:rsidP="00B63543">
      <w:pPr>
        <w:pStyle w:val="Paragraphedeliste"/>
        <w:contextualSpacing w:val="0"/>
        <w:jc w:val="both"/>
        <w:rPr>
          <w:rFonts w:asciiTheme="minorBidi" w:hAnsiTheme="minorBidi" w:cstheme="minorBidi"/>
          <w:szCs w:val="22"/>
        </w:rPr>
      </w:pPr>
      <w:r w:rsidRPr="003F50C3">
        <w:rPr>
          <w:rFonts w:asciiTheme="minorBidi" w:hAnsiTheme="minorBidi" w:cstheme="minorBidi"/>
          <w:szCs w:val="22"/>
        </w:rPr>
        <w:t>[</w:t>
      </w:r>
      <w:r w:rsidR="00B63543">
        <w:rPr>
          <w:rFonts w:asciiTheme="minorBidi" w:hAnsiTheme="minorBidi" w:cstheme="minorBidi"/>
          <w:szCs w:val="22"/>
        </w:rPr>
        <w:t xml:space="preserve">12.i. </w:t>
      </w:r>
      <w:r w:rsidRPr="003F50C3">
        <w:rPr>
          <w:rFonts w:asciiTheme="minorBidi" w:hAnsiTheme="minorBidi" w:cstheme="minorBidi"/>
          <w:szCs w:val="22"/>
        </w:rPr>
        <w:t>Consider the possibility of reviewing the adaptability of the composition and the working methods of the Evaluation Body to allow for a higher number of files per cycle to be evaluated, keeping in mind geographical representation;]</w:t>
      </w:r>
    </w:p>
    <w:p w14:paraId="6450AABF" w14:textId="5B9A7228" w:rsidR="003F50C3" w:rsidRPr="003F50C3" w:rsidRDefault="003F50C3" w:rsidP="00B63543">
      <w:pPr>
        <w:pStyle w:val="Paragraphedeliste"/>
        <w:contextualSpacing w:val="0"/>
        <w:jc w:val="both"/>
        <w:rPr>
          <w:rFonts w:asciiTheme="minorBidi" w:hAnsiTheme="minorBidi" w:cstheme="minorBidi"/>
          <w:szCs w:val="22"/>
        </w:rPr>
      </w:pPr>
      <w:r w:rsidRPr="003F50C3">
        <w:rPr>
          <w:rFonts w:asciiTheme="minorBidi" w:hAnsiTheme="minorBidi" w:cstheme="minorBidi"/>
          <w:szCs w:val="22"/>
        </w:rPr>
        <w:t>[</w:t>
      </w:r>
      <w:r w:rsidR="00B63543">
        <w:rPr>
          <w:rFonts w:asciiTheme="minorBidi" w:hAnsiTheme="minorBidi" w:cstheme="minorBidi"/>
          <w:szCs w:val="22"/>
        </w:rPr>
        <w:t xml:space="preserve">12.j. </w:t>
      </w:r>
      <w:r w:rsidRPr="003F50C3">
        <w:rPr>
          <w:rFonts w:asciiTheme="minorBidi" w:hAnsiTheme="minorBidi" w:cstheme="minorBidi"/>
          <w:szCs w:val="22"/>
        </w:rPr>
        <w:t>Consider the possibility of examining two files per State every three years alternating between a nomination to the Representative List and the Urgent Safeguarding List or the Register of Good Safeguarding Practices;]</w:t>
      </w:r>
    </w:p>
    <w:p w14:paraId="05B34EA3" w14:textId="71B5AA9A" w:rsidR="003F50C3" w:rsidRPr="003F50C3" w:rsidRDefault="003F50C3" w:rsidP="00B63543">
      <w:pPr>
        <w:pStyle w:val="Paragraphedeliste"/>
        <w:contextualSpacing w:val="0"/>
        <w:jc w:val="both"/>
        <w:rPr>
          <w:rFonts w:asciiTheme="minorBidi" w:hAnsiTheme="minorBidi" w:cstheme="minorBidi"/>
          <w:szCs w:val="22"/>
        </w:rPr>
      </w:pPr>
      <w:r w:rsidRPr="003F50C3">
        <w:rPr>
          <w:rFonts w:asciiTheme="minorBidi" w:hAnsiTheme="minorBidi" w:cstheme="minorBidi"/>
          <w:szCs w:val="22"/>
        </w:rPr>
        <w:t>[</w:t>
      </w:r>
      <w:r w:rsidR="00B63543">
        <w:rPr>
          <w:rFonts w:asciiTheme="minorBidi" w:hAnsiTheme="minorBidi" w:cstheme="minorBidi"/>
          <w:szCs w:val="22"/>
        </w:rPr>
        <w:t xml:space="preserve">12.k. </w:t>
      </w:r>
      <w:r w:rsidRPr="003F50C3">
        <w:rPr>
          <w:rFonts w:asciiTheme="minorBidi" w:hAnsiTheme="minorBidi" w:cstheme="minorBidi"/>
          <w:szCs w:val="22"/>
        </w:rPr>
        <w:t>Consider the possibility of moving all International Assistance requests to the Bureau of the Intergovernmental Committee for the Safeguarding of the Intangible Cultural Heritage.]</w:t>
      </w:r>
    </w:p>
    <w:p w14:paraId="34EA7399" w14:textId="5E677672" w:rsidR="00C3642B" w:rsidRPr="008D5D0F" w:rsidRDefault="009F6A06" w:rsidP="009F6A06">
      <w:pPr>
        <w:pStyle w:val="1GAPara"/>
        <w:numPr>
          <w:ilvl w:val="0"/>
          <w:numId w:val="3"/>
        </w:numPr>
        <w:spacing w:before="120" w:after="240"/>
        <w:ind w:left="567" w:hanging="567"/>
        <w:jc w:val="both"/>
      </w:pPr>
      <w:r w:rsidRPr="008D5D0F">
        <w:t>In this regard</w:t>
      </w:r>
      <w:r w:rsidR="007600EB" w:rsidRPr="008D5D0F">
        <w:t>,</w:t>
      </w:r>
      <w:r w:rsidRPr="008D5D0F">
        <w:t xml:space="preserve"> it must be noted that</w:t>
      </w:r>
      <w:r w:rsidR="007600EB" w:rsidRPr="008D5D0F">
        <w:t xml:space="preserve"> the recommendation</w:t>
      </w:r>
      <w:r w:rsidR="00C82E01" w:rsidRPr="008D5D0F">
        <w:t>s</w:t>
      </w:r>
      <w:r w:rsidR="007600EB" w:rsidRPr="008D5D0F">
        <w:t xml:space="preserve"> of Part I of the working group would not entail </w:t>
      </w:r>
      <w:r w:rsidR="00193378" w:rsidRPr="008D5D0F">
        <w:t xml:space="preserve">any </w:t>
      </w:r>
      <w:r w:rsidR="007600EB" w:rsidRPr="008D5D0F">
        <w:t>significant decrease in</w:t>
      </w:r>
      <w:r w:rsidRPr="008D5D0F">
        <w:t xml:space="preserve"> t</w:t>
      </w:r>
      <w:r w:rsidR="007600EB" w:rsidRPr="008D5D0F">
        <w:t>he</w:t>
      </w:r>
      <w:r w:rsidR="00FE419C" w:rsidRPr="008D5D0F">
        <w:t xml:space="preserve"> current</w:t>
      </w:r>
      <w:r w:rsidR="007600EB" w:rsidRPr="008D5D0F">
        <w:t xml:space="preserve"> workload of the stakeholders</w:t>
      </w:r>
      <w:r w:rsidR="00193378" w:rsidRPr="008D5D0F">
        <w:t xml:space="preserve"> and depending on the decisions eventually taken, </w:t>
      </w:r>
      <w:r w:rsidR="00FE419C" w:rsidRPr="008D5D0F">
        <w:t xml:space="preserve">it </w:t>
      </w:r>
      <w:r w:rsidR="00193378" w:rsidRPr="008D5D0F">
        <w:t>may in fact</w:t>
      </w:r>
      <w:r w:rsidR="00FE419C" w:rsidRPr="008D5D0F">
        <w:t xml:space="preserve"> require an</w:t>
      </w:r>
      <w:r w:rsidR="00193378" w:rsidRPr="008D5D0F">
        <w:t xml:space="preserve"> increase</w:t>
      </w:r>
      <w:r w:rsidR="00A55312" w:rsidRPr="008D5D0F">
        <w:t xml:space="preserve"> in the</w:t>
      </w:r>
      <w:r w:rsidR="00193378" w:rsidRPr="008D5D0F">
        <w:t xml:space="preserve"> workload</w:t>
      </w:r>
      <w:r w:rsidR="00A55312" w:rsidRPr="008D5D0F">
        <w:t>.</w:t>
      </w:r>
      <w:r w:rsidR="00193378" w:rsidRPr="008D5D0F">
        <w:t xml:space="preserve">  </w:t>
      </w:r>
      <w:r w:rsidR="007600EB" w:rsidRPr="008D5D0F">
        <w:t xml:space="preserve"> Consequently, the current number of annual files (55 </w:t>
      </w:r>
      <w:r w:rsidR="00A6539A" w:rsidRPr="008D5D0F">
        <w:t>–</w:t>
      </w:r>
      <w:r w:rsidR="007600EB" w:rsidRPr="008D5D0F">
        <w:t xml:space="preserve"> 60) would </w:t>
      </w:r>
      <w:r w:rsidR="00193378" w:rsidRPr="008D5D0F">
        <w:t xml:space="preserve">at best </w:t>
      </w:r>
      <w:r w:rsidR="007600EB" w:rsidRPr="008D5D0F">
        <w:t>have to be maintained.</w:t>
      </w:r>
      <w:r w:rsidRPr="00403894">
        <w:t xml:space="preserve"> The working group might </w:t>
      </w:r>
      <w:r w:rsidR="00FE419C" w:rsidRPr="008D5D0F">
        <w:t xml:space="preserve">therefore </w:t>
      </w:r>
      <w:r w:rsidRPr="008D5D0F">
        <w:t xml:space="preserve">wish to consider </w:t>
      </w:r>
      <w:r w:rsidR="00FE419C" w:rsidRPr="008D5D0F">
        <w:t xml:space="preserve">the </w:t>
      </w:r>
      <w:r w:rsidRPr="008D5D0F">
        <w:t>following alternative measures in term of the annual number of files per cycle to treat</w:t>
      </w:r>
      <w:r w:rsidR="00C3642B" w:rsidRPr="008D5D0F">
        <w:rPr>
          <w:rFonts w:asciiTheme="minorBidi" w:hAnsiTheme="minorBidi" w:cstheme="minorBidi"/>
        </w:rPr>
        <w:t>:</w:t>
      </w:r>
    </w:p>
    <w:p w14:paraId="21619551" w14:textId="77777777" w:rsidR="00C3642B" w:rsidRPr="008D5D0F" w:rsidRDefault="00C3642B" w:rsidP="00C3642B">
      <w:pPr>
        <w:pStyle w:val="Paragraphedeliste"/>
        <w:numPr>
          <w:ilvl w:val="1"/>
          <w:numId w:val="11"/>
        </w:numPr>
        <w:spacing w:before="120"/>
        <w:contextualSpacing w:val="0"/>
        <w:jc w:val="both"/>
        <w:rPr>
          <w:rFonts w:ascii="Arial" w:hAnsi="Arial" w:cs="Arial"/>
        </w:rPr>
      </w:pPr>
      <w:r w:rsidRPr="008D5D0F">
        <w:rPr>
          <w:rFonts w:ascii="Arial" w:hAnsi="Arial" w:cs="Arial"/>
        </w:rPr>
        <w:t>one file per submitting State Party every three years instead of every two years, or</w:t>
      </w:r>
    </w:p>
    <w:p w14:paraId="37AA0B02" w14:textId="2AF50A75" w:rsidR="00C3642B" w:rsidRPr="008D5D0F" w:rsidRDefault="00C3642B" w:rsidP="00C3642B">
      <w:pPr>
        <w:pStyle w:val="Paragraphedeliste"/>
        <w:numPr>
          <w:ilvl w:val="1"/>
          <w:numId w:val="11"/>
        </w:numPr>
        <w:spacing w:before="120"/>
        <w:contextualSpacing w:val="0"/>
        <w:jc w:val="both"/>
        <w:rPr>
          <w:rFonts w:ascii="Arial" w:hAnsi="Arial" w:cs="Arial"/>
        </w:rPr>
      </w:pPr>
      <w:r w:rsidRPr="008D5D0F">
        <w:rPr>
          <w:rFonts w:ascii="Arial" w:hAnsi="Arial" w:cs="Arial"/>
        </w:rPr>
        <w:t xml:space="preserve">one national or one multinational file per submitting State </w:t>
      </w:r>
      <w:proofErr w:type="gramStart"/>
      <w:r w:rsidRPr="008D5D0F">
        <w:rPr>
          <w:rFonts w:ascii="Arial" w:hAnsi="Arial" w:cs="Arial"/>
        </w:rPr>
        <w:t>in a given</w:t>
      </w:r>
      <w:proofErr w:type="gramEnd"/>
      <w:r w:rsidRPr="008D5D0F">
        <w:rPr>
          <w:rFonts w:ascii="Arial" w:hAnsi="Arial" w:cs="Arial"/>
        </w:rPr>
        <w:t xml:space="preserve"> cycle, or</w:t>
      </w:r>
    </w:p>
    <w:p w14:paraId="54980AD3" w14:textId="57CFB126" w:rsidR="00C3642B" w:rsidRPr="008D5D0F" w:rsidRDefault="00967E3C" w:rsidP="003159DA">
      <w:pPr>
        <w:pStyle w:val="Paragraphedeliste"/>
        <w:numPr>
          <w:ilvl w:val="1"/>
          <w:numId w:val="11"/>
        </w:numPr>
        <w:spacing w:before="120"/>
        <w:contextualSpacing w:val="0"/>
        <w:jc w:val="both"/>
      </w:pPr>
      <w:r w:rsidRPr="008D5D0F">
        <w:rPr>
          <w:rFonts w:ascii="Arial" w:hAnsi="Arial" w:cs="Arial"/>
        </w:rPr>
        <w:t>discontinue the principle of one file per State Party every two years and only apply the priorities as set out in paragraph 34 of the Operational Directives</w:t>
      </w:r>
      <w:r w:rsidR="009F6A06" w:rsidRPr="008D5D0F">
        <w:rPr>
          <w:rFonts w:ascii="Arial" w:hAnsi="Arial" w:cs="Arial"/>
        </w:rPr>
        <w:t>.</w:t>
      </w:r>
    </w:p>
    <w:sectPr w:rsidR="00C3642B" w:rsidRPr="008D5D0F" w:rsidSect="002938F2">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5F18E" w14:textId="77777777" w:rsidR="003A4068" w:rsidRDefault="003A4068" w:rsidP="002938F2">
      <w:r>
        <w:separator/>
      </w:r>
    </w:p>
    <w:p w14:paraId="1D20884A" w14:textId="77777777" w:rsidR="003A4068" w:rsidRDefault="003A4068"/>
  </w:endnote>
  <w:endnote w:type="continuationSeparator" w:id="0">
    <w:p w14:paraId="57966F1B" w14:textId="77777777" w:rsidR="003A4068" w:rsidRDefault="003A4068" w:rsidP="002938F2">
      <w:r>
        <w:continuationSeparator/>
      </w:r>
    </w:p>
    <w:p w14:paraId="41315485" w14:textId="77777777" w:rsidR="003A4068" w:rsidRDefault="003A4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8101D" w14:textId="77777777" w:rsidR="003A4068" w:rsidRDefault="003A4068" w:rsidP="00251750">
      <w:r>
        <w:separator/>
      </w:r>
    </w:p>
  </w:footnote>
  <w:footnote w:type="continuationSeparator" w:id="0">
    <w:p w14:paraId="7EB7CA1B" w14:textId="77777777" w:rsidR="003A4068" w:rsidRDefault="003A4068" w:rsidP="002938F2">
      <w:r>
        <w:continuationSeparator/>
      </w:r>
    </w:p>
    <w:p w14:paraId="6BD16FCF" w14:textId="77777777" w:rsidR="003A4068" w:rsidRDefault="003A4068"/>
  </w:footnote>
  <w:footnote w:id="1">
    <w:p w14:paraId="2E31834B" w14:textId="77777777" w:rsidR="00725876" w:rsidRPr="004B1AC0" w:rsidRDefault="00725876" w:rsidP="00725876">
      <w:pPr>
        <w:pStyle w:val="Notedebasdepage"/>
        <w:spacing w:after="120"/>
        <w:ind w:left="567" w:hanging="567"/>
        <w:jc w:val="both"/>
        <w:rPr>
          <w:rFonts w:ascii="Arial" w:hAnsi="Arial" w:cs="Arial"/>
          <w:sz w:val="18"/>
          <w:szCs w:val="18"/>
          <w:lang w:val="en-GB"/>
        </w:rPr>
      </w:pPr>
      <w:r w:rsidRPr="004B1AC0">
        <w:rPr>
          <w:rStyle w:val="Appelnotedebasdep"/>
          <w:rFonts w:ascii="Arial" w:hAnsi="Arial" w:cs="Arial"/>
          <w:sz w:val="18"/>
          <w:szCs w:val="18"/>
          <w:vertAlign w:val="baseline"/>
        </w:rPr>
        <w:footnoteRef/>
      </w:r>
      <w:r w:rsidRPr="004B1AC0">
        <w:rPr>
          <w:rFonts w:ascii="Arial" w:hAnsi="Arial" w:cs="Arial"/>
          <w:sz w:val="18"/>
          <w:szCs w:val="18"/>
          <w:lang w:val="en-GB"/>
        </w:rPr>
        <w:t xml:space="preserve">.  </w:t>
      </w:r>
      <w:r>
        <w:rPr>
          <w:rFonts w:ascii="Arial" w:hAnsi="Arial" w:cs="Arial"/>
          <w:sz w:val="18"/>
          <w:szCs w:val="18"/>
          <w:lang w:val="en-GB"/>
        </w:rPr>
        <w:tab/>
      </w:r>
      <w:r w:rsidRPr="004B1AC0">
        <w:rPr>
          <w:rFonts w:ascii="Arial" w:hAnsi="Arial" w:cs="Arial"/>
          <w:sz w:val="18"/>
          <w:szCs w:val="18"/>
          <w:lang w:val="en-GB"/>
        </w:rPr>
        <w:t xml:space="preserve">The ICH NGO Forum was initially set up in 2010 by NGOs accredited under the Convention, as an informal platform for communication, networking, </w:t>
      </w:r>
      <w:proofErr w:type="gramStart"/>
      <w:r w:rsidRPr="004B1AC0">
        <w:rPr>
          <w:rFonts w:ascii="Arial" w:hAnsi="Arial" w:cs="Arial"/>
          <w:sz w:val="18"/>
          <w:szCs w:val="18"/>
          <w:lang w:val="en-GB"/>
        </w:rPr>
        <w:t>exchange</w:t>
      </w:r>
      <w:proofErr w:type="gramEnd"/>
      <w:r w:rsidRPr="004B1AC0">
        <w:rPr>
          <w:rFonts w:ascii="Arial" w:hAnsi="Arial" w:cs="Arial"/>
          <w:sz w:val="18"/>
          <w:szCs w:val="18"/>
          <w:lang w:val="en-GB"/>
        </w:rPr>
        <w:t xml:space="preserve"> and cooperation. Coordinated by a fully elected steering committee composed of seven persons, it now constitutes a platform for international and regional cooperation between accredited NGOs through thematic and regional working groups, and coordinates the contribution of accredited </w:t>
      </w:r>
      <w:proofErr w:type="gramStart"/>
      <w:r w:rsidRPr="004B1AC0">
        <w:rPr>
          <w:rFonts w:ascii="Arial" w:hAnsi="Arial" w:cs="Arial"/>
          <w:sz w:val="18"/>
          <w:szCs w:val="18"/>
          <w:lang w:val="en-GB"/>
        </w:rPr>
        <w:t>NGOs  to</w:t>
      </w:r>
      <w:proofErr w:type="gramEnd"/>
      <w:r w:rsidRPr="004B1AC0">
        <w:rPr>
          <w:rFonts w:ascii="Arial" w:hAnsi="Arial" w:cs="Arial"/>
          <w:sz w:val="18"/>
          <w:szCs w:val="18"/>
          <w:lang w:val="en-GB"/>
        </w:rPr>
        <w:t xml:space="preserve"> the debates of the governing bodies for the Convention at each session. </w:t>
      </w:r>
      <w:r w:rsidRPr="00904873">
        <w:rPr>
          <w:rFonts w:ascii="Arial" w:hAnsi="Arial" w:cs="Arial"/>
          <w:sz w:val="18"/>
          <w:szCs w:val="18"/>
          <w:lang w:val="en-GB"/>
        </w:rPr>
        <w:t>As such, the ICH NGO Forum – itself an NGO registered in France but not accredited under the Convention – operates, in some ways, as an arm’s length entity coordinating the contribution from accredited NGOs to the work of the Committee.</w:t>
      </w:r>
    </w:p>
  </w:footnote>
  <w:footnote w:id="2">
    <w:p w14:paraId="76C67D85" w14:textId="77777777" w:rsidR="00E015DB" w:rsidRPr="004B1AC0" w:rsidRDefault="00E015DB" w:rsidP="00E015DB">
      <w:pPr>
        <w:pStyle w:val="Notedebasdepage"/>
        <w:spacing w:after="60"/>
        <w:ind w:left="567" w:hanging="567"/>
        <w:jc w:val="both"/>
        <w:rPr>
          <w:rFonts w:ascii="Arial" w:hAnsi="Arial" w:cs="Arial"/>
          <w:sz w:val="18"/>
          <w:szCs w:val="18"/>
          <w:lang w:val="en-GB"/>
        </w:rPr>
      </w:pPr>
      <w:r w:rsidRPr="004B1AC0">
        <w:rPr>
          <w:rStyle w:val="Appelnotedebasdep"/>
          <w:rFonts w:ascii="Arial" w:hAnsi="Arial" w:cs="Arial"/>
          <w:sz w:val="18"/>
          <w:szCs w:val="18"/>
          <w:vertAlign w:val="baseline"/>
        </w:rPr>
        <w:footnoteRef/>
      </w:r>
      <w:r w:rsidRPr="004B1AC0">
        <w:rPr>
          <w:rFonts w:ascii="Arial" w:hAnsi="Arial" w:cs="Arial"/>
          <w:sz w:val="18"/>
          <w:szCs w:val="18"/>
          <w:lang w:val="en-GB"/>
        </w:rPr>
        <w:t xml:space="preserve">.  </w:t>
      </w:r>
      <w:r>
        <w:rPr>
          <w:rFonts w:ascii="Arial" w:hAnsi="Arial" w:cs="Arial"/>
          <w:sz w:val="18"/>
          <w:szCs w:val="18"/>
          <w:lang w:val="en-GB"/>
        </w:rPr>
        <w:tab/>
      </w:r>
      <w:r w:rsidRPr="004B1AC0">
        <w:rPr>
          <w:rFonts w:ascii="Arial" w:hAnsi="Arial" w:cs="Arial"/>
          <w:sz w:val="18"/>
          <w:szCs w:val="18"/>
          <w:lang w:val="en-GB"/>
        </w:rPr>
        <w:t xml:space="preserve">As of 2021, 193 NGOs based in all regions and showing a diversity of profiles and expertise, are accredited under the Convention. The full list is available at: </w:t>
      </w:r>
      <w:hyperlink r:id="rId1" w:history="1">
        <w:r w:rsidRPr="00604C00">
          <w:rPr>
            <w:rStyle w:val="Lienhypertexte"/>
            <w:rFonts w:ascii="Arial" w:hAnsi="Arial" w:cs="Arial"/>
            <w:sz w:val="18"/>
            <w:szCs w:val="18"/>
            <w:lang w:val="en-GB"/>
          </w:rPr>
          <w:t>https://ich.unesco.org/en/accredited-ngos-00331</w:t>
        </w:r>
      </w:hyperlink>
      <w:r w:rsidRPr="004B1AC0">
        <w:rPr>
          <w:rStyle w:val="Lienhypertexte"/>
          <w:rFonts w:ascii="Arial" w:hAnsi="Arial" w:cs="Arial"/>
          <w:color w:val="auto"/>
          <w:sz w:val="18"/>
          <w:szCs w:val="18"/>
          <w:u w:val="none"/>
          <w:lang w:val="en-GB"/>
        </w:rPr>
        <w:t>.</w:t>
      </w:r>
      <w:r>
        <w:rPr>
          <w:rStyle w:val="Lienhypertexte"/>
          <w:rFonts w:ascii="Arial" w:hAnsi="Arial" w:cs="Arial"/>
          <w:color w:val="auto"/>
          <w:sz w:val="18"/>
          <w:szCs w:val="18"/>
          <w:u w:val="none"/>
          <w:lang w:val="en-GB"/>
        </w:rPr>
        <w:t xml:space="preserve"> </w:t>
      </w:r>
    </w:p>
  </w:footnote>
  <w:footnote w:id="3">
    <w:p w14:paraId="7DCBAAA5" w14:textId="1AD62D1F" w:rsidR="003C3D09" w:rsidRPr="00587064" w:rsidRDefault="003C3D09" w:rsidP="00587064">
      <w:pPr>
        <w:pStyle w:val="Notedebasdepage"/>
        <w:spacing w:after="120"/>
        <w:ind w:left="567" w:hanging="567"/>
        <w:jc w:val="both"/>
        <w:rPr>
          <w:rFonts w:ascii="Arial" w:hAnsi="Arial" w:cs="Arial"/>
          <w:sz w:val="18"/>
          <w:szCs w:val="18"/>
          <w:lang w:val="en-GB"/>
        </w:rPr>
      </w:pPr>
      <w:r w:rsidRPr="00587064">
        <w:rPr>
          <w:rStyle w:val="Appelnotedebasdep"/>
          <w:rFonts w:ascii="Arial" w:hAnsi="Arial" w:cs="Arial"/>
          <w:sz w:val="18"/>
          <w:szCs w:val="18"/>
          <w:vertAlign w:val="baseline"/>
        </w:rPr>
        <w:footnoteRef/>
      </w:r>
      <w:r w:rsidRPr="00587064">
        <w:rPr>
          <w:rFonts w:ascii="Arial" w:hAnsi="Arial" w:cs="Arial"/>
          <w:sz w:val="18"/>
          <w:szCs w:val="18"/>
          <w:lang w:val="en-GB"/>
        </w:rPr>
        <w:t xml:space="preserve">.  </w:t>
      </w:r>
      <w:r>
        <w:rPr>
          <w:rFonts w:ascii="Arial" w:hAnsi="Arial" w:cs="Arial"/>
          <w:sz w:val="18"/>
          <w:szCs w:val="18"/>
          <w:lang w:val="en-GB"/>
        </w:rPr>
        <w:tab/>
      </w:r>
      <w:r w:rsidRPr="00587064">
        <w:rPr>
          <w:rStyle w:val="Appelnotedebasdep"/>
          <w:rFonts w:ascii="Arial" w:hAnsi="Arial" w:cs="Arial"/>
          <w:sz w:val="18"/>
          <w:szCs w:val="18"/>
          <w:vertAlign w:val="baseline"/>
          <w:lang w:val="en-GB"/>
        </w:rPr>
        <w:t>In</w:t>
      </w:r>
      <w:r w:rsidRPr="00587064">
        <w:rPr>
          <w:rFonts w:ascii="Arial" w:hAnsi="Arial" w:cs="Arial"/>
          <w:sz w:val="18"/>
          <w:szCs w:val="18"/>
          <w:lang w:val="en-GB"/>
        </w:rPr>
        <w:t xml:space="preserve"> the context of the reflection on the possible ways in which the participation of NGOs could be further enhanced under the Convention, the General Assembly ‘acknowledge[d] the important role and untapped potential of the ICH NGO Forum and accredited non-governmental organizations’ </w:t>
      </w:r>
      <w:r w:rsidR="00C80EAC" w:rsidRPr="00587064">
        <w:rPr>
          <w:rFonts w:ascii="Arial" w:hAnsi="Arial" w:cs="Arial"/>
          <w:sz w:val="18"/>
          <w:szCs w:val="18"/>
          <w:lang w:val="en-GB"/>
        </w:rPr>
        <w:t>(</w:t>
      </w:r>
      <w:r w:rsidR="00457573" w:rsidRPr="00587064">
        <w:rPr>
          <w:rFonts w:ascii="Arial" w:hAnsi="Arial" w:cs="Arial"/>
          <w:sz w:val="18"/>
          <w:szCs w:val="18"/>
          <w:lang w:val="en-GB"/>
        </w:rPr>
        <w:t xml:space="preserve">Resolution </w:t>
      </w:r>
      <w:hyperlink r:id="rId2" w:history="1">
        <w:r w:rsidR="00457573" w:rsidRPr="00587064">
          <w:rPr>
            <w:rStyle w:val="Lienhypertexte"/>
            <w:rFonts w:ascii="Arial" w:hAnsi="Arial" w:cs="Arial"/>
            <w:sz w:val="18"/>
            <w:szCs w:val="18"/>
            <w:lang w:val="en-GB"/>
          </w:rPr>
          <w:t>8.GA 12</w:t>
        </w:r>
      </w:hyperlink>
      <w:r w:rsidR="00457573" w:rsidRPr="00587064">
        <w:rPr>
          <w:rFonts w:ascii="Arial" w:hAnsi="Arial" w:cs="Arial"/>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ADAF" w14:textId="7670C5D7" w:rsidR="00D1707A" w:rsidRPr="002B7155" w:rsidRDefault="00D1707A" w:rsidP="007E4E37">
    <w:pPr>
      <w:pStyle w:val="En-tte"/>
      <w:rPr>
        <w:rFonts w:ascii="Arial" w:hAnsi="Arial" w:cs="Arial"/>
        <w:lang w:val="fr-FR"/>
      </w:rPr>
    </w:pPr>
    <w:r w:rsidRPr="002B7155">
      <w:rPr>
        <w:rFonts w:ascii="Arial" w:hAnsi="Arial" w:cs="Arial"/>
        <w:sz w:val="20"/>
        <w:szCs w:val="20"/>
        <w:lang w:val="fr-FR"/>
      </w:rPr>
      <w:t>LHE/21/1</w:t>
    </w:r>
    <w:r w:rsidRPr="002B7155">
      <w:rPr>
        <w:rFonts w:ascii="Arial" w:eastAsiaTheme="minorEastAsia" w:hAnsi="Arial" w:cs="Arial"/>
        <w:sz w:val="20"/>
        <w:szCs w:val="20"/>
        <w:lang w:val="fr-FR" w:eastAsia="ko-KR"/>
      </w:rPr>
      <w:t>6</w:t>
    </w:r>
    <w:r w:rsidRPr="002B7155">
      <w:rPr>
        <w:rFonts w:ascii="Arial" w:hAnsi="Arial" w:cs="Arial"/>
        <w:sz w:val="20"/>
        <w:szCs w:val="20"/>
        <w:lang w:val="fr-FR"/>
      </w:rPr>
      <w:t>.COM</w:t>
    </w:r>
    <w:r w:rsidRPr="002B7155">
      <w:rPr>
        <w:rFonts w:ascii="Arial" w:eastAsiaTheme="minorEastAsia" w:hAnsi="Arial" w:cs="Arial" w:hint="eastAsia"/>
        <w:sz w:val="20"/>
        <w:szCs w:val="20"/>
        <w:lang w:val="fr-FR" w:eastAsia="ko-KR"/>
      </w:rPr>
      <w:t xml:space="preserve"> WG</w:t>
    </w:r>
    <w:r w:rsidRPr="002B7155">
      <w:rPr>
        <w:rFonts w:ascii="Arial" w:hAnsi="Arial" w:cs="Arial"/>
        <w:sz w:val="20"/>
        <w:szCs w:val="20"/>
        <w:lang w:val="fr-FR"/>
      </w:rPr>
      <w:t>/</w:t>
    </w:r>
    <w:r>
      <w:rPr>
        <w:rFonts w:ascii="Arial" w:eastAsiaTheme="minorEastAsia" w:hAnsi="Arial" w:cs="Arial"/>
        <w:sz w:val="20"/>
        <w:szCs w:val="20"/>
        <w:lang w:val="fr-FR" w:eastAsia="ko-KR"/>
      </w:rPr>
      <w:t>7</w:t>
    </w:r>
    <w:r w:rsidRPr="002B7155">
      <w:rPr>
        <w:rFonts w:ascii="Arial" w:hAnsi="Arial" w:cs="Arial"/>
        <w:sz w:val="20"/>
        <w:szCs w:val="20"/>
        <w:lang w:val="fr-FR"/>
      </w:rPr>
      <w:t xml:space="preserve"> – page </w:t>
    </w:r>
    <w:r w:rsidRPr="00D81948">
      <w:rPr>
        <w:rStyle w:val="Numrodepage"/>
        <w:rFonts w:ascii="Arial" w:hAnsi="Arial" w:cs="Arial"/>
        <w:sz w:val="20"/>
        <w:szCs w:val="20"/>
      </w:rPr>
      <w:fldChar w:fldCharType="begin"/>
    </w:r>
    <w:r w:rsidRPr="002B7155">
      <w:rPr>
        <w:rStyle w:val="Numrodepage"/>
        <w:rFonts w:ascii="Arial" w:hAnsi="Arial" w:cs="Arial"/>
        <w:sz w:val="20"/>
        <w:szCs w:val="20"/>
        <w:lang w:val="fr-FR"/>
      </w:rPr>
      <w:instrText xml:space="preserve"> PAGE </w:instrText>
    </w:r>
    <w:r w:rsidRPr="00D81948">
      <w:rPr>
        <w:rStyle w:val="Numrodepage"/>
        <w:rFonts w:ascii="Arial" w:hAnsi="Arial" w:cs="Arial"/>
        <w:sz w:val="20"/>
        <w:szCs w:val="20"/>
      </w:rPr>
      <w:fldChar w:fldCharType="separate"/>
    </w:r>
    <w:r w:rsidRPr="002B7155">
      <w:rPr>
        <w:rStyle w:val="Numrodepage"/>
        <w:rFonts w:ascii="Arial" w:hAnsi="Arial" w:cs="Arial"/>
        <w:noProof/>
        <w:sz w:val="20"/>
        <w:szCs w:val="20"/>
        <w:lang w:val="fr-FR"/>
      </w:rPr>
      <w:t>2</w:t>
    </w:r>
    <w:r w:rsidRPr="00D81948">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BD0B" w14:textId="02A9DEC8" w:rsidR="00D1707A" w:rsidRPr="007E4E37" w:rsidRDefault="00D1707A" w:rsidP="007250E3">
    <w:pPr>
      <w:pStyle w:val="En-tte"/>
      <w:ind w:left="2544" w:firstLine="3693"/>
      <w:jc w:val="right"/>
      <w:rPr>
        <w:rFonts w:ascii="Arial" w:hAnsi="Arial" w:cs="Arial"/>
      </w:rPr>
    </w:pPr>
    <w:r>
      <w:rPr>
        <w:rFonts w:ascii="Arial" w:hAnsi="Arial" w:cs="Arial"/>
        <w:sz w:val="20"/>
        <w:szCs w:val="20"/>
        <w:lang w:val="en-US"/>
      </w:rPr>
      <w:t>LHE/21/1</w:t>
    </w:r>
    <w:r>
      <w:rPr>
        <w:rFonts w:ascii="Arial" w:eastAsiaTheme="minorEastAsia" w:hAnsi="Arial" w:cs="Arial"/>
        <w:sz w:val="20"/>
        <w:szCs w:val="20"/>
        <w:lang w:val="en-US" w:eastAsia="ko-KR"/>
      </w:rPr>
      <w:t>6</w:t>
    </w:r>
    <w:r>
      <w:rPr>
        <w:rFonts w:ascii="Arial" w:hAnsi="Arial" w:cs="Arial"/>
        <w:sz w:val="20"/>
        <w:szCs w:val="20"/>
        <w:lang w:val="en-US"/>
      </w:rPr>
      <w:t>.COM</w:t>
    </w:r>
    <w:r>
      <w:rPr>
        <w:rFonts w:ascii="Arial" w:eastAsiaTheme="minorEastAsia" w:hAnsi="Arial" w:cs="Arial" w:hint="eastAsia"/>
        <w:sz w:val="20"/>
        <w:szCs w:val="20"/>
        <w:lang w:val="en-US" w:eastAsia="ko-KR"/>
      </w:rPr>
      <w:t xml:space="preserve"> WG</w:t>
    </w:r>
    <w:r>
      <w:rPr>
        <w:rFonts w:ascii="Arial" w:hAnsi="Arial" w:cs="Arial"/>
        <w:sz w:val="20"/>
        <w:szCs w:val="20"/>
        <w:lang w:val="en-US"/>
      </w:rPr>
      <w:t>/</w:t>
    </w:r>
    <w:r>
      <w:rPr>
        <w:rFonts w:ascii="Arial" w:eastAsiaTheme="minorEastAsia" w:hAnsi="Arial" w:cs="Arial"/>
        <w:sz w:val="20"/>
        <w:szCs w:val="20"/>
        <w:lang w:val="en-US" w:eastAsia="ko-KR"/>
      </w:rPr>
      <w:t>7</w:t>
    </w:r>
    <w:r>
      <w:rPr>
        <w:rFonts w:ascii="Arial" w:hAnsi="Arial" w:cs="Arial"/>
        <w:sz w:val="20"/>
        <w:szCs w:val="20"/>
        <w:lang w:val="en-US"/>
      </w:rPr>
      <w:t xml:space="preserve"> </w:t>
    </w:r>
    <w:r w:rsidRPr="00EF563B">
      <w:rPr>
        <w:rFonts w:ascii="Arial" w:hAnsi="Arial" w:cs="Arial"/>
        <w:sz w:val="20"/>
        <w:szCs w:val="20"/>
        <w:lang w:val="en-US"/>
      </w:rPr>
      <w:t xml:space="preserve">– page </w:t>
    </w:r>
    <w:r w:rsidRPr="00EF563B">
      <w:rPr>
        <w:rStyle w:val="Numrodepage"/>
        <w:rFonts w:ascii="Arial" w:hAnsi="Arial" w:cs="Arial"/>
        <w:sz w:val="20"/>
        <w:szCs w:val="20"/>
      </w:rPr>
      <w:fldChar w:fldCharType="begin"/>
    </w:r>
    <w:r w:rsidRPr="00EF563B">
      <w:rPr>
        <w:rStyle w:val="Numrodepage"/>
        <w:rFonts w:ascii="Arial" w:hAnsi="Arial" w:cs="Arial"/>
        <w:sz w:val="20"/>
        <w:szCs w:val="20"/>
        <w:lang w:val="en-US"/>
      </w:rPr>
      <w:instrText xml:space="preserve"> </w:instrText>
    </w:r>
    <w:r>
      <w:rPr>
        <w:rStyle w:val="Numrodepage"/>
        <w:rFonts w:ascii="Arial" w:hAnsi="Arial" w:cs="Arial"/>
        <w:sz w:val="20"/>
        <w:szCs w:val="20"/>
        <w:lang w:val="en-US"/>
      </w:rPr>
      <w:instrText>PAGE</w:instrText>
    </w:r>
    <w:r w:rsidRPr="00EF563B">
      <w:rPr>
        <w:rStyle w:val="Numrodepage"/>
        <w:rFonts w:ascii="Arial" w:hAnsi="Arial" w:cs="Arial"/>
        <w:sz w:val="20"/>
        <w:szCs w:val="20"/>
        <w:lang w:val="en-US"/>
      </w:rPr>
      <w:instrText xml:space="preserve"> </w:instrText>
    </w:r>
    <w:r w:rsidRPr="00EF563B">
      <w:rPr>
        <w:rStyle w:val="Numrodepage"/>
        <w:rFonts w:ascii="Arial" w:hAnsi="Arial" w:cs="Arial"/>
        <w:sz w:val="20"/>
        <w:szCs w:val="20"/>
      </w:rPr>
      <w:fldChar w:fldCharType="separate"/>
    </w:r>
    <w:r>
      <w:rPr>
        <w:rStyle w:val="Numrodepage"/>
        <w:rFonts w:ascii="Arial" w:hAnsi="Arial" w:cs="Arial"/>
        <w:noProof/>
        <w:sz w:val="20"/>
        <w:szCs w:val="20"/>
        <w:lang w:val="en-US"/>
      </w:rPr>
      <w:t>3</w:t>
    </w:r>
    <w:r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C8B6" w14:textId="38B008D6" w:rsidR="00D1707A" w:rsidRPr="008724E5" w:rsidRDefault="001319AD">
    <w:pPr>
      <w:pStyle w:val="En-tte"/>
    </w:pPr>
    <w:r>
      <w:rPr>
        <w:noProof/>
      </w:rPr>
      <w:drawing>
        <wp:inline distT="0" distB="0" distL="0" distR="0" wp14:anchorId="544FDE2F" wp14:editId="170B8A8B">
          <wp:extent cx="1644015" cy="988695"/>
          <wp:effectExtent l="0" t="0" r="0" b="190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44015" cy="988695"/>
                  </a:xfrm>
                  <a:prstGeom prst="rect">
                    <a:avLst/>
                  </a:prstGeom>
                </pic:spPr>
              </pic:pic>
            </a:graphicData>
          </a:graphic>
        </wp:inline>
      </w:drawing>
    </w:r>
  </w:p>
  <w:p w14:paraId="278AC81C" w14:textId="6640EA2C" w:rsidR="00D1707A" w:rsidRPr="003519FF" w:rsidRDefault="00D1707A" w:rsidP="002938F2">
    <w:pPr>
      <w:pStyle w:val="En-tte"/>
      <w:spacing w:after="520"/>
      <w:jc w:val="right"/>
      <w:rPr>
        <w:rFonts w:ascii="Arial" w:eastAsiaTheme="minorEastAsia" w:hAnsi="Arial" w:cs="Arial"/>
        <w:b/>
        <w:sz w:val="44"/>
        <w:szCs w:val="44"/>
        <w:lang w:val="pt-PT" w:eastAsia="ko-KR"/>
      </w:rPr>
    </w:pPr>
    <w:r w:rsidRPr="003519FF">
      <w:rPr>
        <w:rFonts w:ascii="Arial" w:hAnsi="Arial" w:cs="Arial"/>
        <w:b/>
        <w:sz w:val="44"/>
        <w:szCs w:val="44"/>
        <w:lang w:val="pt-PT"/>
      </w:rPr>
      <w:t>1</w:t>
    </w:r>
    <w:r w:rsidRPr="003519FF">
      <w:rPr>
        <w:rFonts w:ascii="Arial" w:eastAsiaTheme="minorEastAsia" w:hAnsi="Arial" w:cs="Arial"/>
        <w:b/>
        <w:sz w:val="44"/>
        <w:szCs w:val="44"/>
        <w:lang w:val="pt-PT" w:eastAsia="ko-KR"/>
      </w:rPr>
      <w:t>6</w:t>
    </w:r>
    <w:r w:rsidRPr="003519FF">
      <w:rPr>
        <w:rFonts w:ascii="Arial" w:hAnsi="Arial" w:cs="Arial"/>
        <w:b/>
        <w:sz w:val="44"/>
        <w:szCs w:val="44"/>
        <w:lang w:val="pt-PT"/>
      </w:rPr>
      <w:t xml:space="preserve"> COM</w:t>
    </w:r>
    <w:r w:rsidRPr="003519FF">
      <w:rPr>
        <w:rFonts w:ascii="Arial" w:eastAsiaTheme="minorEastAsia" w:hAnsi="Arial" w:cs="Arial" w:hint="eastAsia"/>
        <w:b/>
        <w:sz w:val="44"/>
        <w:szCs w:val="44"/>
        <w:lang w:val="pt-PT" w:eastAsia="ko-KR"/>
      </w:rPr>
      <w:t xml:space="preserve"> WG</w:t>
    </w:r>
  </w:p>
  <w:p w14:paraId="122B936C" w14:textId="188018F4" w:rsidR="00D1707A" w:rsidRPr="00BE0AED" w:rsidRDefault="00D1707A" w:rsidP="002D396D">
    <w:pPr>
      <w:spacing w:after="0"/>
      <w:jc w:val="right"/>
      <w:rPr>
        <w:rFonts w:ascii="Arial" w:eastAsiaTheme="minorEastAsia" w:hAnsi="Arial" w:cs="Arial"/>
        <w:b/>
        <w:szCs w:val="22"/>
        <w:lang w:val="pt-PT" w:eastAsia="ko-KR"/>
      </w:rPr>
    </w:pPr>
    <w:r w:rsidRPr="00BE0AED">
      <w:rPr>
        <w:rFonts w:ascii="Arial" w:hAnsi="Arial" w:cs="Arial"/>
        <w:b/>
        <w:szCs w:val="22"/>
        <w:lang w:val="pt-PT"/>
      </w:rPr>
      <w:t>LHE/21/1</w:t>
    </w:r>
    <w:r w:rsidRPr="00BE0AED">
      <w:rPr>
        <w:rFonts w:ascii="Arial" w:eastAsiaTheme="minorEastAsia" w:hAnsi="Arial" w:cs="Arial"/>
        <w:b/>
        <w:szCs w:val="22"/>
        <w:lang w:val="pt-PT" w:eastAsia="ko-KR"/>
      </w:rPr>
      <w:t>6</w:t>
    </w:r>
    <w:r w:rsidRPr="00BE0AED">
      <w:rPr>
        <w:rFonts w:ascii="Arial" w:hAnsi="Arial" w:cs="Arial"/>
        <w:b/>
        <w:szCs w:val="22"/>
        <w:lang w:val="pt-PT"/>
      </w:rPr>
      <w:t>.COM</w:t>
    </w:r>
    <w:r w:rsidRPr="00BE0AED">
      <w:rPr>
        <w:rFonts w:ascii="Arial" w:eastAsiaTheme="minorEastAsia" w:hAnsi="Arial" w:cs="Arial" w:hint="eastAsia"/>
        <w:b/>
        <w:szCs w:val="22"/>
        <w:lang w:val="pt-PT" w:eastAsia="ko-KR"/>
      </w:rPr>
      <w:t xml:space="preserve"> WG</w:t>
    </w:r>
    <w:r w:rsidRPr="00BE0AED">
      <w:rPr>
        <w:rFonts w:ascii="Arial" w:hAnsi="Arial" w:cs="Arial"/>
        <w:b/>
        <w:szCs w:val="22"/>
        <w:lang w:val="pt-PT"/>
      </w:rPr>
      <w:t>/</w:t>
    </w:r>
    <w:r>
      <w:rPr>
        <w:rFonts w:ascii="Arial" w:eastAsiaTheme="minorEastAsia" w:hAnsi="Arial" w:cs="Arial"/>
        <w:b/>
        <w:szCs w:val="22"/>
        <w:lang w:val="pt-PT" w:eastAsia="ko-KR"/>
      </w:rPr>
      <w:t>7</w:t>
    </w:r>
  </w:p>
  <w:p w14:paraId="2CC34105" w14:textId="259861D5" w:rsidR="00D1707A" w:rsidRPr="00A54904" w:rsidRDefault="00D1707A" w:rsidP="00C81439">
    <w:pPr>
      <w:spacing w:after="0"/>
      <w:jc w:val="right"/>
      <w:rPr>
        <w:rFonts w:ascii="Arial" w:eastAsiaTheme="minorEastAsia" w:hAnsi="Arial" w:cs="Arial"/>
        <w:b/>
        <w:szCs w:val="22"/>
        <w:lang w:eastAsia="ko-KR"/>
      </w:rPr>
    </w:pPr>
    <w:r w:rsidRPr="00A54904">
      <w:rPr>
        <w:rFonts w:ascii="Arial" w:hAnsi="Arial" w:cs="Arial"/>
        <w:b/>
        <w:szCs w:val="22"/>
      </w:rPr>
      <w:t>Paris</w:t>
    </w:r>
    <w:r w:rsidRPr="00C80EAC">
      <w:rPr>
        <w:rFonts w:ascii="Arial" w:hAnsi="Arial" w:cs="Arial"/>
        <w:b/>
        <w:szCs w:val="22"/>
      </w:rPr>
      <w:t xml:space="preserve">, </w:t>
    </w:r>
    <w:r w:rsidR="00B777B2" w:rsidRPr="00C80EAC">
      <w:rPr>
        <w:rFonts w:ascii="Arial" w:hAnsi="Arial" w:cs="Arial"/>
        <w:b/>
        <w:szCs w:val="22"/>
      </w:rPr>
      <w:t>3</w:t>
    </w:r>
    <w:r w:rsidRPr="00C80EAC">
      <w:rPr>
        <w:rFonts w:ascii="Arial" w:hAnsi="Arial" w:cs="Arial"/>
        <w:b/>
        <w:szCs w:val="22"/>
      </w:rPr>
      <w:t xml:space="preserve"> </w:t>
    </w:r>
    <w:r w:rsidR="00C80EAC" w:rsidRPr="00C80EAC">
      <w:rPr>
        <w:rFonts w:ascii="Arial" w:hAnsi="Arial" w:cs="Arial"/>
        <w:b/>
        <w:szCs w:val="22"/>
      </w:rPr>
      <w:t>September</w:t>
    </w:r>
    <w:r w:rsidR="00176331" w:rsidRPr="00C80EAC">
      <w:rPr>
        <w:rFonts w:ascii="Arial" w:hAnsi="Arial" w:cs="Arial"/>
        <w:b/>
        <w:szCs w:val="22"/>
      </w:rPr>
      <w:t xml:space="preserve"> </w:t>
    </w:r>
    <w:r w:rsidRPr="00C80EAC">
      <w:rPr>
        <w:rFonts w:ascii="Arial" w:hAnsi="Arial" w:cs="Arial"/>
        <w:b/>
        <w:szCs w:val="22"/>
      </w:rPr>
      <w:t>2021</w:t>
    </w:r>
  </w:p>
  <w:p w14:paraId="59A22BCA" w14:textId="77777777" w:rsidR="00D1707A" w:rsidRPr="00D81948" w:rsidRDefault="00D1707A" w:rsidP="00C81439">
    <w:pPr>
      <w:spacing w:after="0"/>
      <w:jc w:val="right"/>
      <w:rPr>
        <w:rFonts w:ascii="Arial" w:hAnsi="Arial" w:cs="Arial"/>
        <w:b/>
        <w:szCs w:val="22"/>
      </w:rPr>
    </w:pPr>
    <w:r w:rsidRPr="00D81948">
      <w:rPr>
        <w:rFonts w:ascii="Arial" w:hAnsi="Arial" w:cs="Arial"/>
        <w:b/>
        <w:szCs w:val="22"/>
      </w:rPr>
      <w:t xml:space="preserve">Original: </w:t>
    </w:r>
    <w:r>
      <w:rPr>
        <w:rFonts w:ascii="Arial" w:hAnsi="Arial" w:cs="Arial"/>
        <w:b/>
        <w:szCs w:val="22"/>
      </w:rPr>
      <w:t>English</w:t>
    </w:r>
  </w:p>
  <w:p w14:paraId="3D76CF75" w14:textId="77777777" w:rsidR="00D1707A" w:rsidRPr="00D81948" w:rsidRDefault="00D170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A205A"/>
    <w:multiLevelType w:val="hybridMultilevel"/>
    <w:tmpl w:val="A1188ABC"/>
    <w:lvl w:ilvl="0" w:tplc="79841BE0">
      <w:start w:val="1"/>
      <w:numFmt w:val="decimal"/>
      <w:lvlText w:val="%1."/>
      <w:lvlJc w:val="left"/>
      <w:pPr>
        <w:ind w:left="720" w:hanging="360"/>
      </w:pPr>
      <w:rPr>
        <w:rFonts w:hint="default"/>
        <w:i w:val="0"/>
        <w:i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732183"/>
    <w:multiLevelType w:val="hybridMultilevel"/>
    <w:tmpl w:val="937460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86C2FBB"/>
    <w:multiLevelType w:val="hybridMultilevel"/>
    <w:tmpl w:val="CA6AE77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8E439A2"/>
    <w:multiLevelType w:val="hybridMultilevel"/>
    <w:tmpl w:val="705E25F6"/>
    <w:lvl w:ilvl="0" w:tplc="B7525CAA">
      <w:start w:val="4"/>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D713278"/>
    <w:multiLevelType w:val="hybridMultilevel"/>
    <w:tmpl w:val="F4D06646"/>
    <w:lvl w:ilvl="0" w:tplc="58786158">
      <w:start w:val="1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2F3D3D"/>
    <w:multiLevelType w:val="hybridMultilevel"/>
    <w:tmpl w:val="CC8CAF74"/>
    <w:lvl w:ilvl="0" w:tplc="040C0001">
      <w:start w:val="1"/>
      <w:numFmt w:val="bullet"/>
      <w:lvlText w:val=""/>
      <w:lvlJc w:val="left"/>
      <w:pPr>
        <w:ind w:left="360" w:hanging="360"/>
      </w:pPr>
      <w:rPr>
        <w:rFonts w:ascii="Symbol" w:hAnsi="Symbol" w:hint="default"/>
      </w:rPr>
    </w:lvl>
    <w:lvl w:ilvl="1" w:tplc="97E81BFE">
      <w:start w:val="1"/>
      <w:numFmt w:val="bullet"/>
      <w:lvlText w:val="o"/>
      <w:lvlJc w:val="left"/>
      <w:pPr>
        <w:ind w:left="1080" w:hanging="360"/>
      </w:pPr>
      <w:rPr>
        <w:rFonts w:ascii="Courier New" w:hAnsi="Courier New" w:cs="Courier New" w:hint="default"/>
        <w:strike w:val="0"/>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5997831"/>
    <w:multiLevelType w:val="hybridMultilevel"/>
    <w:tmpl w:val="93524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8"/>
  </w:num>
  <w:num w:numId="7">
    <w:abstractNumId w:val="4"/>
  </w:num>
  <w:num w:numId="8">
    <w:abstractNumId w:val="4"/>
  </w:num>
  <w:num w:numId="9">
    <w:abstractNumId w:val="4"/>
  </w:num>
  <w:num w:numId="10">
    <w:abstractNumId w:val="4"/>
  </w:num>
  <w:num w:numId="11">
    <w:abstractNumId w:val="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7"/>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6"/>
  </w:num>
  <w:num w:numId="35">
    <w:abstractNumId w:val="4"/>
  </w:num>
  <w:num w:numId="36">
    <w:abstractNumId w:val="4"/>
  </w:num>
  <w:num w:numId="3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CB"/>
    <w:rsid w:val="000016A4"/>
    <w:rsid w:val="000019DB"/>
    <w:rsid w:val="0000322A"/>
    <w:rsid w:val="000047CC"/>
    <w:rsid w:val="000120FD"/>
    <w:rsid w:val="00021831"/>
    <w:rsid w:val="000248B7"/>
    <w:rsid w:val="00024CBA"/>
    <w:rsid w:val="00026AF2"/>
    <w:rsid w:val="0003607A"/>
    <w:rsid w:val="0003616E"/>
    <w:rsid w:val="00040AFF"/>
    <w:rsid w:val="00045BAA"/>
    <w:rsid w:val="00047E58"/>
    <w:rsid w:val="00051914"/>
    <w:rsid w:val="00073D20"/>
    <w:rsid w:val="000755E1"/>
    <w:rsid w:val="00084713"/>
    <w:rsid w:val="00085541"/>
    <w:rsid w:val="00085CC8"/>
    <w:rsid w:val="0008670B"/>
    <w:rsid w:val="00091B11"/>
    <w:rsid w:val="00093063"/>
    <w:rsid w:val="000A34CE"/>
    <w:rsid w:val="000A4B26"/>
    <w:rsid w:val="000C5F3D"/>
    <w:rsid w:val="000C65E4"/>
    <w:rsid w:val="000D42D9"/>
    <w:rsid w:val="000D4870"/>
    <w:rsid w:val="000D6E3B"/>
    <w:rsid w:val="000E1CD6"/>
    <w:rsid w:val="000E38BE"/>
    <w:rsid w:val="000E507B"/>
    <w:rsid w:val="000F483B"/>
    <w:rsid w:val="00100E43"/>
    <w:rsid w:val="00105896"/>
    <w:rsid w:val="00106B72"/>
    <w:rsid w:val="00113FB9"/>
    <w:rsid w:val="0011750D"/>
    <w:rsid w:val="00120642"/>
    <w:rsid w:val="00120F43"/>
    <w:rsid w:val="00121B77"/>
    <w:rsid w:val="00126957"/>
    <w:rsid w:val="001319AD"/>
    <w:rsid w:val="00134517"/>
    <w:rsid w:val="00134B1E"/>
    <w:rsid w:val="00137E10"/>
    <w:rsid w:val="001412DE"/>
    <w:rsid w:val="00144A4D"/>
    <w:rsid w:val="00145ABB"/>
    <w:rsid w:val="00151351"/>
    <w:rsid w:val="0015675F"/>
    <w:rsid w:val="00157A20"/>
    <w:rsid w:val="00160F8A"/>
    <w:rsid w:val="00161A9A"/>
    <w:rsid w:val="00164EE1"/>
    <w:rsid w:val="0016687E"/>
    <w:rsid w:val="00174B39"/>
    <w:rsid w:val="0017524C"/>
    <w:rsid w:val="00176331"/>
    <w:rsid w:val="00185D20"/>
    <w:rsid w:val="00186B48"/>
    <w:rsid w:val="00193378"/>
    <w:rsid w:val="001A431C"/>
    <w:rsid w:val="001A44C1"/>
    <w:rsid w:val="001A57A9"/>
    <w:rsid w:val="001A7BD1"/>
    <w:rsid w:val="001B17B5"/>
    <w:rsid w:val="001B2F76"/>
    <w:rsid w:val="001C67A1"/>
    <w:rsid w:val="001C79D5"/>
    <w:rsid w:val="001D00B5"/>
    <w:rsid w:val="001D022B"/>
    <w:rsid w:val="001D11C1"/>
    <w:rsid w:val="001D2891"/>
    <w:rsid w:val="001D2C1B"/>
    <w:rsid w:val="001D3B29"/>
    <w:rsid w:val="001D59C8"/>
    <w:rsid w:val="001E33BF"/>
    <w:rsid w:val="001E4E57"/>
    <w:rsid w:val="001E4EEB"/>
    <w:rsid w:val="001E6026"/>
    <w:rsid w:val="001E6B30"/>
    <w:rsid w:val="001F3696"/>
    <w:rsid w:val="001F37CA"/>
    <w:rsid w:val="002018AA"/>
    <w:rsid w:val="00204B37"/>
    <w:rsid w:val="0020565B"/>
    <w:rsid w:val="002119C5"/>
    <w:rsid w:val="0021266E"/>
    <w:rsid w:val="002161C4"/>
    <w:rsid w:val="002218F0"/>
    <w:rsid w:val="00236771"/>
    <w:rsid w:val="00237E43"/>
    <w:rsid w:val="00247D24"/>
    <w:rsid w:val="00251750"/>
    <w:rsid w:val="00251C9B"/>
    <w:rsid w:val="002579E6"/>
    <w:rsid w:val="002650D7"/>
    <w:rsid w:val="00266A2C"/>
    <w:rsid w:val="0027198B"/>
    <w:rsid w:val="00271BF5"/>
    <w:rsid w:val="00273FCC"/>
    <w:rsid w:val="00286C0C"/>
    <w:rsid w:val="00290D5F"/>
    <w:rsid w:val="00292DE8"/>
    <w:rsid w:val="002938F2"/>
    <w:rsid w:val="002968E2"/>
    <w:rsid w:val="00297F84"/>
    <w:rsid w:val="002A0E5C"/>
    <w:rsid w:val="002B167B"/>
    <w:rsid w:val="002B3C74"/>
    <w:rsid w:val="002B5326"/>
    <w:rsid w:val="002B7155"/>
    <w:rsid w:val="002C5280"/>
    <w:rsid w:val="002C65C2"/>
    <w:rsid w:val="002D283F"/>
    <w:rsid w:val="002D396D"/>
    <w:rsid w:val="002E0BBF"/>
    <w:rsid w:val="002F30A8"/>
    <w:rsid w:val="00311D79"/>
    <w:rsid w:val="003159DA"/>
    <w:rsid w:val="00315FB2"/>
    <w:rsid w:val="00324C3B"/>
    <w:rsid w:val="003311A4"/>
    <w:rsid w:val="00342034"/>
    <w:rsid w:val="0035037F"/>
    <w:rsid w:val="003519FF"/>
    <w:rsid w:val="0035648A"/>
    <w:rsid w:val="00363995"/>
    <w:rsid w:val="003641DB"/>
    <w:rsid w:val="00365B94"/>
    <w:rsid w:val="00376B96"/>
    <w:rsid w:val="00384573"/>
    <w:rsid w:val="00385493"/>
    <w:rsid w:val="00394255"/>
    <w:rsid w:val="0039446E"/>
    <w:rsid w:val="003978E3"/>
    <w:rsid w:val="003A4068"/>
    <w:rsid w:val="003A4328"/>
    <w:rsid w:val="003C3D09"/>
    <w:rsid w:val="003C430C"/>
    <w:rsid w:val="003C4D9E"/>
    <w:rsid w:val="003C5294"/>
    <w:rsid w:val="003C7065"/>
    <w:rsid w:val="003D26DD"/>
    <w:rsid w:val="003D4934"/>
    <w:rsid w:val="003E1AB9"/>
    <w:rsid w:val="003E3967"/>
    <w:rsid w:val="003E4B08"/>
    <w:rsid w:val="003F09F1"/>
    <w:rsid w:val="003F50C3"/>
    <w:rsid w:val="003F57C0"/>
    <w:rsid w:val="003F67FB"/>
    <w:rsid w:val="00403894"/>
    <w:rsid w:val="00404BB0"/>
    <w:rsid w:val="004108B6"/>
    <w:rsid w:val="00410CD6"/>
    <w:rsid w:val="00411028"/>
    <w:rsid w:val="00414A25"/>
    <w:rsid w:val="00416FF7"/>
    <w:rsid w:val="004206C2"/>
    <w:rsid w:val="00424EAE"/>
    <w:rsid w:val="004257DC"/>
    <w:rsid w:val="00434773"/>
    <w:rsid w:val="0043606D"/>
    <w:rsid w:val="0043723F"/>
    <w:rsid w:val="004467E0"/>
    <w:rsid w:val="00447C66"/>
    <w:rsid w:val="00451657"/>
    <w:rsid w:val="00456277"/>
    <w:rsid w:val="00457573"/>
    <w:rsid w:val="00467E65"/>
    <w:rsid w:val="00471B34"/>
    <w:rsid w:val="00477EE6"/>
    <w:rsid w:val="004808A9"/>
    <w:rsid w:val="00481E44"/>
    <w:rsid w:val="00486D57"/>
    <w:rsid w:val="004930C8"/>
    <w:rsid w:val="004933E9"/>
    <w:rsid w:val="004A04D4"/>
    <w:rsid w:val="004A607B"/>
    <w:rsid w:val="004A682F"/>
    <w:rsid w:val="004B2525"/>
    <w:rsid w:val="004C2092"/>
    <w:rsid w:val="004E056C"/>
    <w:rsid w:val="004E2454"/>
    <w:rsid w:val="004E2817"/>
    <w:rsid w:val="004E499E"/>
    <w:rsid w:val="004F211E"/>
    <w:rsid w:val="005016FB"/>
    <w:rsid w:val="00507333"/>
    <w:rsid w:val="00511D17"/>
    <w:rsid w:val="0051444A"/>
    <w:rsid w:val="0051699F"/>
    <w:rsid w:val="00522E37"/>
    <w:rsid w:val="00524054"/>
    <w:rsid w:val="0052546D"/>
    <w:rsid w:val="0053057E"/>
    <w:rsid w:val="005342C8"/>
    <w:rsid w:val="005414A1"/>
    <w:rsid w:val="00551234"/>
    <w:rsid w:val="0057291B"/>
    <w:rsid w:val="00576266"/>
    <w:rsid w:val="00583EF9"/>
    <w:rsid w:val="00587064"/>
    <w:rsid w:val="005908B4"/>
    <w:rsid w:val="005B7E6B"/>
    <w:rsid w:val="005C0660"/>
    <w:rsid w:val="005C20B5"/>
    <w:rsid w:val="005C2A70"/>
    <w:rsid w:val="005C44B9"/>
    <w:rsid w:val="005E1133"/>
    <w:rsid w:val="005F399B"/>
    <w:rsid w:val="006014DC"/>
    <w:rsid w:val="00601DD6"/>
    <w:rsid w:val="00603F71"/>
    <w:rsid w:val="006126AC"/>
    <w:rsid w:val="00620044"/>
    <w:rsid w:val="00620731"/>
    <w:rsid w:val="00622EFE"/>
    <w:rsid w:val="006245DD"/>
    <w:rsid w:val="00627035"/>
    <w:rsid w:val="00632308"/>
    <w:rsid w:val="00636760"/>
    <w:rsid w:val="00636E27"/>
    <w:rsid w:val="00644D34"/>
    <w:rsid w:val="006515C9"/>
    <w:rsid w:val="00652318"/>
    <w:rsid w:val="0065251E"/>
    <w:rsid w:val="00664EFE"/>
    <w:rsid w:val="00665283"/>
    <w:rsid w:val="0067005F"/>
    <w:rsid w:val="00672434"/>
    <w:rsid w:val="0067311D"/>
    <w:rsid w:val="00673F96"/>
    <w:rsid w:val="0067404F"/>
    <w:rsid w:val="0067475E"/>
    <w:rsid w:val="006759E9"/>
    <w:rsid w:val="00681368"/>
    <w:rsid w:val="00693F84"/>
    <w:rsid w:val="006942C0"/>
    <w:rsid w:val="006A0D86"/>
    <w:rsid w:val="006A77F7"/>
    <w:rsid w:val="006B78D0"/>
    <w:rsid w:val="006C0814"/>
    <w:rsid w:val="006C0911"/>
    <w:rsid w:val="006C35BE"/>
    <w:rsid w:val="006C509F"/>
    <w:rsid w:val="006C5CED"/>
    <w:rsid w:val="006D1FED"/>
    <w:rsid w:val="006D29B1"/>
    <w:rsid w:val="006D3355"/>
    <w:rsid w:val="006D46FB"/>
    <w:rsid w:val="006D5A48"/>
    <w:rsid w:val="006F2915"/>
    <w:rsid w:val="006F297F"/>
    <w:rsid w:val="0070031E"/>
    <w:rsid w:val="007153CE"/>
    <w:rsid w:val="007250E3"/>
    <w:rsid w:val="00725876"/>
    <w:rsid w:val="00746204"/>
    <w:rsid w:val="00747715"/>
    <w:rsid w:val="00750138"/>
    <w:rsid w:val="00751581"/>
    <w:rsid w:val="0075224F"/>
    <w:rsid w:val="00753DA3"/>
    <w:rsid w:val="007573D0"/>
    <w:rsid w:val="007600EB"/>
    <w:rsid w:val="00762962"/>
    <w:rsid w:val="007631B9"/>
    <w:rsid w:val="00764F50"/>
    <w:rsid w:val="00770A92"/>
    <w:rsid w:val="00776874"/>
    <w:rsid w:val="007777F2"/>
    <w:rsid w:val="00786785"/>
    <w:rsid w:val="007904E4"/>
    <w:rsid w:val="00790C65"/>
    <w:rsid w:val="00793A96"/>
    <w:rsid w:val="00793D09"/>
    <w:rsid w:val="00795E02"/>
    <w:rsid w:val="0079717B"/>
    <w:rsid w:val="007A1845"/>
    <w:rsid w:val="007A3789"/>
    <w:rsid w:val="007A7D45"/>
    <w:rsid w:val="007A7D91"/>
    <w:rsid w:val="007B43F7"/>
    <w:rsid w:val="007C03A3"/>
    <w:rsid w:val="007C1B00"/>
    <w:rsid w:val="007C32AF"/>
    <w:rsid w:val="007C4069"/>
    <w:rsid w:val="007C4BC8"/>
    <w:rsid w:val="007D31CE"/>
    <w:rsid w:val="007D5BB7"/>
    <w:rsid w:val="007D6E0B"/>
    <w:rsid w:val="007E0621"/>
    <w:rsid w:val="007E0955"/>
    <w:rsid w:val="007E4E37"/>
    <w:rsid w:val="007F0855"/>
    <w:rsid w:val="007F3A68"/>
    <w:rsid w:val="007F4B07"/>
    <w:rsid w:val="007F7070"/>
    <w:rsid w:val="00801C7B"/>
    <w:rsid w:val="00817A66"/>
    <w:rsid w:val="008324B0"/>
    <w:rsid w:val="0083488D"/>
    <w:rsid w:val="00834E34"/>
    <w:rsid w:val="00835802"/>
    <w:rsid w:val="00843B71"/>
    <w:rsid w:val="008466C3"/>
    <w:rsid w:val="00846884"/>
    <w:rsid w:val="00851458"/>
    <w:rsid w:val="00851A62"/>
    <w:rsid w:val="00861A47"/>
    <w:rsid w:val="00862772"/>
    <w:rsid w:val="008707FF"/>
    <w:rsid w:val="008724E5"/>
    <w:rsid w:val="008855A7"/>
    <w:rsid w:val="00891C7F"/>
    <w:rsid w:val="008A0238"/>
    <w:rsid w:val="008A63EC"/>
    <w:rsid w:val="008B7346"/>
    <w:rsid w:val="008B7E3A"/>
    <w:rsid w:val="008C21AF"/>
    <w:rsid w:val="008C5ECC"/>
    <w:rsid w:val="008D02C1"/>
    <w:rsid w:val="008D3BF7"/>
    <w:rsid w:val="008D4734"/>
    <w:rsid w:val="008D5D0F"/>
    <w:rsid w:val="008F117B"/>
    <w:rsid w:val="008F11A0"/>
    <w:rsid w:val="008F16C6"/>
    <w:rsid w:val="008F28D8"/>
    <w:rsid w:val="008F34A1"/>
    <w:rsid w:val="00902A79"/>
    <w:rsid w:val="0090321E"/>
    <w:rsid w:val="00904873"/>
    <w:rsid w:val="009049DD"/>
    <w:rsid w:val="009121CE"/>
    <w:rsid w:val="009127D8"/>
    <w:rsid w:val="0091678F"/>
    <w:rsid w:val="00921F65"/>
    <w:rsid w:val="00923D31"/>
    <w:rsid w:val="009245EB"/>
    <w:rsid w:val="009318B0"/>
    <w:rsid w:val="00932035"/>
    <w:rsid w:val="00940428"/>
    <w:rsid w:val="0094252B"/>
    <w:rsid w:val="009448F0"/>
    <w:rsid w:val="009647CC"/>
    <w:rsid w:val="00967E3C"/>
    <w:rsid w:val="0097349C"/>
    <w:rsid w:val="00976948"/>
    <w:rsid w:val="00993F2D"/>
    <w:rsid w:val="009A2F66"/>
    <w:rsid w:val="009B0225"/>
    <w:rsid w:val="009B4F53"/>
    <w:rsid w:val="009B5212"/>
    <w:rsid w:val="009C102E"/>
    <w:rsid w:val="009C5C6F"/>
    <w:rsid w:val="009C7251"/>
    <w:rsid w:val="009D0BB8"/>
    <w:rsid w:val="009D4547"/>
    <w:rsid w:val="009D5E38"/>
    <w:rsid w:val="009F0BDD"/>
    <w:rsid w:val="009F34A4"/>
    <w:rsid w:val="009F3988"/>
    <w:rsid w:val="009F6A06"/>
    <w:rsid w:val="00A00D55"/>
    <w:rsid w:val="00A1124B"/>
    <w:rsid w:val="00A117B4"/>
    <w:rsid w:val="00A150C7"/>
    <w:rsid w:val="00A16294"/>
    <w:rsid w:val="00A22EAC"/>
    <w:rsid w:val="00A40D4F"/>
    <w:rsid w:val="00A43546"/>
    <w:rsid w:val="00A519A2"/>
    <w:rsid w:val="00A5478B"/>
    <w:rsid w:val="00A54904"/>
    <w:rsid w:val="00A55312"/>
    <w:rsid w:val="00A6539A"/>
    <w:rsid w:val="00A66A00"/>
    <w:rsid w:val="00A7053F"/>
    <w:rsid w:val="00A70883"/>
    <w:rsid w:val="00A71ECD"/>
    <w:rsid w:val="00A73B6E"/>
    <w:rsid w:val="00A752BD"/>
    <w:rsid w:val="00A76FD1"/>
    <w:rsid w:val="00A77AEB"/>
    <w:rsid w:val="00A805BD"/>
    <w:rsid w:val="00A83196"/>
    <w:rsid w:val="00A86042"/>
    <w:rsid w:val="00AA444A"/>
    <w:rsid w:val="00AA5F63"/>
    <w:rsid w:val="00AB1217"/>
    <w:rsid w:val="00AB1528"/>
    <w:rsid w:val="00AB7CDC"/>
    <w:rsid w:val="00AC2691"/>
    <w:rsid w:val="00AC4107"/>
    <w:rsid w:val="00AD56D8"/>
    <w:rsid w:val="00AE1362"/>
    <w:rsid w:val="00AE1AA6"/>
    <w:rsid w:val="00AE1B18"/>
    <w:rsid w:val="00AE239F"/>
    <w:rsid w:val="00AF1C32"/>
    <w:rsid w:val="00B02F7A"/>
    <w:rsid w:val="00B11AE3"/>
    <w:rsid w:val="00B23FF2"/>
    <w:rsid w:val="00B36D3C"/>
    <w:rsid w:val="00B53036"/>
    <w:rsid w:val="00B5447F"/>
    <w:rsid w:val="00B55F31"/>
    <w:rsid w:val="00B6167A"/>
    <w:rsid w:val="00B63543"/>
    <w:rsid w:val="00B6776E"/>
    <w:rsid w:val="00B67DA3"/>
    <w:rsid w:val="00B72AA6"/>
    <w:rsid w:val="00B777B2"/>
    <w:rsid w:val="00B82656"/>
    <w:rsid w:val="00B90C8D"/>
    <w:rsid w:val="00B9459D"/>
    <w:rsid w:val="00B95A11"/>
    <w:rsid w:val="00B96080"/>
    <w:rsid w:val="00B973B5"/>
    <w:rsid w:val="00BA06B8"/>
    <w:rsid w:val="00BC2F61"/>
    <w:rsid w:val="00BC7A9F"/>
    <w:rsid w:val="00BD27F9"/>
    <w:rsid w:val="00BD59BD"/>
    <w:rsid w:val="00BD7024"/>
    <w:rsid w:val="00BE0AED"/>
    <w:rsid w:val="00BE578E"/>
    <w:rsid w:val="00BF6B4A"/>
    <w:rsid w:val="00C01E8A"/>
    <w:rsid w:val="00C11825"/>
    <w:rsid w:val="00C22F55"/>
    <w:rsid w:val="00C231CB"/>
    <w:rsid w:val="00C26EE2"/>
    <w:rsid w:val="00C30D71"/>
    <w:rsid w:val="00C3642B"/>
    <w:rsid w:val="00C47D20"/>
    <w:rsid w:val="00C5583C"/>
    <w:rsid w:val="00C64210"/>
    <w:rsid w:val="00C6478B"/>
    <w:rsid w:val="00C651FC"/>
    <w:rsid w:val="00C80EAC"/>
    <w:rsid w:val="00C81439"/>
    <w:rsid w:val="00C82E01"/>
    <w:rsid w:val="00C87EF0"/>
    <w:rsid w:val="00C94174"/>
    <w:rsid w:val="00C97BAA"/>
    <w:rsid w:val="00CA078D"/>
    <w:rsid w:val="00CA55B6"/>
    <w:rsid w:val="00CA6FEF"/>
    <w:rsid w:val="00CB0DCC"/>
    <w:rsid w:val="00CB0F37"/>
    <w:rsid w:val="00CB500D"/>
    <w:rsid w:val="00CB644A"/>
    <w:rsid w:val="00CC2BC6"/>
    <w:rsid w:val="00CD43F2"/>
    <w:rsid w:val="00CE2586"/>
    <w:rsid w:val="00CE5778"/>
    <w:rsid w:val="00D00421"/>
    <w:rsid w:val="00D039FF"/>
    <w:rsid w:val="00D11339"/>
    <w:rsid w:val="00D11C2B"/>
    <w:rsid w:val="00D156D1"/>
    <w:rsid w:val="00D1595C"/>
    <w:rsid w:val="00D1707A"/>
    <w:rsid w:val="00D17570"/>
    <w:rsid w:val="00D249ED"/>
    <w:rsid w:val="00D27707"/>
    <w:rsid w:val="00D32571"/>
    <w:rsid w:val="00D34E14"/>
    <w:rsid w:val="00D35123"/>
    <w:rsid w:val="00D367B9"/>
    <w:rsid w:val="00D40069"/>
    <w:rsid w:val="00D404B7"/>
    <w:rsid w:val="00D45F5E"/>
    <w:rsid w:val="00D54A7D"/>
    <w:rsid w:val="00D54F31"/>
    <w:rsid w:val="00D60569"/>
    <w:rsid w:val="00D60942"/>
    <w:rsid w:val="00D6246C"/>
    <w:rsid w:val="00D63CB4"/>
    <w:rsid w:val="00D77AB2"/>
    <w:rsid w:val="00D809E5"/>
    <w:rsid w:val="00D81948"/>
    <w:rsid w:val="00D90AA8"/>
    <w:rsid w:val="00D9178D"/>
    <w:rsid w:val="00D9501F"/>
    <w:rsid w:val="00DA11AE"/>
    <w:rsid w:val="00DA2E7B"/>
    <w:rsid w:val="00DA2F51"/>
    <w:rsid w:val="00DB3B19"/>
    <w:rsid w:val="00DB47DE"/>
    <w:rsid w:val="00DB50D5"/>
    <w:rsid w:val="00DB6D37"/>
    <w:rsid w:val="00DD1999"/>
    <w:rsid w:val="00DE5B97"/>
    <w:rsid w:val="00DE6D29"/>
    <w:rsid w:val="00DF3DA3"/>
    <w:rsid w:val="00DF7C59"/>
    <w:rsid w:val="00E015DB"/>
    <w:rsid w:val="00E03893"/>
    <w:rsid w:val="00E0628F"/>
    <w:rsid w:val="00E06A00"/>
    <w:rsid w:val="00E21B39"/>
    <w:rsid w:val="00E22B99"/>
    <w:rsid w:val="00E258D9"/>
    <w:rsid w:val="00E27C84"/>
    <w:rsid w:val="00E37B70"/>
    <w:rsid w:val="00E400AE"/>
    <w:rsid w:val="00E42AC3"/>
    <w:rsid w:val="00E439CA"/>
    <w:rsid w:val="00E44112"/>
    <w:rsid w:val="00E5219B"/>
    <w:rsid w:val="00E5497A"/>
    <w:rsid w:val="00E55F11"/>
    <w:rsid w:val="00E573A7"/>
    <w:rsid w:val="00E61D1E"/>
    <w:rsid w:val="00E7087E"/>
    <w:rsid w:val="00E73C43"/>
    <w:rsid w:val="00E77CA6"/>
    <w:rsid w:val="00E77E5B"/>
    <w:rsid w:val="00E824FB"/>
    <w:rsid w:val="00E832FC"/>
    <w:rsid w:val="00E93971"/>
    <w:rsid w:val="00E95338"/>
    <w:rsid w:val="00EA198F"/>
    <w:rsid w:val="00ED6930"/>
    <w:rsid w:val="00EE299F"/>
    <w:rsid w:val="00EF0BCB"/>
    <w:rsid w:val="00EF0E74"/>
    <w:rsid w:val="00EF30C9"/>
    <w:rsid w:val="00EF4C16"/>
    <w:rsid w:val="00F00E8A"/>
    <w:rsid w:val="00F05D28"/>
    <w:rsid w:val="00F16276"/>
    <w:rsid w:val="00F27DA2"/>
    <w:rsid w:val="00F3349E"/>
    <w:rsid w:val="00F33650"/>
    <w:rsid w:val="00F33ADF"/>
    <w:rsid w:val="00F44466"/>
    <w:rsid w:val="00F46755"/>
    <w:rsid w:val="00F473CB"/>
    <w:rsid w:val="00F50245"/>
    <w:rsid w:val="00F51AFD"/>
    <w:rsid w:val="00F63DDA"/>
    <w:rsid w:val="00F676AD"/>
    <w:rsid w:val="00F705DE"/>
    <w:rsid w:val="00F70858"/>
    <w:rsid w:val="00F7397F"/>
    <w:rsid w:val="00F73FBD"/>
    <w:rsid w:val="00F742F6"/>
    <w:rsid w:val="00F75949"/>
    <w:rsid w:val="00F759FC"/>
    <w:rsid w:val="00F75CF4"/>
    <w:rsid w:val="00F75E82"/>
    <w:rsid w:val="00F775A7"/>
    <w:rsid w:val="00F833CE"/>
    <w:rsid w:val="00F91A2D"/>
    <w:rsid w:val="00F941F0"/>
    <w:rsid w:val="00FA08A0"/>
    <w:rsid w:val="00FB2A49"/>
    <w:rsid w:val="00FC121F"/>
    <w:rsid w:val="00FC7BDD"/>
    <w:rsid w:val="00FD0D76"/>
    <w:rsid w:val="00FD7F8C"/>
    <w:rsid w:val="00FE419C"/>
    <w:rsid w:val="00FF0B98"/>
    <w:rsid w:val="00FF2B1D"/>
    <w:rsid w:val="00FF791B"/>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6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Titre1">
    <w:name w:val="heading 1"/>
    <w:basedOn w:val="Normal"/>
    <w:next w:val="Normal"/>
    <w:link w:val="Titre1Car"/>
    <w:qFormat/>
    <w:rsid w:val="00D609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3">
    <w:name w:val="heading 3"/>
    <w:basedOn w:val="Normal"/>
    <w:next w:val="Normal"/>
    <w:link w:val="Titre3Car"/>
    <w:unhideWhenUsed/>
    <w:qFormat/>
    <w:rsid w:val="00457573"/>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paragraph" w:styleId="Titre5">
    <w:name w:val="heading 5"/>
    <w:basedOn w:val="Normal"/>
    <w:next w:val="Normal"/>
    <w:link w:val="Titre5Car"/>
    <w:unhideWhenUsed/>
    <w:qFormat/>
    <w:rsid w:val="000C5F3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rsid w:val="00B11AE3"/>
    <w:rPr>
      <w:sz w:val="16"/>
      <w:szCs w:val="16"/>
    </w:rPr>
  </w:style>
  <w:style w:type="paragraph" w:styleId="Commentaire">
    <w:name w:val="annotation text"/>
    <w:basedOn w:val="Normal"/>
    <w:link w:val="CommentaireCar"/>
    <w:rsid w:val="00B11AE3"/>
    <w:rPr>
      <w:sz w:val="20"/>
      <w:szCs w:val="20"/>
    </w:rPr>
  </w:style>
  <w:style w:type="character" w:customStyle="1" w:styleId="CommentaireCar">
    <w:name w:val="Commentaire Car"/>
    <w:link w:val="Commentaire"/>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en-GB"/>
    </w:rPr>
  </w:style>
  <w:style w:type="paragraph" w:customStyle="1" w:styleId="1GAPara">
    <w:name w:val="1. GA Para"/>
    <w:qFormat/>
    <w:rsid w:val="00E22B99"/>
    <w:pPr>
      <w:numPr>
        <w:numId w:val="2"/>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CB500D"/>
    <w:rPr>
      <w:rFonts w:ascii="Times New Roman" w:eastAsia="Times New Roman" w:hAnsi="Times New Roman"/>
      <w:sz w:val="24"/>
      <w:szCs w:val="24"/>
    </w:rPr>
  </w:style>
  <w:style w:type="table" w:customStyle="1" w:styleId="TableGrid1">
    <w:name w:val="Table Grid1"/>
    <w:basedOn w:val="TableauNormal"/>
    <w:next w:val="Grilledutableau"/>
    <w:uiPriority w:val="59"/>
    <w:rsid w:val="00A00D5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5908B4"/>
    <w:pPr>
      <w:spacing w:after="120"/>
      <w:ind w:left="567" w:hanging="567"/>
    </w:pPr>
    <w:rPr>
      <w:rFonts w:ascii="Arial" w:eastAsia="Times New Roman" w:hAnsi="Arial" w:cs="Arial"/>
      <w:snapToGrid w:val="0"/>
      <w:sz w:val="22"/>
      <w:szCs w:val="22"/>
      <w:lang w:val="en-GB" w:eastAsia="en-US"/>
    </w:rPr>
  </w:style>
  <w:style w:type="character" w:styleId="Lienhypertexte">
    <w:name w:val="Hyperlink"/>
    <w:unhideWhenUsed/>
    <w:rsid w:val="005908B4"/>
    <w:rPr>
      <w:color w:val="0000FF"/>
      <w:u w:val="single"/>
    </w:rPr>
  </w:style>
  <w:style w:type="paragraph" w:styleId="Notedebasdepage">
    <w:name w:val="footnote text"/>
    <w:basedOn w:val="Normal"/>
    <w:link w:val="NotedebasdepageCar"/>
    <w:uiPriority w:val="99"/>
    <w:semiHidden/>
    <w:unhideWhenUsed/>
    <w:rsid w:val="005908B4"/>
    <w:pPr>
      <w:spacing w:after="0"/>
    </w:pPr>
    <w:rPr>
      <w:sz w:val="20"/>
      <w:szCs w:val="20"/>
      <w:lang w:val="fr-FR"/>
    </w:rPr>
  </w:style>
  <w:style w:type="character" w:customStyle="1" w:styleId="NotedebasdepageCar">
    <w:name w:val="Note de bas de page Car"/>
    <w:basedOn w:val="Policepardfaut"/>
    <w:link w:val="Notedebasdepage"/>
    <w:uiPriority w:val="99"/>
    <w:semiHidden/>
    <w:rsid w:val="005908B4"/>
    <w:rPr>
      <w:rFonts w:ascii="Times New Roman" w:eastAsia="Times New Roman" w:hAnsi="Times New Roman"/>
    </w:rPr>
  </w:style>
  <w:style w:type="character" w:styleId="Appelnotedebasdep">
    <w:name w:val="footnote reference"/>
    <w:basedOn w:val="Policepardfaut"/>
    <w:uiPriority w:val="99"/>
    <w:semiHidden/>
    <w:unhideWhenUsed/>
    <w:rsid w:val="005908B4"/>
    <w:rPr>
      <w:vertAlign w:val="superscript"/>
    </w:rPr>
  </w:style>
  <w:style w:type="paragraph" w:customStyle="1" w:styleId="GAPara">
    <w:name w:val="GA Para"/>
    <w:qFormat/>
    <w:rsid w:val="005908B4"/>
    <w:pPr>
      <w:spacing w:after="120"/>
      <w:ind w:left="1287" w:hanging="360"/>
    </w:pPr>
    <w:rPr>
      <w:rFonts w:ascii="Arial" w:eastAsia="Times New Roman" w:hAnsi="Arial" w:cs="Arial"/>
      <w:snapToGrid w:val="0"/>
      <w:sz w:val="22"/>
      <w:szCs w:val="22"/>
      <w:lang w:val="en-GB" w:eastAsia="en-US"/>
    </w:rPr>
  </w:style>
  <w:style w:type="paragraph" w:styleId="Paragraphedeliste">
    <w:name w:val="List Paragraph"/>
    <w:basedOn w:val="Normal"/>
    <w:uiPriority w:val="34"/>
    <w:qFormat/>
    <w:rsid w:val="005908B4"/>
    <w:pPr>
      <w:ind w:left="720"/>
      <w:contextualSpacing/>
    </w:pPr>
  </w:style>
  <w:style w:type="character" w:styleId="Lienhypertextesuivivisit">
    <w:name w:val="FollowedHyperlink"/>
    <w:basedOn w:val="Policepardfaut"/>
    <w:semiHidden/>
    <w:unhideWhenUsed/>
    <w:rsid w:val="00835802"/>
    <w:rPr>
      <w:color w:val="800080" w:themeColor="followedHyperlink"/>
      <w:u w:val="single"/>
    </w:rPr>
  </w:style>
  <w:style w:type="character" w:styleId="Mentionnonrsolue">
    <w:name w:val="Unresolved Mention"/>
    <w:basedOn w:val="Policepardfaut"/>
    <w:uiPriority w:val="99"/>
    <w:semiHidden/>
    <w:unhideWhenUsed/>
    <w:rsid w:val="004A682F"/>
    <w:rPr>
      <w:color w:val="605E5C"/>
      <w:shd w:val="clear" w:color="auto" w:fill="E1DFDD"/>
    </w:rPr>
  </w:style>
  <w:style w:type="paragraph" w:styleId="Rvision">
    <w:name w:val="Revision"/>
    <w:hidden/>
    <w:semiHidden/>
    <w:rsid w:val="00587064"/>
    <w:rPr>
      <w:rFonts w:ascii="Times New Roman" w:eastAsia="Times New Roman" w:hAnsi="Times New Roman"/>
      <w:sz w:val="22"/>
      <w:szCs w:val="24"/>
      <w:lang w:val="en-GB"/>
    </w:rPr>
  </w:style>
  <w:style w:type="character" w:customStyle="1" w:styleId="Titre1Car">
    <w:name w:val="Titre 1 Car"/>
    <w:basedOn w:val="Policepardfaut"/>
    <w:link w:val="Titre1"/>
    <w:rsid w:val="00D60942"/>
    <w:rPr>
      <w:rFonts w:asciiTheme="majorHAnsi" w:eastAsiaTheme="majorEastAsia" w:hAnsiTheme="majorHAnsi" w:cstheme="majorBidi"/>
      <w:color w:val="365F91" w:themeColor="accent1" w:themeShade="BF"/>
      <w:sz w:val="32"/>
      <w:szCs w:val="32"/>
      <w:lang w:val="en-GB"/>
    </w:rPr>
  </w:style>
  <w:style w:type="character" w:customStyle="1" w:styleId="Titre3Car">
    <w:name w:val="Titre 3 Car"/>
    <w:basedOn w:val="Policepardfaut"/>
    <w:link w:val="Titre3"/>
    <w:rsid w:val="00457573"/>
    <w:rPr>
      <w:rFonts w:asciiTheme="majorHAnsi" w:eastAsiaTheme="majorEastAsia" w:hAnsiTheme="majorHAnsi" w:cstheme="majorBidi"/>
      <w:color w:val="243F60" w:themeColor="accent1" w:themeShade="7F"/>
      <w:sz w:val="24"/>
      <w:szCs w:val="24"/>
      <w:lang w:val="en-GB"/>
    </w:rPr>
  </w:style>
  <w:style w:type="character" w:customStyle="1" w:styleId="Titre5Car">
    <w:name w:val="Titre 5 Car"/>
    <w:basedOn w:val="Policepardfaut"/>
    <w:link w:val="Titre5"/>
    <w:rsid w:val="000C5F3D"/>
    <w:rPr>
      <w:rFonts w:asciiTheme="majorHAnsi" w:eastAsiaTheme="majorEastAsia" w:hAnsiTheme="majorHAnsi" w:cstheme="majorBidi"/>
      <w:color w:val="365F91" w:themeColor="accent1" w:themeShade="BF"/>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63656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52249-EN.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conven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h.unesco.org/doc/src/LHE-21-16.COM_WG-6-EN.docx" TargetMode="External"/><Relationship Id="rId4" Type="http://schemas.openxmlformats.org/officeDocument/2006/relationships/settings" Target="settings.xml"/><Relationship Id="rId9" Type="http://schemas.openxmlformats.org/officeDocument/2006/relationships/hyperlink" Target="https://ich.unesco.org/doc/src/LHE-21-16.COM_WG-6-EN.docx"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en/Decisions/8.GA/12" TargetMode="External"/><Relationship Id="rId1" Type="http://schemas.openxmlformats.org/officeDocument/2006/relationships/hyperlink" Target="https://ich.unesco.org/en/accredited-ngos-0033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4AB9-B113-4AA1-A5C3-19BF1C6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2489</Words>
  <Characters>14190</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2021-09-07T14:18:00Z</dcterms:created>
  <dcterms:modified xsi:type="dcterms:W3CDTF">2021-09-07T14:18:00Z</dcterms:modified>
</cp:coreProperties>
</file>