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53AE0E27" w:rsidR="002938F2" w:rsidRPr="00636760" w:rsidRDefault="002938F2" w:rsidP="00AE1B18">
      <w:pPr>
        <w:spacing w:before="1440"/>
        <w:jc w:val="center"/>
        <w:rPr>
          <w:rFonts w:ascii="Arial" w:hAnsi="Arial" w:cs="Arial"/>
          <w:b/>
          <w:szCs w:val="22"/>
        </w:rPr>
      </w:pPr>
      <w:r>
        <w:rPr>
          <w:rFonts w:ascii="Arial" w:hAnsi="Arial"/>
          <w:b/>
        </w:rPr>
        <w:t>CONVENTION POUR LA SAUVEGARDE</w:t>
      </w:r>
      <w:r>
        <w:rPr>
          <w:rFonts w:ascii="Arial" w:hAnsi="Arial"/>
          <w:b/>
        </w:rPr>
        <w:br/>
        <w:t>DU PATRIMOINE CULTUREL IMMATÉRIEL</w:t>
      </w:r>
    </w:p>
    <w:p w14:paraId="3A9B48CB" w14:textId="3446F816" w:rsidR="00F75CF4" w:rsidRDefault="00F75CF4" w:rsidP="00F75CF4">
      <w:pPr>
        <w:spacing w:before="840" w:after="0"/>
        <w:jc w:val="center"/>
        <w:rPr>
          <w:rFonts w:ascii="Arial" w:eastAsiaTheme="minorEastAsia" w:hAnsi="Arial" w:cs="Arial"/>
          <w:b/>
          <w:szCs w:val="22"/>
        </w:rPr>
      </w:pPr>
      <w:r>
        <w:rPr>
          <w:rFonts w:ascii="Arial" w:hAnsi="Arial"/>
          <w:b/>
        </w:rPr>
        <w:t>Groupe de travail intergouvernemental à composition non limitée</w:t>
      </w:r>
      <w:r>
        <w:rPr>
          <w:rFonts w:ascii="Arial" w:hAnsi="Arial"/>
          <w:b/>
        </w:rPr>
        <w:br/>
        <w:t>dans le cadre de la réflexion mondiale sur les mécanismes d’inscription</w:t>
      </w:r>
      <w:r w:rsidR="00EA0F18">
        <w:rPr>
          <w:rFonts w:ascii="Arial" w:hAnsi="Arial"/>
          <w:b/>
        </w:rPr>
        <w:t xml:space="preserve"> </w:t>
      </w:r>
      <w:r w:rsidR="00EA0F18">
        <w:rPr>
          <w:rFonts w:ascii="Arial" w:eastAsiaTheme="minorEastAsia" w:hAnsi="Arial" w:cs="Arial"/>
          <w:b/>
          <w:szCs w:val="22"/>
          <w:lang w:eastAsia="ko-KR"/>
        </w:rPr>
        <w:t>de la Convention de 2003</w:t>
      </w:r>
    </w:p>
    <w:p w14:paraId="7822654B" w14:textId="77777777" w:rsidR="003978E3" w:rsidRDefault="003978E3" w:rsidP="003978E3">
      <w:pPr>
        <w:spacing w:before="840" w:after="0"/>
        <w:jc w:val="center"/>
        <w:rPr>
          <w:rFonts w:ascii="Arial" w:eastAsiaTheme="minorEastAsia" w:hAnsi="Arial" w:cs="Arial"/>
          <w:b/>
          <w:szCs w:val="22"/>
        </w:rPr>
      </w:pPr>
      <w:r>
        <w:rPr>
          <w:rFonts w:ascii="Arial" w:hAnsi="Arial"/>
          <w:b/>
        </w:rPr>
        <w:t>En ligne</w:t>
      </w:r>
    </w:p>
    <w:p w14:paraId="5A94F87D" w14:textId="126725F6" w:rsidR="003978E3" w:rsidRPr="00F75CF4" w:rsidRDefault="003978E3" w:rsidP="003978E3">
      <w:pPr>
        <w:spacing w:after="0"/>
        <w:jc w:val="center"/>
        <w:rPr>
          <w:rFonts w:ascii="Arial" w:eastAsiaTheme="minorEastAsia" w:hAnsi="Arial" w:cs="Arial"/>
          <w:b/>
          <w:szCs w:val="22"/>
        </w:rPr>
      </w:pPr>
      <w:r>
        <w:rPr>
          <w:rFonts w:ascii="Arial" w:hAnsi="Arial"/>
          <w:b/>
        </w:rPr>
        <w:t>9 h 30 à 17 h 30 (heure de Paris/UTC+2)</w:t>
      </w:r>
    </w:p>
    <w:p w14:paraId="200DB232" w14:textId="1A27FD0D" w:rsidR="003978E3" w:rsidRPr="006C2A6B" w:rsidRDefault="003978E3" w:rsidP="003978E3">
      <w:pPr>
        <w:spacing w:after="0"/>
        <w:jc w:val="center"/>
        <w:rPr>
          <w:rFonts w:ascii="Arial" w:hAnsi="Arial" w:cs="Arial"/>
          <w:b/>
          <w:szCs w:val="22"/>
        </w:rPr>
      </w:pPr>
      <w:r>
        <w:rPr>
          <w:rFonts w:ascii="Arial" w:hAnsi="Arial"/>
          <w:b/>
        </w:rPr>
        <w:t>9 et 10 septembre 2021 (partie II)</w:t>
      </w:r>
    </w:p>
    <w:p w14:paraId="202C5426" w14:textId="738A69DE" w:rsidR="00CB500D" w:rsidRPr="00293C60" w:rsidRDefault="00CB500D" w:rsidP="00CB500D">
      <w:pPr>
        <w:pStyle w:val="Sansinterligne2"/>
        <w:spacing w:before="720"/>
        <w:jc w:val="center"/>
        <w:rPr>
          <w:rFonts w:ascii="Arial" w:hAnsi="Arial" w:cs="Arial"/>
          <w:b/>
          <w:sz w:val="22"/>
          <w:szCs w:val="22"/>
        </w:rPr>
      </w:pPr>
      <w:r>
        <w:rPr>
          <w:rFonts w:ascii="Arial" w:hAnsi="Arial"/>
          <w:b/>
          <w:sz w:val="22"/>
          <w:u w:val="single"/>
        </w:rPr>
        <w:t>Point 8 de l’ordre du jour</w:t>
      </w:r>
      <w:r>
        <w:rPr>
          <w:rFonts w:ascii="Arial" w:hAnsi="Arial"/>
          <w:b/>
          <w:sz w:val="22"/>
        </w:rPr>
        <w:t> :</w:t>
      </w:r>
    </w:p>
    <w:p w14:paraId="17F2895B" w14:textId="71438DAF" w:rsidR="00F15191" w:rsidRDefault="00F15191" w:rsidP="00F15191">
      <w:pPr>
        <w:pStyle w:val="Sansinterligne2"/>
        <w:spacing w:before="840" w:after="840"/>
        <w:jc w:val="center"/>
        <w:rPr>
          <w:rFonts w:ascii="Arial" w:hAnsi="Arial" w:cs="Arial"/>
          <w:b/>
          <w:sz w:val="22"/>
          <w:szCs w:val="22"/>
        </w:rPr>
      </w:pPr>
      <w:r>
        <w:rPr>
          <w:rFonts w:ascii="Arial" w:hAnsi="Arial"/>
          <w:b/>
          <w:sz w:val="22"/>
        </w:rPr>
        <w:t>Rapport au Comité intergouvernemental</w:t>
      </w:r>
    </w:p>
    <w:p w14:paraId="41D017E8" w14:textId="77777777" w:rsidR="00716E39" w:rsidRDefault="00716E39">
      <w:pPr>
        <w:spacing w:after="0"/>
        <w:rPr>
          <w:rFonts w:ascii="Arial" w:eastAsiaTheme="minorEastAsia" w:hAnsi="Arial" w:cs="Arial"/>
          <w:bCs/>
          <w:szCs w:val="22"/>
        </w:rPr>
      </w:pPr>
      <w:r>
        <w:br w:type="page"/>
      </w:r>
    </w:p>
    <w:p w14:paraId="28BBA5C9" w14:textId="2A3BD978" w:rsidR="000A7E4C" w:rsidRPr="000A7E4C" w:rsidRDefault="000A7E4C" w:rsidP="00205665">
      <w:pPr>
        <w:pStyle w:val="Sansinterligne1"/>
        <w:spacing w:before="240"/>
        <w:ind w:left="567"/>
        <w:jc w:val="both"/>
        <w:rPr>
          <w:rFonts w:ascii="Arial" w:eastAsiaTheme="minorEastAsia" w:hAnsi="Arial" w:cs="Arial"/>
          <w:b/>
        </w:rPr>
      </w:pPr>
      <w:r>
        <w:rPr>
          <w:rFonts w:ascii="Arial" w:hAnsi="Arial"/>
          <w:b/>
        </w:rPr>
        <w:lastRenderedPageBreak/>
        <w:t>Introduction</w:t>
      </w:r>
    </w:p>
    <w:p w14:paraId="3C02FF9B" w14:textId="18E7C162" w:rsidR="00851458" w:rsidRPr="002E6654" w:rsidRDefault="00F15191" w:rsidP="00205665">
      <w:pPr>
        <w:pStyle w:val="Sansinterligne1"/>
        <w:numPr>
          <w:ilvl w:val="0"/>
          <w:numId w:val="12"/>
        </w:numPr>
        <w:spacing w:before="120"/>
        <w:ind w:left="567" w:hanging="567"/>
        <w:jc w:val="both"/>
        <w:rPr>
          <w:rFonts w:ascii="Arial" w:eastAsiaTheme="minorEastAsia" w:hAnsi="Arial" w:cs="Arial"/>
          <w:bCs/>
        </w:rPr>
      </w:pPr>
      <w:r>
        <w:rPr>
          <w:rFonts w:ascii="Arial" w:hAnsi="Arial"/>
        </w:rPr>
        <w:t xml:space="preserve">Le Groupe de travail intergouvernemental à composition non limitée, qui œuvre dans le cadre de la réflexion globale sur les mécanismes d’inscription </w:t>
      </w:r>
      <w:r w:rsidR="00022D6E">
        <w:rPr>
          <w:rFonts w:ascii="Arial" w:hAnsi="Arial"/>
        </w:rPr>
        <w:t>selon</w:t>
      </w:r>
      <w:r>
        <w:rPr>
          <w:rFonts w:ascii="Arial" w:hAnsi="Arial"/>
        </w:rPr>
        <w:t xml:space="preserve"> la Convention</w:t>
      </w:r>
      <w:r w:rsidR="00022D6E">
        <w:rPr>
          <w:rFonts w:ascii="Arial" w:hAnsi="Arial"/>
        </w:rPr>
        <w:t> </w:t>
      </w:r>
      <w:r>
        <w:rPr>
          <w:rFonts w:ascii="Arial" w:hAnsi="Arial"/>
        </w:rPr>
        <w:t>2003 (ci-après dénommé le « Groupe de travail »), a été convoqué en ligne suivant deux phases : partie I les 8 et 9 juillet 2021, et partie II les</w:t>
      </w:r>
      <w:r w:rsidR="000A6F5C">
        <w:rPr>
          <w:rFonts w:ascii="Arial" w:hAnsi="Arial"/>
        </w:rPr>
        <w:t> </w:t>
      </w:r>
      <w:r>
        <w:rPr>
          <w:rFonts w:ascii="Arial" w:hAnsi="Arial"/>
        </w:rPr>
        <w:t>9 et 10</w:t>
      </w:r>
      <w:r w:rsidR="000A6F5C">
        <w:rPr>
          <w:rFonts w:ascii="Arial" w:hAnsi="Arial"/>
        </w:rPr>
        <w:t> </w:t>
      </w:r>
      <w:r>
        <w:rPr>
          <w:rFonts w:ascii="Arial" w:hAnsi="Arial"/>
        </w:rPr>
        <w:t>septembre 2021.</w:t>
      </w:r>
    </w:p>
    <w:p w14:paraId="43E241E8" w14:textId="6C59F7D7" w:rsidR="00A45966" w:rsidRPr="002E6654" w:rsidRDefault="00DA0B5C" w:rsidP="00205665">
      <w:pPr>
        <w:pStyle w:val="Sansinterligne1"/>
        <w:numPr>
          <w:ilvl w:val="0"/>
          <w:numId w:val="12"/>
        </w:numPr>
        <w:spacing w:before="120"/>
        <w:ind w:left="567" w:hanging="567"/>
        <w:jc w:val="both"/>
        <w:rPr>
          <w:rFonts w:ascii="Arial" w:eastAsiaTheme="minorEastAsia" w:hAnsi="Arial" w:cs="Arial"/>
          <w:bCs/>
        </w:rPr>
      </w:pPr>
      <w:r>
        <w:rPr>
          <w:rFonts w:ascii="Arial" w:hAnsi="Arial"/>
        </w:rPr>
        <w:t xml:space="preserve">Le Groupe de travail exprime sa gratitude au Gouvernement japonais pour le généreux soutien </w:t>
      </w:r>
      <w:r w:rsidR="00E34ADA">
        <w:rPr>
          <w:rFonts w:ascii="Arial" w:hAnsi="Arial"/>
        </w:rPr>
        <w:t xml:space="preserve">que celui-ci </w:t>
      </w:r>
      <w:r>
        <w:rPr>
          <w:rFonts w:ascii="Arial" w:hAnsi="Arial"/>
        </w:rPr>
        <w:t xml:space="preserve">a apporté lors de la réunion, </w:t>
      </w:r>
      <w:r w:rsidR="003B66C7">
        <w:rPr>
          <w:rFonts w:ascii="Arial" w:hAnsi="Arial"/>
        </w:rPr>
        <w:t xml:space="preserve">et </w:t>
      </w:r>
      <w:r>
        <w:rPr>
          <w:rFonts w:ascii="Arial" w:hAnsi="Arial"/>
        </w:rPr>
        <w:t xml:space="preserve">au moment de la phase de consultation d’experts qui </w:t>
      </w:r>
      <w:r w:rsidR="003B66C7">
        <w:rPr>
          <w:rFonts w:ascii="Arial" w:hAnsi="Arial"/>
        </w:rPr>
        <w:t>l’</w:t>
      </w:r>
      <w:r>
        <w:rPr>
          <w:rFonts w:ascii="Arial" w:hAnsi="Arial"/>
        </w:rPr>
        <w:t>a précédé</w:t>
      </w:r>
      <w:r w:rsidR="003B66C7">
        <w:rPr>
          <w:rFonts w:ascii="Arial" w:hAnsi="Arial"/>
        </w:rPr>
        <w:t>.</w:t>
      </w:r>
      <w:r>
        <w:rPr>
          <w:rFonts w:ascii="Arial" w:hAnsi="Arial"/>
        </w:rPr>
        <w:t xml:space="preserve"> Le Groupe de travail est </w:t>
      </w:r>
      <w:r w:rsidR="003B66C7">
        <w:rPr>
          <w:rFonts w:ascii="Arial" w:hAnsi="Arial"/>
        </w:rPr>
        <w:t xml:space="preserve">également </w:t>
      </w:r>
      <w:r>
        <w:rPr>
          <w:rFonts w:ascii="Arial" w:hAnsi="Arial"/>
        </w:rPr>
        <w:t>reconnaissant</w:t>
      </w:r>
      <w:r w:rsidR="003B66C7">
        <w:rPr>
          <w:rFonts w:ascii="Arial" w:hAnsi="Arial"/>
        </w:rPr>
        <w:t xml:space="preserve"> </w:t>
      </w:r>
      <w:r>
        <w:rPr>
          <w:rFonts w:ascii="Arial" w:hAnsi="Arial"/>
        </w:rPr>
        <w:t xml:space="preserve">au groupe d’experts d’avoir établi des bases solides pour </w:t>
      </w:r>
      <w:r w:rsidR="00FC5F43">
        <w:rPr>
          <w:rFonts w:ascii="Arial" w:hAnsi="Arial"/>
        </w:rPr>
        <w:t>l’avancée</w:t>
      </w:r>
      <w:r w:rsidR="00B6168E">
        <w:rPr>
          <w:rFonts w:ascii="Arial" w:hAnsi="Arial"/>
        </w:rPr>
        <w:t xml:space="preserve"> des </w:t>
      </w:r>
      <w:r>
        <w:rPr>
          <w:rFonts w:ascii="Arial" w:hAnsi="Arial"/>
        </w:rPr>
        <w:t xml:space="preserve">travaux </w:t>
      </w:r>
      <w:r w:rsidR="00D01BAA">
        <w:rPr>
          <w:rFonts w:ascii="Arial" w:hAnsi="Arial"/>
        </w:rPr>
        <w:t xml:space="preserve">via </w:t>
      </w:r>
      <w:r>
        <w:rPr>
          <w:rFonts w:ascii="Arial" w:hAnsi="Arial"/>
        </w:rPr>
        <w:t xml:space="preserve">l’enquête en ligne de mars et avril 2021, </w:t>
      </w:r>
      <w:r w:rsidR="003B66C7">
        <w:rPr>
          <w:rFonts w:ascii="Arial" w:hAnsi="Arial"/>
        </w:rPr>
        <w:t>et</w:t>
      </w:r>
      <w:r>
        <w:rPr>
          <w:rFonts w:ascii="Arial" w:hAnsi="Arial"/>
        </w:rPr>
        <w:t xml:space="preserve"> lors de la réunion de catégorie</w:t>
      </w:r>
      <w:r w:rsidR="00800B95">
        <w:rPr>
          <w:rFonts w:ascii="Arial" w:hAnsi="Arial"/>
        </w:rPr>
        <w:t> </w:t>
      </w:r>
      <w:r>
        <w:rPr>
          <w:rFonts w:ascii="Arial" w:hAnsi="Arial"/>
        </w:rPr>
        <w:t xml:space="preserve">VI en mai 2021. Il remercie également le Secrétariat d’avoir fourni l’ensemble des documents de travail </w:t>
      </w:r>
      <w:r w:rsidR="00CD007F">
        <w:rPr>
          <w:rFonts w:ascii="Arial" w:hAnsi="Arial"/>
        </w:rPr>
        <w:t>pour les délibérations du groupe de travail</w:t>
      </w:r>
      <w:r>
        <w:rPr>
          <w:rFonts w:ascii="Arial" w:hAnsi="Arial"/>
        </w:rPr>
        <w:t xml:space="preserve">. </w:t>
      </w:r>
      <w:r w:rsidR="00CD007F">
        <w:rPr>
          <w:rFonts w:ascii="Arial" w:hAnsi="Arial"/>
        </w:rPr>
        <w:t xml:space="preserve">Le </w:t>
      </w:r>
      <w:r>
        <w:rPr>
          <w:rFonts w:ascii="Arial" w:hAnsi="Arial"/>
        </w:rPr>
        <w:t xml:space="preserve">dévouement et </w:t>
      </w:r>
      <w:r w:rsidR="00CD007F">
        <w:rPr>
          <w:rFonts w:ascii="Arial" w:hAnsi="Arial"/>
        </w:rPr>
        <w:t>l’</w:t>
      </w:r>
      <w:r>
        <w:rPr>
          <w:rFonts w:ascii="Arial" w:hAnsi="Arial"/>
        </w:rPr>
        <w:t>implication</w:t>
      </w:r>
      <w:r w:rsidR="00CD007F">
        <w:rPr>
          <w:rFonts w:ascii="Arial" w:hAnsi="Arial"/>
        </w:rPr>
        <w:t xml:space="preserve"> de</w:t>
      </w:r>
      <w:r>
        <w:rPr>
          <w:rFonts w:ascii="Arial" w:hAnsi="Arial"/>
        </w:rPr>
        <w:t xml:space="preserve"> toutes les parties prenantes ont contribué à ce que ces réunions se tiennent avec succès et ce, malgré les défis posés par la pandémie en cours. Certaines réunions ont ainsi dû être reprogrammées et le format adapté de manière à </w:t>
      </w:r>
      <w:r w:rsidR="004D6F99">
        <w:rPr>
          <w:rFonts w:ascii="Arial" w:hAnsi="Arial"/>
        </w:rPr>
        <w:t xml:space="preserve">permettre l’organisation de </w:t>
      </w:r>
      <w:r>
        <w:rPr>
          <w:rFonts w:ascii="Arial" w:hAnsi="Arial"/>
        </w:rPr>
        <w:t xml:space="preserve">sessions </w:t>
      </w:r>
      <w:r w:rsidR="004D6F99">
        <w:rPr>
          <w:rFonts w:ascii="Arial" w:hAnsi="Arial"/>
        </w:rPr>
        <w:t xml:space="preserve">entièrement </w:t>
      </w:r>
      <w:r w:rsidR="00937013">
        <w:rPr>
          <w:rFonts w:ascii="Arial" w:hAnsi="Arial"/>
        </w:rPr>
        <w:t>en ligne</w:t>
      </w:r>
      <w:r>
        <w:rPr>
          <w:rFonts w:ascii="Arial" w:hAnsi="Arial"/>
        </w:rPr>
        <w:t>.</w:t>
      </w:r>
    </w:p>
    <w:p w14:paraId="33CC9A3B" w14:textId="74FF9008" w:rsidR="00F03A47" w:rsidRPr="002E6654" w:rsidRDefault="002E0B4B" w:rsidP="00205665">
      <w:pPr>
        <w:pStyle w:val="Sansinterligne1"/>
        <w:numPr>
          <w:ilvl w:val="0"/>
          <w:numId w:val="12"/>
        </w:numPr>
        <w:spacing w:before="120"/>
        <w:ind w:left="567" w:hanging="567"/>
        <w:jc w:val="both"/>
        <w:rPr>
          <w:rFonts w:ascii="Arial" w:eastAsiaTheme="minorEastAsia" w:hAnsi="Arial" w:cs="Arial"/>
          <w:bCs/>
        </w:rPr>
      </w:pPr>
      <w:r>
        <w:rPr>
          <w:rFonts w:ascii="Arial" w:hAnsi="Arial"/>
        </w:rPr>
        <w:t xml:space="preserve">Le Groupe de travail était présidé par </w:t>
      </w:r>
      <w:r w:rsidR="00937013">
        <w:rPr>
          <w:rFonts w:ascii="Arial" w:hAnsi="Arial"/>
          <w:snapToGrid w:val="0"/>
        </w:rPr>
        <w:t>S. Exc.</w:t>
      </w:r>
      <w:r>
        <w:rPr>
          <w:rFonts w:ascii="Arial" w:hAnsi="Arial"/>
          <w:snapToGrid w:val="0"/>
        </w:rPr>
        <w:t xml:space="preserve"> l’Ambassadeur du Japon M. </w:t>
      </w:r>
      <w:proofErr w:type="spellStart"/>
      <w:r>
        <w:rPr>
          <w:rFonts w:ascii="Arial" w:hAnsi="Arial"/>
          <w:snapToGrid w:val="0"/>
        </w:rPr>
        <w:t>Atsuyuki</w:t>
      </w:r>
      <w:proofErr w:type="spellEnd"/>
      <w:r>
        <w:rPr>
          <w:rFonts w:ascii="Arial" w:hAnsi="Arial"/>
          <w:snapToGrid w:val="0"/>
        </w:rPr>
        <w:t xml:space="preserve"> </w:t>
      </w:r>
      <w:proofErr w:type="spellStart"/>
      <w:r>
        <w:rPr>
          <w:rFonts w:ascii="Arial" w:hAnsi="Arial"/>
          <w:snapToGrid w:val="0"/>
        </w:rPr>
        <w:t>Oike</w:t>
      </w:r>
      <w:proofErr w:type="spellEnd"/>
      <w:r>
        <w:rPr>
          <w:rFonts w:ascii="Arial" w:hAnsi="Arial"/>
        </w:rPr>
        <w:t xml:space="preserve">, les États </w:t>
      </w:r>
      <w:r w:rsidR="00937013">
        <w:rPr>
          <w:rFonts w:ascii="Arial" w:hAnsi="Arial"/>
        </w:rPr>
        <w:t>p</w:t>
      </w:r>
      <w:r w:rsidR="00FF5EEA">
        <w:rPr>
          <w:rFonts w:ascii="Arial" w:hAnsi="Arial"/>
        </w:rPr>
        <w:t xml:space="preserve">arties </w:t>
      </w:r>
      <w:r>
        <w:rPr>
          <w:rFonts w:ascii="Arial" w:hAnsi="Arial"/>
        </w:rPr>
        <w:t>ci-après ayant agi en qualité de Vice-Présidents</w:t>
      </w:r>
      <w:r>
        <w:rPr>
          <w:rFonts w:ascii="Arial" w:hAnsi="Arial"/>
          <w:snapToGrid w:val="0"/>
        </w:rPr>
        <w:t xml:space="preserve"> et assumé </w:t>
      </w:r>
      <w:r w:rsidR="007860FB">
        <w:rPr>
          <w:rFonts w:ascii="Arial" w:hAnsi="Arial"/>
          <w:snapToGrid w:val="0"/>
        </w:rPr>
        <w:t xml:space="preserve">par ailleurs </w:t>
      </w:r>
      <w:r>
        <w:rPr>
          <w:rFonts w:ascii="Arial" w:hAnsi="Arial"/>
          <w:snapToGrid w:val="0"/>
        </w:rPr>
        <w:t>le rôle de Rapporteurs : Allemagne, Pologne, Pérou, Côte d’Ivoire et Koweït</w:t>
      </w:r>
      <w:r w:rsidR="00CD007F">
        <w:rPr>
          <w:rFonts w:ascii="Arial" w:hAnsi="Arial"/>
          <w:snapToGrid w:val="0"/>
        </w:rPr>
        <w:t xml:space="preserve">. </w:t>
      </w:r>
      <w:r w:rsidR="00CD007F" w:rsidRPr="00CD007F">
        <w:rPr>
          <w:rFonts w:ascii="Arial" w:hAnsi="Arial"/>
          <w:snapToGrid w:val="0"/>
        </w:rPr>
        <w:t>Les mêmes rôles s'appliqueront à la partie II de la réunion.</w:t>
      </w:r>
    </w:p>
    <w:p w14:paraId="43476DDD" w14:textId="0DF3C8F3" w:rsidR="000A7E4C" w:rsidRPr="000A7E4C" w:rsidRDefault="000A7E4C" w:rsidP="00205665">
      <w:pPr>
        <w:pStyle w:val="Sansinterligne1"/>
        <w:spacing w:before="240"/>
        <w:ind w:left="567"/>
        <w:jc w:val="both"/>
        <w:rPr>
          <w:rFonts w:ascii="Arial" w:eastAsiaTheme="minorEastAsia" w:hAnsi="Arial" w:cs="Arial"/>
          <w:b/>
        </w:rPr>
      </w:pPr>
      <w:r>
        <w:rPr>
          <w:rFonts w:ascii="Arial" w:hAnsi="Arial"/>
          <w:b/>
        </w:rPr>
        <w:t xml:space="preserve">Rapport </w:t>
      </w:r>
      <w:r w:rsidR="00FF5EEA" w:rsidRPr="00FF5EEA">
        <w:rPr>
          <w:rFonts w:ascii="Arial" w:hAnsi="Arial"/>
          <w:b/>
        </w:rPr>
        <w:t>à la seizième session du comité</w:t>
      </w:r>
    </w:p>
    <w:p w14:paraId="6F630F49" w14:textId="020A34CC" w:rsidR="00DA0B5C" w:rsidRDefault="00F03A47" w:rsidP="00205665">
      <w:pPr>
        <w:pStyle w:val="Sansinterligne1"/>
        <w:numPr>
          <w:ilvl w:val="0"/>
          <w:numId w:val="12"/>
        </w:numPr>
        <w:spacing w:before="120"/>
        <w:ind w:left="567" w:hanging="567"/>
        <w:jc w:val="both"/>
        <w:rPr>
          <w:rFonts w:ascii="Arial" w:eastAsiaTheme="minorEastAsia" w:hAnsi="Arial" w:cs="Arial"/>
          <w:bCs/>
        </w:rPr>
      </w:pPr>
      <w:r>
        <w:rPr>
          <w:rFonts w:ascii="Arial" w:hAnsi="Arial"/>
        </w:rPr>
        <w:t xml:space="preserve">Le groupe de travail présentera </w:t>
      </w:r>
      <w:r w:rsidRPr="00CD007F">
        <w:rPr>
          <w:rFonts w:ascii="Arial" w:hAnsi="Arial"/>
        </w:rPr>
        <w:t>le</w:t>
      </w:r>
      <w:r w:rsidR="00CD007F" w:rsidRPr="00CD007F">
        <w:rPr>
          <w:rFonts w:ascii="Arial" w:hAnsi="Arial"/>
        </w:rPr>
        <w:t>s</w:t>
      </w:r>
      <w:r w:rsidRPr="00CD007F">
        <w:rPr>
          <w:rFonts w:ascii="Arial" w:hAnsi="Arial"/>
        </w:rPr>
        <w:t xml:space="preserve"> </w:t>
      </w:r>
      <w:r w:rsidR="00CD007F" w:rsidRPr="00CD007F">
        <w:rPr>
          <w:rFonts w:ascii="Arial" w:hAnsi="Arial"/>
        </w:rPr>
        <w:t>comptes rendus et</w:t>
      </w:r>
      <w:r w:rsidR="00CD007F">
        <w:rPr>
          <w:rFonts w:ascii="Arial" w:hAnsi="Arial"/>
        </w:rPr>
        <w:t xml:space="preserve"> les </w:t>
      </w:r>
      <w:r>
        <w:rPr>
          <w:rFonts w:ascii="Arial" w:hAnsi="Arial"/>
        </w:rPr>
        <w:t>résultats des délibérations</w:t>
      </w:r>
      <w:r w:rsidR="00CD007F">
        <w:rPr>
          <w:rFonts w:ascii="Arial" w:hAnsi="Arial"/>
        </w:rPr>
        <w:t>,</w:t>
      </w:r>
      <w:r>
        <w:rPr>
          <w:rFonts w:ascii="Arial" w:hAnsi="Arial"/>
        </w:rPr>
        <w:t xml:space="preserve"> relatives aux débats tenus lors des parties I et II de la réunion [voir le projet de recommandations en page 3 du présent document]</w:t>
      </w:r>
      <w:r w:rsidR="00CD007F">
        <w:rPr>
          <w:rFonts w:ascii="Arial" w:hAnsi="Arial"/>
        </w:rPr>
        <w:t xml:space="preserve"> </w:t>
      </w:r>
      <w:r>
        <w:rPr>
          <w:rFonts w:ascii="Arial" w:hAnsi="Arial"/>
        </w:rPr>
        <w:t>lors de la seizième session du Comité qui se tiendra à Colombo, au Sri Lanka, du 13 au 18</w:t>
      </w:r>
      <w:r w:rsidR="00B177A0">
        <w:rPr>
          <w:rFonts w:ascii="Arial" w:hAnsi="Arial"/>
        </w:rPr>
        <w:t> </w:t>
      </w:r>
      <w:r>
        <w:rPr>
          <w:rFonts w:ascii="Arial" w:hAnsi="Arial"/>
        </w:rPr>
        <w:t>décembre 2021.</w:t>
      </w:r>
    </w:p>
    <w:p w14:paraId="6859BBC7" w14:textId="0663D9A8" w:rsidR="00D66C96" w:rsidRPr="002361B7" w:rsidRDefault="00CD007F" w:rsidP="00205665">
      <w:pPr>
        <w:pStyle w:val="Sansinterligne1"/>
        <w:numPr>
          <w:ilvl w:val="0"/>
          <w:numId w:val="12"/>
        </w:numPr>
        <w:spacing w:before="120"/>
        <w:ind w:left="567" w:hanging="567"/>
        <w:jc w:val="both"/>
        <w:rPr>
          <w:rFonts w:ascii="Arial" w:eastAsiaTheme="minorEastAsia" w:hAnsi="Arial" w:cs="Arial"/>
          <w:bCs/>
          <w:snapToGrid w:val="0"/>
        </w:rPr>
      </w:pPr>
      <w:r>
        <w:rPr>
          <w:rFonts w:ascii="Arial" w:hAnsi="Arial"/>
          <w:snapToGrid w:val="0"/>
        </w:rPr>
        <w:t>Le</w:t>
      </w:r>
      <w:r w:rsidR="00582A6E">
        <w:rPr>
          <w:rFonts w:ascii="Arial" w:hAnsi="Arial"/>
          <w:snapToGrid w:val="0"/>
        </w:rPr>
        <w:t xml:space="preserve"> Groupe de travail </w:t>
      </w:r>
      <w:r w:rsidR="00FD0D30">
        <w:rPr>
          <w:rFonts w:ascii="Arial" w:hAnsi="Arial"/>
          <w:snapToGrid w:val="0"/>
        </w:rPr>
        <w:t>invite le</w:t>
      </w:r>
      <w:r w:rsidR="00582A6E">
        <w:rPr>
          <w:rFonts w:ascii="Arial" w:hAnsi="Arial"/>
          <w:snapToGrid w:val="0"/>
        </w:rPr>
        <w:t xml:space="preserve"> Secrétariat </w:t>
      </w:r>
      <w:r w:rsidR="00FD0D30">
        <w:rPr>
          <w:rFonts w:ascii="Arial" w:hAnsi="Arial"/>
          <w:snapToGrid w:val="0"/>
        </w:rPr>
        <w:t xml:space="preserve">à élaborer </w:t>
      </w:r>
      <w:r w:rsidR="00582A6E">
        <w:rPr>
          <w:rFonts w:ascii="Arial" w:hAnsi="Arial"/>
          <w:snapToGrid w:val="0"/>
        </w:rPr>
        <w:t xml:space="preserve">une série </w:t>
      </w:r>
      <w:r w:rsidR="00C647E8">
        <w:rPr>
          <w:rFonts w:ascii="Arial" w:hAnsi="Arial"/>
          <w:snapToGrid w:val="0"/>
        </w:rPr>
        <w:t xml:space="preserve">de projets </w:t>
      </w:r>
      <w:r w:rsidR="00582A6E">
        <w:rPr>
          <w:rFonts w:ascii="Arial" w:hAnsi="Arial"/>
        </w:rPr>
        <w:t>d’amendement</w:t>
      </w:r>
      <w:r w:rsidR="00582A6E">
        <w:rPr>
          <w:rFonts w:ascii="Arial" w:hAnsi="Arial"/>
          <w:snapToGrid w:val="0"/>
        </w:rPr>
        <w:t xml:space="preserve"> des Directives opérationnelles sur la base des recommandations émises par le Groupe de travail, en vue de leur examen lors de la seizième session du Comité.</w:t>
      </w:r>
    </w:p>
    <w:p w14:paraId="4469C727" w14:textId="310B3F46" w:rsidR="00D66C96" w:rsidRPr="00D66C96" w:rsidRDefault="00D66C96" w:rsidP="00205665">
      <w:pPr>
        <w:pStyle w:val="Sansinterligne1"/>
        <w:spacing w:before="240"/>
        <w:ind w:left="567"/>
        <w:jc w:val="both"/>
        <w:rPr>
          <w:rFonts w:ascii="Arial" w:eastAsiaTheme="minorEastAsia" w:hAnsi="Arial" w:cs="Arial"/>
          <w:b/>
        </w:rPr>
      </w:pPr>
      <w:proofErr w:type="gramStart"/>
      <w:r>
        <w:rPr>
          <w:rFonts w:ascii="Arial" w:hAnsi="Arial"/>
          <w:b/>
        </w:rPr>
        <w:t>Perspectives futures</w:t>
      </w:r>
      <w:proofErr w:type="gramEnd"/>
    </w:p>
    <w:p w14:paraId="6166F598" w14:textId="0B458C54" w:rsidR="00C54870" w:rsidRDefault="008C791A" w:rsidP="00205665">
      <w:pPr>
        <w:pStyle w:val="Sansinterligne1"/>
        <w:numPr>
          <w:ilvl w:val="0"/>
          <w:numId w:val="12"/>
        </w:numPr>
        <w:spacing w:before="120"/>
        <w:ind w:left="567" w:hanging="567"/>
        <w:jc w:val="both"/>
        <w:rPr>
          <w:rFonts w:ascii="Arial" w:eastAsiaTheme="minorEastAsia" w:hAnsi="Arial" w:cs="Arial"/>
          <w:bCs/>
          <w:snapToGrid w:val="0"/>
        </w:rPr>
      </w:pPr>
      <w:r>
        <w:rPr>
          <w:rFonts w:ascii="Arial" w:hAnsi="Arial"/>
          <w:snapToGrid w:val="0"/>
        </w:rPr>
        <w:t xml:space="preserve">Selon l’assentiment du Comité, les amendements pourront être présentés en vue d’un examen et d’une adoption éventuelle lors de la neuvième session de l’Assemblée générale, à la mi-2022. Les recommandations </w:t>
      </w:r>
      <w:r>
        <w:rPr>
          <w:rFonts w:ascii="Arial" w:hAnsi="Arial"/>
        </w:rPr>
        <w:t>du</w:t>
      </w:r>
      <w:r>
        <w:rPr>
          <w:rFonts w:ascii="Arial" w:hAnsi="Arial"/>
          <w:snapToGrid w:val="0"/>
        </w:rPr>
        <w:t xml:space="preserve"> Groupe de travail pourraient également déboucher sur des propositions d’amendement du Règlement intérieur du Comité intergouvernemental, ainsi </w:t>
      </w:r>
      <w:r w:rsidR="009278E4">
        <w:rPr>
          <w:rFonts w:ascii="Arial" w:hAnsi="Arial"/>
          <w:snapToGrid w:val="0"/>
        </w:rPr>
        <w:t xml:space="preserve">que sur </w:t>
      </w:r>
      <w:r>
        <w:rPr>
          <w:rFonts w:ascii="Arial" w:hAnsi="Arial"/>
          <w:snapToGrid w:val="0"/>
        </w:rPr>
        <w:t xml:space="preserve">une révision des formulaires de </w:t>
      </w:r>
      <w:r w:rsidR="004725C8">
        <w:rPr>
          <w:rFonts w:ascii="Arial" w:hAnsi="Arial"/>
          <w:snapToGrid w:val="0"/>
        </w:rPr>
        <w:t>candidature</w:t>
      </w:r>
      <w:r>
        <w:rPr>
          <w:rFonts w:ascii="Arial" w:hAnsi="Arial"/>
          <w:snapToGrid w:val="0"/>
        </w:rPr>
        <w:t>.</w:t>
      </w:r>
    </w:p>
    <w:p w14:paraId="48F3D17C" w14:textId="5AF2CA26" w:rsidR="003E1013" w:rsidRPr="00BC4F2E" w:rsidRDefault="00CD007F">
      <w:pPr>
        <w:pStyle w:val="Sansinterligne1"/>
        <w:numPr>
          <w:ilvl w:val="0"/>
          <w:numId w:val="12"/>
        </w:numPr>
        <w:spacing w:before="120"/>
        <w:ind w:left="567" w:hanging="567"/>
        <w:jc w:val="both"/>
        <w:rPr>
          <w:rFonts w:ascii="Arial" w:eastAsiaTheme="minorEastAsia" w:hAnsi="Arial" w:cs="Arial"/>
          <w:bCs/>
          <w:snapToGrid w:val="0"/>
        </w:rPr>
      </w:pPr>
      <w:r>
        <w:rPr>
          <w:rFonts w:ascii="Arial" w:hAnsi="Arial"/>
          <w:snapToGrid w:val="0"/>
        </w:rPr>
        <w:t>Selon</w:t>
      </w:r>
      <w:r w:rsidR="00A225CF">
        <w:rPr>
          <w:rFonts w:ascii="Arial" w:hAnsi="Arial"/>
          <w:snapToGrid w:val="0"/>
        </w:rPr>
        <w:t xml:space="preserve"> les résultats de la partie II de la réunion, et compte tenu du nombre et de la complexité des questions restant à débattre, le Groupe de travail est susceptible d’envisager la tenue d’une nouvelle réunion en </w:t>
      </w:r>
      <w:r w:rsidR="00937013">
        <w:rPr>
          <w:rFonts w:ascii="Arial" w:hAnsi="Arial"/>
          <w:snapToGrid w:val="0"/>
        </w:rPr>
        <w:t>ligne</w:t>
      </w:r>
      <w:r w:rsidR="00A225CF">
        <w:rPr>
          <w:rFonts w:ascii="Arial" w:hAnsi="Arial"/>
          <w:snapToGrid w:val="0"/>
        </w:rPr>
        <w:t xml:space="preserve">. Étant donné le calendrier fixé pour la 212e session du Conseil exécutif et la 41e session de la Conférence générale, les possibilités d’organiser une telle réunion avant la seizième session du Comité </w:t>
      </w:r>
      <w:r w:rsidR="00A1622C">
        <w:rPr>
          <w:rFonts w:ascii="Arial" w:hAnsi="Arial"/>
          <w:snapToGrid w:val="0"/>
        </w:rPr>
        <w:t>s’</w:t>
      </w:r>
      <w:r w:rsidR="004725C8">
        <w:rPr>
          <w:rFonts w:ascii="Arial" w:hAnsi="Arial"/>
          <w:snapToGrid w:val="0"/>
        </w:rPr>
        <w:t>a</w:t>
      </w:r>
      <w:r w:rsidR="00A1622C">
        <w:rPr>
          <w:rFonts w:ascii="Arial" w:hAnsi="Arial"/>
          <w:snapToGrid w:val="0"/>
        </w:rPr>
        <w:t xml:space="preserve">vèrent </w:t>
      </w:r>
      <w:r w:rsidR="00A225CF">
        <w:rPr>
          <w:rFonts w:ascii="Arial" w:hAnsi="Arial"/>
          <w:snapToGrid w:val="0"/>
        </w:rPr>
        <w:t xml:space="preserve">très limitées. Dans le cas où le Groupe de travail souhaiterait se réunir à nouveau, une rencontre pourrait être prévue au premier semestre 2022. Si tel est le souhait exprimé conjointement par le Groupe de travail et le Comité intergouvernemental lors de sa seizième session, les autres recommandations et propositions correspondantes de révision des directives opérationnelles formulées </w:t>
      </w:r>
      <w:r w:rsidR="00A225CF">
        <w:rPr>
          <w:rFonts w:ascii="Arial" w:hAnsi="Arial"/>
          <w:snapToGrid w:val="0"/>
        </w:rPr>
        <w:lastRenderedPageBreak/>
        <w:t xml:space="preserve">après ladite session pourraient, </w:t>
      </w:r>
      <w:r w:rsidR="008166C1">
        <w:rPr>
          <w:rFonts w:ascii="Arial" w:hAnsi="Arial"/>
          <w:snapToGrid w:val="0"/>
        </w:rPr>
        <w:t>au choix </w:t>
      </w:r>
      <w:r w:rsidR="00A225CF">
        <w:rPr>
          <w:rFonts w:ascii="Arial" w:hAnsi="Arial"/>
          <w:snapToGrid w:val="0"/>
        </w:rPr>
        <w:t>: (a) être adressées par voie électronique aux membres du Comité aux fins d’approbation de transmission à l’Assemblée générale</w:t>
      </w:r>
      <w:r w:rsidR="00FA2DE9">
        <w:rPr>
          <w:rFonts w:ascii="Arial" w:hAnsi="Arial"/>
          <w:snapToGrid w:val="0"/>
        </w:rPr>
        <w:t xml:space="preserve">, </w:t>
      </w:r>
      <w:r w:rsidR="00A225CF">
        <w:rPr>
          <w:rFonts w:ascii="Arial" w:hAnsi="Arial"/>
          <w:snapToGrid w:val="0"/>
        </w:rPr>
        <w:t xml:space="preserve"> </w:t>
      </w:r>
      <w:r w:rsidR="008166C1">
        <w:rPr>
          <w:rFonts w:ascii="Arial" w:hAnsi="Arial"/>
          <w:snapToGrid w:val="0"/>
        </w:rPr>
        <w:t>sinon</w:t>
      </w:r>
      <w:r w:rsidR="00A225CF">
        <w:rPr>
          <w:rFonts w:ascii="Arial" w:hAnsi="Arial"/>
          <w:snapToGrid w:val="0"/>
        </w:rPr>
        <w:t xml:space="preserve"> (b) </w:t>
      </w:r>
      <w:r w:rsidR="00FA2DE9" w:rsidRPr="00FA2DE9">
        <w:rPr>
          <w:rFonts w:ascii="Arial" w:hAnsi="Arial"/>
          <w:snapToGrid w:val="0"/>
        </w:rPr>
        <w:t>être présenté lors</w:t>
      </w:r>
      <w:r w:rsidR="00FA2DE9">
        <w:rPr>
          <w:rFonts w:ascii="Arial" w:hAnsi="Arial"/>
          <w:snapToGrid w:val="0"/>
        </w:rPr>
        <w:t xml:space="preserve"> d’</w:t>
      </w:r>
      <w:r w:rsidR="00A225CF">
        <w:rPr>
          <w:rFonts w:ascii="Arial" w:hAnsi="Arial"/>
          <w:snapToGrid w:val="0"/>
        </w:rPr>
        <w:t xml:space="preserve">une session extraordinaire du Comité intergouvernemental avant la neuvième session de l’Assemblée générale </w:t>
      </w:r>
      <w:r w:rsidR="008166C1">
        <w:rPr>
          <w:rFonts w:ascii="Arial" w:hAnsi="Arial"/>
          <w:snapToGrid w:val="0"/>
        </w:rPr>
        <w:t xml:space="preserve">en </w:t>
      </w:r>
      <w:r w:rsidR="00A225CF">
        <w:rPr>
          <w:rFonts w:ascii="Arial" w:hAnsi="Arial"/>
          <w:snapToGrid w:val="0"/>
        </w:rPr>
        <w:t xml:space="preserve">2022, </w:t>
      </w:r>
      <w:r w:rsidR="00AF56B3">
        <w:rPr>
          <w:rFonts w:ascii="Arial" w:hAnsi="Arial"/>
          <w:snapToGrid w:val="0"/>
        </w:rPr>
        <w:t xml:space="preserve">de sorte </w:t>
      </w:r>
      <w:r w:rsidR="00A225CF">
        <w:rPr>
          <w:rFonts w:ascii="Arial" w:hAnsi="Arial"/>
          <w:snapToGrid w:val="0"/>
        </w:rPr>
        <w:t>que cette dernière puisse prendre connaissance des éventuelles révisions des Directives opérationnelles. Ce</w:t>
      </w:r>
      <w:r w:rsidR="00EE181A">
        <w:rPr>
          <w:rFonts w:ascii="Arial" w:hAnsi="Arial"/>
          <w:snapToGrid w:val="0"/>
        </w:rPr>
        <w:t xml:space="preserve">tte décision </w:t>
      </w:r>
      <w:r w:rsidR="00A225CF">
        <w:rPr>
          <w:rFonts w:ascii="Arial" w:hAnsi="Arial"/>
          <w:snapToGrid w:val="0"/>
        </w:rPr>
        <w:t xml:space="preserve">devrait être </w:t>
      </w:r>
      <w:r w:rsidR="00EE181A">
        <w:rPr>
          <w:rFonts w:ascii="Arial" w:hAnsi="Arial"/>
          <w:snapToGrid w:val="0"/>
        </w:rPr>
        <w:t xml:space="preserve">tranchée </w:t>
      </w:r>
      <w:r w:rsidR="00A225CF">
        <w:rPr>
          <w:rFonts w:ascii="Arial" w:hAnsi="Arial"/>
          <w:snapToGrid w:val="0"/>
        </w:rPr>
        <w:t>par le Comité lors de sa seizième session, en décembre 2021.</w:t>
      </w:r>
    </w:p>
    <w:p w14:paraId="6AB23417" w14:textId="2F4207DF" w:rsidR="003E1013" w:rsidRPr="00D20B08" w:rsidRDefault="003E1013" w:rsidP="00BC4F2E">
      <w:pPr>
        <w:pStyle w:val="Sansinterligne1"/>
        <w:numPr>
          <w:ilvl w:val="0"/>
          <w:numId w:val="12"/>
        </w:numPr>
        <w:spacing w:before="120" w:after="360"/>
        <w:ind w:left="567" w:hanging="567"/>
        <w:jc w:val="both"/>
        <w:rPr>
          <w:rFonts w:ascii="Arial" w:eastAsiaTheme="minorEastAsia" w:hAnsi="Arial" w:cs="Arial"/>
          <w:bCs/>
          <w:snapToGrid w:val="0"/>
        </w:rPr>
      </w:pPr>
      <w:r>
        <w:rPr>
          <w:rFonts w:ascii="Arial" w:hAnsi="Arial"/>
          <w:snapToGrid w:val="0"/>
        </w:rPr>
        <w:t>Sur la base de</w:t>
      </w:r>
      <w:r w:rsidR="009603E4">
        <w:rPr>
          <w:rFonts w:ascii="Arial" w:hAnsi="Arial"/>
          <w:snapToGrid w:val="0"/>
        </w:rPr>
        <w:t>s</w:t>
      </w:r>
      <w:r>
        <w:rPr>
          <w:rFonts w:ascii="Arial" w:hAnsi="Arial"/>
          <w:snapToGrid w:val="0"/>
        </w:rPr>
        <w:t xml:space="preserve"> débats</w:t>
      </w:r>
      <w:r w:rsidR="009603E4">
        <w:rPr>
          <w:rFonts w:ascii="Arial" w:hAnsi="Arial"/>
          <w:snapToGrid w:val="0"/>
        </w:rPr>
        <w:t xml:space="preserve"> engagés</w:t>
      </w:r>
      <w:r>
        <w:rPr>
          <w:rFonts w:ascii="Arial" w:hAnsi="Arial"/>
          <w:snapToGrid w:val="0"/>
        </w:rPr>
        <w:t xml:space="preserve">, le Groupe de travail adoptera les recommandations évoquées lors de sa réunion. Au cours de la session, les projets de recommandations ci-après seront </w:t>
      </w:r>
      <w:r w:rsidR="004725C8">
        <w:rPr>
          <w:rFonts w:ascii="Arial" w:hAnsi="Arial"/>
          <w:snapToGrid w:val="0"/>
        </w:rPr>
        <w:t>révisés</w:t>
      </w:r>
      <w:r>
        <w:rPr>
          <w:rFonts w:ascii="Arial" w:hAnsi="Arial"/>
          <w:snapToGrid w:val="0"/>
        </w:rPr>
        <w:t> :</w:t>
      </w:r>
    </w:p>
    <w:p w14:paraId="64BAFD31" w14:textId="6D21AEBA" w:rsidR="00EC73AA" w:rsidRPr="00B3196D" w:rsidRDefault="00710F2B" w:rsidP="00BC4F2E">
      <w:pPr>
        <w:pStyle w:val="Sansinterligne1"/>
        <w:spacing w:before="360" w:after="360"/>
        <w:jc w:val="center"/>
        <w:rPr>
          <w:rFonts w:ascii="Arial" w:eastAsiaTheme="minorEastAsia" w:hAnsi="Arial" w:cs="Arial"/>
          <w:b/>
          <w:sz w:val="22"/>
          <w:szCs w:val="22"/>
        </w:rPr>
      </w:pPr>
      <w:r>
        <w:rPr>
          <w:rFonts w:ascii="Arial" w:hAnsi="Arial"/>
          <w:b/>
          <w:sz w:val="22"/>
        </w:rPr>
        <w:t>[</w:t>
      </w:r>
      <w:r>
        <w:rPr>
          <w:rFonts w:ascii="Arial" w:hAnsi="Arial"/>
          <w:b/>
          <w:sz w:val="22"/>
          <w:highlight w:val="yellow"/>
        </w:rPr>
        <w:t>Projet de</w:t>
      </w:r>
      <w:r>
        <w:rPr>
          <w:rFonts w:ascii="Arial" w:hAnsi="Arial"/>
          <w:b/>
          <w:sz w:val="22"/>
        </w:rPr>
        <w:t>] recommandations du Groupe de travail intergouvernemental</w:t>
      </w:r>
      <w:r w:rsidR="001D383E">
        <w:rPr>
          <w:rFonts w:ascii="Arial" w:hAnsi="Arial"/>
          <w:b/>
          <w:sz w:val="22"/>
        </w:rPr>
        <w:br/>
      </w:r>
      <w:r>
        <w:rPr>
          <w:rFonts w:ascii="Arial" w:hAnsi="Arial"/>
          <w:b/>
          <w:sz w:val="22"/>
        </w:rPr>
        <w:t>à composition non limitée</w:t>
      </w:r>
    </w:p>
    <w:p w14:paraId="5B152C50" w14:textId="755A7AC0" w:rsidR="00EC73AA" w:rsidRDefault="00EC73AA" w:rsidP="00EC73AA">
      <w:pPr>
        <w:numPr>
          <w:ilvl w:val="0"/>
          <w:numId w:val="13"/>
        </w:numPr>
        <w:ind w:left="567" w:hanging="567"/>
        <w:jc w:val="both"/>
        <w:rPr>
          <w:rFonts w:ascii="Arial" w:hAnsi="Arial" w:cs="Arial"/>
          <w:snapToGrid w:val="0"/>
          <w:szCs w:val="22"/>
        </w:rPr>
      </w:pPr>
      <w:r>
        <w:rPr>
          <w:rFonts w:ascii="Arial" w:hAnsi="Arial"/>
          <w:snapToGrid w:val="0"/>
        </w:rPr>
        <w:t>L</w:t>
      </w:r>
      <w:r w:rsidR="00C76CC8">
        <w:rPr>
          <w:rFonts w:ascii="Arial" w:hAnsi="Arial"/>
          <w:snapToGrid w:val="0"/>
        </w:rPr>
        <w:t xml:space="preserve">e </w:t>
      </w:r>
      <w:r w:rsidR="00C76CC8" w:rsidRPr="00B1623B">
        <w:rPr>
          <w:rFonts w:asciiTheme="minorBidi" w:hAnsiTheme="minorBidi"/>
          <w:snapToGrid w:val="0"/>
          <w:szCs w:val="22"/>
        </w:rPr>
        <w:t>groupe de travail affirme que la réforme devrait s’efforcer de placer les communautés, les groupes et, le cas échéant, les individus au centre des efforts de sauvegarde et rechercher leur participation plus large et plus active à toutes les étapes des mécanismes relatifs aux listes</w:t>
      </w:r>
      <w:r w:rsidR="00BC455B">
        <w:rPr>
          <w:rFonts w:asciiTheme="minorBidi" w:hAnsiTheme="minorBidi"/>
          <w:snapToGrid w:val="0"/>
          <w:szCs w:val="22"/>
        </w:rPr>
        <w:t xml:space="preserve"> </w:t>
      </w:r>
      <w:r>
        <w:rPr>
          <w:rFonts w:ascii="Arial" w:hAnsi="Arial"/>
          <w:snapToGrid w:val="0"/>
        </w:rPr>
        <w:t>[</w:t>
      </w:r>
      <w:r>
        <w:rPr>
          <w:rFonts w:ascii="Arial" w:hAnsi="Arial"/>
          <w:snapToGrid w:val="0"/>
          <w:highlight w:val="cyan"/>
        </w:rPr>
        <w:t>résolution adoptée par la partie I</w:t>
      </w:r>
      <w:r>
        <w:rPr>
          <w:rFonts w:ascii="Arial" w:hAnsi="Arial"/>
          <w:snapToGrid w:val="0"/>
        </w:rPr>
        <w:t>].</w:t>
      </w:r>
    </w:p>
    <w:p w14:paraId="5651DF7D" w14:textId="77777777" w:rsidR="00EC73AA" w:rsidRDefault="00EC73AA" w:rsidP="001B2263">
      <w:pPr>
        <w:spacing w:before="240"/>
        <w:jc w:val="both"/>
        <w:rPr>
          <w:rFonts w:ascii="Arial" w:hAnsi="Arial" w:cs="Arial"/>
          <w:snapToGrid w:val="0"/>
          <w:szCs w:val="22"/>
          <w:u w:val="single"/>
        </w:rPr>
      </w:pPr>
      <w:r>
        <w:rPr>
          <w:rFonts w:ascii="Arial" w:hAnsi="Arial"/>
          <w:snapToGrid w:val="0"/>
          <w:u w:val="single"/>
        </w:rPr>
        <w:t>Questions relatives aux critères d’inscription</w:t>
      </w:r>
    </w:p>
    <w:p w14:paraId="1DF7A3DE" w14:textId="01426567" w:rsidR="00EC73AA" w:rsidRPr="000037B0" w:rsidRDefault="00EC73AA" w:rsidP="00EC73AA">
      <w:pPr>
        <w:numPr>
          <w:ilvl w:val="0"/>
          <w:numId w:val="13"/>
        </w:numPr>
        <w:ind w:left="567" w:hanging="567"/>
        <w:jc w:val="both"/>
        <w:rPr>
          <w:rFonts w:ascii="Arial" w:hAnsi="Arial" w:cs="Arial"/>
          <w:szCs w:val="22"/>
        </w:rPr>
      </w:pPr>
      <w:r>
        <w:rPr>
          <w:rFonts w:ascii="Arial" w:hAnsi="Arial"/>
          <w:snapToGrid w:val="0"/>
        </w:rPr>
        <w:t xml:space="preserve">Tous les critères dérivés de la Liste représentative du patrimoine culturel immatériel de l’humanité (ci-après la « Liste représentative »), </w:t>
      </w:r>
      <w:r w:rsidR="00624572">
        <w:rPr>
          <w:rFonts w:ascii="Arial" w:hAnsi="Arial"/>
          <w:snapToGrid w:val="0"/>
        </w:rPr>
        <w:t>et</w:t>
      </w:r>
      <w:r>
        <w:rPr>
          <w:rFonts w:ascii="Arial" w:hAnsi="Arial"/>
          <w:snapToGrid w:val="0"/>
        </w:rPr>
        <w:t xml:space="preserve"> de la Liste du patrimoine culturel immatériel nécessitant une sauvegarde urgente (ci-après la « Liste de sauvegarde </w:t>
      </w:r>
      <w:r w:rsidR="004725C8">
        <w:rPr>
          <w:rFonts w:ascii="Arial" w:hAnsi="Arial"/>
          <w:snapToGrid w:val="0"/>
        </w:rPr>
        <w:t>urgente </w:t>
      </w:r>
      <w:r>
        <w:rPr>
          <w:rFonts w:ascii="Arial" w:hAnsi="Arial"/>
          <w:snapToGrid w:val="0"/>
        </w:rPr>
        <w:t>»)</w:t>
      </w:r>
      <w:r w:rsidR="00624572" w:rsidRPr="00624572">
        <w:rPr>
          <w:rFonts w:asciiTheme="minorBidi" w:hAnsiTheme="minorBidi"/>
          <w:snapToGrid w:val="0"/>
          <w:szCs w:val="22"/>
        </w:rPr>
        <w:t xml:space="preserve"> </w:t>
      </w:r>
      <w:r w:rsidR="00624572" w:rsidRPr="00B1623B">
        <w:rPr>
          <w:rFonts w:asciiTheme="minorBidi" w:hAnsiTheme="minorBidi"/>
          <w:snapToGrid w:val="0"/>
          <w:szCs w:val="22"/>
        </w:rPr>
        <w:t>tout en considérant les propositions spécifiques suivantes</w:t>
      </w:r>
      <w:r w:rsidR="00624572">
        <w:rPr>
          <w:rFonts w:asciiTheme="minorBidi" w:hAnsiTheme="minorBidi"/>
          <w:snapToGrid w:val="0"/>
          <w:szCs w:val="22"/>
        </w:rPr>
        <w:t> </w:t>
      </w:r>
      <w:r w:rsidR="00624572" w:rsidRPr="00B1623B">
        <w:rPr>
          <w:rFonts w:asciiTheme="minorBidi" w:hAnsiTheme="minorBidi"/>
          <w:snapToGrid w:val="0"/>
          <w:szCs w:val="22"/>
        </w:rPr>
        <w:t>:</w:t>
      </w:r>
      <w:r w:rsidR="00624572" w:rsidDel="00624572">
        <w:rPr>
          <w:rFonts w:ascii="Arial" w:hAnsi="Arial"/>
          <w:snapToGrid w:val="0"/>
        </w:rPr>
        <w:t xml:space="preserve"> </w:t>
      </w:r>
      <w:r>
        <w:rPr>
          <w:rFonts w:ascii="Arial" w:hAnsi="Arial"/>
          <w:snapToGrid w:val="0"/>
        </w:rPr>
        <w:t>[</w:t>
      </w:r>
      <w:r>
        <w:rPr>
          <w:rFonts w:ascii="Arial" w:hAnsi="Arial"/>
          <w:snapToGrid w:val="0"/>
          <w:highlight w:val="cyan"/>
        </w:rPr>
        <w:t>résolution adoptée par la partie I</w:t>
      </w:r>
      <w:r>
        <w:rPr>
          <w:rFonts w:ascii="Arial" w:hAnsi="Arial"/>
          <w:snapToGrid w:val="0"/>
        </w:rPr>
        <w:t>]</w:t>
      </w:r>
    </w:p>
    <w:p w14:paraId="40562CE0" w14:textId="7D7F115D" w:rsidR="00EC73AA" w:rsidRPr="000037B0" w:rsidRDefault="009B4832" w:rsidP="00BC4F2E">
      <w:pPr>
        <w:numPr>
          <w:ilvl w:val="1"/>
          <w:numId w:val="14"/>
        </w:numPr>
        <w:ind w:left="851" w:hanging="284"/>
        <w:jc w:val="both"/>
        <w:rPr>
          <w:rFonts w:ascii="Arial" w:hAnsi="Arial" w:cs="Arial"/>
          <w:i/>
          <w:iCs/>
          <w:szCs w:val="22"/>
        </w:rPr>
      </w:pPr>
      <w:r>
        <w:rPr>
          <w:rFonts w:ascii="Arial" w:hAnsi="Arial"/>
          <w:i/>
        </w:rPr>
        <w:t xml:space="preserve"> </w:t>
      </w:r>
      <w:r w:rsidR="00EC73AA">
        <w:rPr>
          <w:rFonts w:ascii="Arial" w:hAnsi="Arial"/>
          <w:i/>
        </w:rPr>
        <w:t xml:space="preserve">Le critère R.1/U.1 ou le formulaire de </w:t>
      </w:r>
      <w:r w:rsidR="004725C8">
        <w:rPr>
          <w:rFonts w:ascii="Arial" w:hAnsi="Arial"/>
          <w:i/>
        </w:rPr>
        <w:t>candidature</w:t>
      </w:r>
      <w:r w:rsidR="00EC73AA">
        <w:rPr>
          <w:rFonts w:ascii="Arial" w:hAnsi="Arial"/>
          <w:i/>
        </w:rPr>
        <w:t xml:space="preserve"> </w:t>
      </w:r>
      <w:r w:rsidR="00285729" w:rsidRPr="00B1623B">
        <w:rPr>
          <w:rFonts w:asciiTheme="minorBidi" w:hAnsiTheme="minorBidi"/>
          <w:i/>
          <w:iCs/>
          <w:szCs w:val="22"/>
        </w:rPr>
        <w:t xml:space="preserve">devrait </w:t>
      </w:r>
      <w:r w:rsidR="00EC73AA">
        <w:rPr>
          <w:rFonts w:ascii="Arial" w:hAnsi="Arial"/>
          <w:i/>
        </w:rPr>
        <w:t xml:space="preserve">inclure une référence </w:t>
      </w:r>
      <w:r w:rsidR="00285729" w:rsidRPr="00B1623B">
        <w:rPr>
          <w:rFonts w:asciiTheme="minorBidi" w:hAnsiTheme="minorBidi"/>
          <w:i/>
          <w:iCs/>
          <w:szCs w:val="22"/>
        </w:rPr>
        <w:t>à la conformité de l’élément</w:t>
      </w:r>
      <w:r w:rsidR="00285729">
        <w:rPr>
          <w:rFonts w:asciiTheme="minorBidi" w:hAnsiTheme="minorBidi"/>
          <w:i/>
          <w:iCs/>
          <w:szCs w:val="22"/>
        </w:rPr>
        <w:t xml:space="preserve"> </w:t>
      </w:r>
      <w:r w:rsidR="00285729">
        <w:rPr>
          <w:rFonts w:ascii="Arial" w:hAnsi="Arial"/>
          <w:i/>
        </w:rPr>
        <w:t xml:space="preserve">avec </w:t>
      </w:r>
      <w:r w:rsidR="00EC73AA">
        <w:rPr>
          <w:rFonts w:ascii="Arial" w:hAnsi="Arial"/>
          <w:i/>
        </w:rPr>
        <w:t>et les instruments internationaux relatifs aux droits humains ;</w:t>
      </w:r>
      <w:r w:rsidR="0035588A">
        <w:rPr>
          <w:rFonts w:ascii="Arial" w:hAnsi="Arial"/>
          <w:i/>
        </w:rPr>
        <w:t xml:space="preserve"> </w:t>
      </w:r>
    </w:p>
    <w:p w14:paraId="4504742D" w14:textId="44083749" w:rsidR="00EC73AA" w:rsidRPr="000037B0" w:rsidRDefault="009B4832" w:rsidP="00BC4F2E">
      <w:pPr>
        <w:numPr>
          <w:ilvl w:val="1"/>
          <w:numId w:val="14"/>
        </w:numPr>
        <w:ind w:left="851" w:hanging="284"/>
        <w:jc w:val="both"/>
        <w:rPr>
          <w:rFonts w:ascii="Arial" w:hAnsi="Arial" w:cs="Arial"/>
          <w:i/>
          <w:iCs/>
          <w:szCs w:val="22"/>
        </w:rPr>
      </w:pPr>
      <w:r>
        <w:rPr>
          <w:rFonts w:ascii="Arial" w:hAnsi="Arial"/>
          <w:i/>
        </w:rPr>
        <w:t xml:space="preserve"> </w:t>
      </w:r>
      <w:r w:rsidR="00EC73AA">
        <w:rPr>
          <w:rFonts w:ascii="Arial" w:hAnsi="Arial"/>
          <w:i/>
        </w:rPr>
        <w:t xml:space="preserve">Le critère R.2 ou le formulaire de </w:t>
      </w:r>
      <w:r w:rsidR="004725C8">
        <w:rPr>
          <w:rFonts w:ascii="Arial" w:hAnsi="Arial"/>
          <w:i/>
        </w:rPr>
        <w:t>candidature</w:t>
      </w:r>
      <w:r w:rsidR="00EC73AA">
        <w:rPr>
          <w:rFonts w:ascii="Arial" w:hAnsi="Arial"/>
          <w:i/>
        </w:rPr>
        <w:t xml:space="preserve"> devrait être reformulé et simplifié </w:t>
      </w:r>
      <w:r w:rsidR="00285729" w:rsidRPr="00B1623B">
        <w:rPr>
          <w:rFonts w:asciiTheme="minorBidi" w:hAnsiTheme="minorBidi"/>
          <w:i/>
          <w:iCs/>
          <w:szCs w:val="22"/>
        </w:rPr>
        <w:t>pour se concentrer sur la contribution des éléments proposés au respect mutuel et au dialogue entre communautés, groupes et individus, et pour indiquer comment l’élément contribue au développement durable</w:t>
      </w:r>
      <w:r w:rsidR="00285729" w:rsidDel="00285729">
        <w:rPr>
          <w:rFonts w:ascii="Arial" w:hAnsi="Arial"/>
          <w:i/>
        </w:rPr>
        <w:t xml:space="preserve"> </w:t>
      </w:r>
      <w:r w:rsidR="00EC73AA">
        <w:rPr>
          <w:rFonts w:ascii="Arial" w:hAnsi="Arial"/>
          <w:i/>
        </w:rPr>
        <w:t>;</w:t>
      </w:r>
    </w:p>
    <w:p w14:paraId="56E9C447" w14:textId="5ADCEA3C" w:rsidR="00EC73AA" w:rsidRPr="000037B0" w:rsidRDefault="009B4832" w:rsidP="00BC4F2E">
      <w:pPr>
        <w:numPr>
          <w:ilvl w:val="1"/>
          <w:numId w:val="14"/>
        </w:numPr>
        <w:ind w:left="851" w:hanging="284"/>
        <w:jc w:val="both"/>
        <w:rPr>
          <w:rFonts w:ascii="Arial" w:hAnsi="Arial" w:cs="Arial"/>
          <w:i/>
          <w:iCs/>
          <w:szCs w:val="22"/>
        </w:rPr>
      </w:pPr>
      <w:r>
        <w:rPr>
          <w:rFonts w:ascii="Arial" w:hAnsi="Arial"/>
          <w:i/>
        </w:rPr>
        <w:t xml:space="preserve"> </w:t>
      </w:r>
      <w:r w:rsidR="00EC73AA">
        <w:rPr>
          <w:rFonts w:ascii="Arial" w:hAnsi="Arial"/>
          <w:i/>
        </w:rPr>
        <w:t xml:space="preserve">Le critère R.4/U.4 ou le formulaire de </w:t>
      </w:r>
      <w:r w:rsidR="004725C8">
        <w:rPr>
          <w:rFonts w:ascii="Arial" w:hAnsi="Arial"/>
          <w:i/>
        </w:rPr>
        <w:t>candidature</w:t>
      </w:r>
      <w:r w:rsidR="00EC73AA">
        <w:rPr>
          <w:rFonts w:ascii="Arial" w:hAnsi="Arial"/>
          <w:i/>
        </w:rPr>
        <w:t xml:space="preserve"> </w:t>
      </w:r>
      <w:r w:rsidR="00A57FD7" w:rsidRPr="00B1623B">
        <w:rPr>
          <w:rFonts w:asciiTheme="minorBidi" w:hAnsiTheme="minorBidi"/>
          <w:i/>
          <w:iCs/>
          <w:szCs w:val="22"/>
        </w:rPr>
        <w:t xml:space="preserve">devrait </w:t>
      </w:r>
      <w:r w:rsidR="00EC73AA">
        <w:rPr>
          <w:rFonts w:ascii="Arial" w:hAnsi="Arial"/>
          <w:i/>
        </w:rPr>
        <w:t xml:space="preserve">être révisé </w:t>
      </w:r>
      <w:r w:rsidR="00A57FD7" w:rsidRPr="00B1623B">
        <w:rPr>
          <w:rFonts w:asciiTheme="minorBidi" w:hAnsiTheme="minorBidi"/>
          <w:i/>
          <w:iCs/>
          <w:szCs w:val="22"/>
        </w:rPr>
        <w:t xml:space="preserve">pour s’assurer que les communautés comprennent </w:t>
      </w:r>
      <w:r w:rsidR="00A57FD7">
        <w:rPr>
          <w:rFonts w:asciiTheme="minorBidi" w:hAnsiTheme="minorBidi"/>
          <w:i/>
          <w:iCs/>
          <w:szCs w:val="22"/>
        </w:rPr>
        <w:t xml:space="preserve">que </w:t>
      </w:r>
      <w:r w:rsidR="00EC73AA">
        <w:rPr>
          <w:rFonts w:ascii="Arial" w:hAnsi="Arial"/>
          <w:i/>
        </w:rPr>
        <w:t xml:space="preserve">l’inscription sur les </w:t>
      </w:r>
      <w:r w:rsidR="00A57FD7" w:rsidRPr="00B1623B">
        <w:rPr>
          <w:rFonts w:asciiTheme="minorBidi" w:hAnsiTheme="minorBidi"/>
          <w:i/>
          <w:iCs/>
          <w:szCs w:val="22"/>
        </w:rPr>
        <w:t>Listes de la Convention ne place pas leur élément au-dessus des autres, ni n’implique l’exclusivité ou la « propriété » de cet élément ;</w:t>
      </w:r>
    </w:p>
    <w:p w14:paraId="611BC124" w14:textId="396FEEA4" w:rsidR="00EC73AA" w:rsidRPr="000037B0" w:rsidRDefault="009B4832" w:rsidP="00BC4F2E">
      <w:pPr>
        <w:numPr>
          <w:ilvl w:val="1"/>
          <w:numId w:val="14"/>
        </w:numPr>
        <w:ind w:left="851" w:hanging="284"/>
        <w:jc w:val="both"/>
        <w:rPr>
          <w:rFonts w:ascii="Arial" w:hAnsi="Arial" w:cs="Arial"/>
          <w:i/>
          <w:iCs/>
          <w:szCs w:val="22"/>
        </w:rPr>
      </w:pPr>
      <w:r>
        <w:rPr>
          <w:rFonts w:ascii="Arial" w:hAnsi="Arial"/>
          <w:i/>
        </w:rPr>
        <w:t xml:space="preserve"> </w:t>
      </w:r>
      <w:r w:rsidR="00EC73AA">
        <w:rPr>
          <w:rFonts w:ascii="Arial" w:hAnsi="Arial"/>
          <w:i/>
        </w:rPr>
        <w:t xml:space="preserve">Le critère R.5/U.5 ou le formulaire de </w:t>
      </w:r>
      <w:r w:rsidR="004725C8">
        <w:rPr>
          <w:rFonts w:ascii="Arial" w:hAnsi="Arial"/>
          <w:i/>
        </w:rPr>
        <w:t>candidature</w:t>
      </w:r>
      <w:r w:rsidR="00EC73AA">
        <w:rPr>
          <w:rFonts w:ascii="Arial" w:hAnsi="Arial"/>
          <w:i/>
        </w:rPr>
        <w:t xml:space="preserve"> </w:t>
      </w:r>
      <w:r w:rsidR="00A57FD7">
        <w:rPr>
          <w:rFonts w:ascii="Arial" w:hAnsi="Arial"/>
          <w:i/>
        </w:rPr>
        <w:t xml:space="preserve">devrait </w:t>
      </w:r>
      <w:r w:rsidR="00EC73AA">
        <w:rPr>
          <w:rFonts w:ascii="Arial" w:hAnsi="Arial"/>
          <w:i/>
        </w:rPr>
        <w:t xml:space="preserve">être simplifié </w:t>
      </w:r>
      <w:r w:rsidR="00A57FD7" w:rsidRPr="00B1623B">
        <w:rPr>
          <w:rFonts w:asciiTheme="minorBidi" w:hAnsiTheme="minorBidi"/>
          <w:i/>
          <w:iCs/>
          <w:szCs w:val="22"/>
        </w:rPr>
        <w:t xml:space="preserve">en renvoyant </w:t>
      </w:r>
      <w:r w:rsidR="00EC73AA">
        <w:rPr>
          <w:rFonts w:ascii="Arial" w:hAnsi="Arial"/>
          <w:i/>
        </w:rPr>
        <w:t>aux systèmes d’inventaire déjà identifiés dans le rapport périodique ;</w:t>
      </w:r>
      <w:r w:rsidR="002E7967">
        <w:rPr>
          <w:rFonts w:ascii="Arial" w:hAnsi="Arial"/>
          <w:i/>
        </w:rPr>
        <w:t xml:space="preserve"> et</w:t>
      </w:r>
    </w:p>
    <w:p w14:paraId="00CD6AC2" w14:textId="53C60E2E" w:rsidR="00EC73AA" w:rsidRPr="000037B0" w:rsidRDefault="009B4832" w:rsidP="00BC4F2E">
      <w:pPr>
        <w:numPr>
          <w:ilvl w:val="1"/>
          <w:numId w:val="14"/>
        </w:numPr>
        <w:ind w:left="851" w:hanging="284"/>
        <w:jc w:val="both"/>
        <w:rPr>
          <w:rFonts w:ascii="Arial" w:hAnsi="Arial" w:cs="Arial"/>
          <w:i/>
          <w:iCs/>
          <w:szCs w:val="22"/>
        </w:rPr>
      </w:pPr>
      <w:r>
        <w:rPr>
          <w:rFonts w:ascii="Arial" w:hAnsi="Arial"/>
          <w:i/>
        </w:rPr>
        <w:t xml:space="preserve"> </w:t>
      </w:r>
      <w:r w:rsidR="00A57FD7" w:rsidRPr="00B1623B">
        <w:rPr>
          <w:rFonts w:asciiTheme="minorBidi" w:hAnsiTheme="minorBidi"/>
          <w:i/>
          <w:iCs/>
          <w:szCs w:val="22"/>
        </w:rPr>
        <w:t>La simplification des formulaires</w:t>
      </w:r>
      <w:r w:rsidR="00A57FD7">
        <w:rPr>
          <w:rFonts w:asciiTheme="minorBidi" w:hAnsiTheme="minorBidi"/>
          <w:i/>
          <w:iCs/>
          <w:szCs w:val="22"/>
        </w:rPr>
        <w:t xml:space="preserve"> </w:t>
      </w:r>
      <w:r w:rsidR="00A57FD7" w:rsidRPr="00B1623B">
        <w:rPr>
          <w:rFonts w:asciiTheme="minorBidi" w:hAnsiTheme="minorBidi"/>
          <w:i/>
          <w:iCs/>
          <w:szCs w:val="22"/>
        </w:rPr>
        <w:t>pour tous les critères.</w:t>
      </w:r>
    </w:p>
    <w:p w14:paraId="63853E6F" w14:textId="517869F6" w:rsidR="00EC73AA" w:rsidRPr="000037B0" w:rsidRDefault="00624572" w:rsidP="00EC73AA">
      <w:pPr>
        <w:numPr>
          <w:ilvl w:val="0"/>
          <w:numId w:val="13"/>
        </w:numPr>
        <w:ind w:left="567" w:hanging="567"/>
        <w:jc w:val="both"/>
        <w:rPr>
          <w:rFonts w:ascii="Arial" w:hAnsi="Arial" w:cs="Arial"/>
          <w:snapToGrid w:val="0"/>
          <w:szCs w:val="22"/>
        </w:rPr>
      </w:pPr>
      <w:r>
        <w:rPr>
          <w:rFonts w:ascii="Arial" w:hAnsi="Arial"/>
          <w:snapToGrid w:val="0"/>
        </w:rPr>
        <w:t>Amender</w:t>
      </w:r>
      <w:r w:rsidRPr="00B1623B">
        <w:rPr>
          <w:rFonts w:asciiTheme="minorBidi" w:hAnsiTheme="minorBidi"/>
          <w:szCs w:val="22"/>
        </w:rPr>
        <w:t xml:space="preserve"> les critères pour le </w:t>
      </w:r>
      <w:r w:rsidR="00EC73AA">
        <w:rPr>
          <w:rFonts w:ascii="Arial" w:hAnsi="Arial"/>
          <w:snapToGrid w:val="0"/>
        </w:rPr>
        <w:t>du Registre des bonnes pratiques de sauvegarde comme suit [</w:t>
      </w:r>
      <w:r w:rsidR="00EC73AA">
        <w:rPr>
          <w:rFonts w:ascii="Arial" w:hAnsi="Arial"/>
          <w:snapToGrid w:val="0"/>
          <w:highlight w:val="cyan"/>
        </w:rPr>
        <w:t>résolution adoptée par la partie I</w:t>
      </w:r>
      <w:r w:rsidR="00EC73AA">
        <w:rPr>
          <w:rFonts w:ascii="Arial" w:hAnsi="Arial"/>
          <w:snapToGrid w:val="0"/>
        </w:rPr>
        <w:t>] :</w:t>
      </w:r>
    </w:p>
    <w:p w14:paraId="09B91DBE" w14:textId="12CD9E60" w:rsidR="00EC73AA" w:rsidRDefault="009B4832" w:rsidP="00BC4F2E">
      <w:pPr>
        <w:numPr>
          <w:ilvl w:val="0"/>
          <w:numId w:val="15"/>
        </w:numPr>
        <w:ind w:left="851" w:hanging="284"/>
        <w:jc w:val="both"/>
        <w:rPr>
          <w:rFonts w:ascii="Arial" w:hAnsi="Arial" w:cs="Arial"/>
          <w:i/>
          <w:iCs/>
          <w:snapToGrid w:val="0"/>
          <w:szCs w:val="22"/>
        </w:rPr>
      </w:pPr>
      <w:r>
        <w:rPr>
          <w:rFonts w:ascii="Arial" w:hAnsi="Arial"/>
          <w:i/>
          <w:snapToGrid w:val="0"/>
        </w:rPr>
        <w:t xml:space="preserve"> </w:t>
      </w:r>
      <w:r w:rsidR="00A57FD7" w:rsidRPr="00B1623B">
        <w:rPr>
          <w:rFonts w:asciiTheme="minorBidi" w:hAnsiTheme="minorBidi"/>
          <w:i/>
          <w:iCs/>
          <w:szCs w:val="22"/>
        </w:rPr>
        <w:t>Le critère P.9 devrait être supprimé.</w:t>
      </w:r>
    </w:p>
    <w:p w14:paraId="04F645D5" w14:textId="77777777" w:rsidR="00EC73AA" w:rsidRDefault="00EC73AA" w:rsidP="001B2263">
      <w:pPr>
        <w:spacing w:before="240"/>
        <w:jc w:val="both"/>
        <w:rPr>
          <w:rFonts w:ascii="Arial" w:hAnsi="Arial" w:cs="Arial"/>
          <w:snapToGrid w:val="0"/>
          <w:szCs w:val="22"/>
          <w:u w:val="single"/>
        </w:rPr>
      </w:pPr>
      <w:r>
        <w:rPr>
          <w:rFonts w:ascii="Arial" w:hAnsi="Arial"/>
          <w:snapToGrid w:val="0"/>
          <w:u w:val="single"/>
        </w:rPr>
        <w:t>Questions relatives au suivi des éléments inscrits</w:t>
      </w:r>
    </w:p>
    <w:p w14:paraId="76E1AA4F" w14:textId="7541857D" w:rsidR="00EC73AA" w:rsidRDefault="00624572" w:rsidP="00297088">
      <w:pPr>
        <w:numPr>
          <w:ilvl w:val="0"/>
          <w:numId w:val="13"/>
        </w:numPr>
        <w:ind w:left="567" w:hanging="567"/>
        <w:jc w:val="both"/>
        <w:rPr>
          <w:rFonts w:ascii="Arial" w:hAnsi="Arial" w:cs="Arial"/>
          <w:snapToGrid w:val="0"/>
          <w:szCs w:val="22"/>
          <w:u w:val="single"/>
        </w:rPr>
      </w:pPr>
      <w:r w:rsidRPr="00B1623B">
        <w:rPr>
          <w:rFonts w:asciiTheme="minorBidi" w:hAnsiTheme="minorBidi"/>
          <w:snapToGrid w:val="0"/>
          <w:szCs w:val="22"/>
        </w:rPr>
        <w:t>Sur les questions relatives au suivi des éléments inscrits, le groupe de travail recommande de/</w:t>
      </w:r>
      <w:proofErr w:type="gramStart"/>
      <w:r w:rsidRPr="00B1623B">
        <w:rPr>
          <w:rFonts w:asciiTheme="minorBidi" w:hAnsiTheme="minorBidi"/>
          <w:snapToGrid w:val="0"/>
          <w:szCs w:val="22"/>
        </w:rPr>
        <w:t>d’</w:t>
      </w:r>
      <w:r>
        <w:rPr>
          <w:rFonts w:asciiTheme="minorBidi" w:hAnsiTheme="minorBidi"/>
          <w:snapToGrid w:val="0"/>
          <w:szCs w:val="22"/>
        </w:rPr>
        <w:t> </w:t>
      </w:r>
      <w:r w:rsidDel="00624572">
        <w:rPr>
          <w:rFonts w:ascii="Arial" w:hAnsi="Arial"/>
          <w:snapToGrid w:val="0"/>
        </w:rPr>
        <w:t xml:space="preserve"> </w:t>
      </w:r>
      <w:proofErr w:type="gramEnd"/>
      <w:r w:rsidR="00750B6D">
        <w:rPr>
          <w:rFonts w:ascii="Arial" w:hAnsi="Arial"/>
          <w:snapToGrid w:val="0"/>
        </w:rPr>
        <w:t>[</w:t>
      </w:r>
      <w:r w:rsidR="00750B6D">
        <w:rPr>
          <w:rFonts w:ascii="Arial" w:hAnsi="Arial"/>
          <w:snapToGrid w:val="0"/>
          <w:highlight w:val="cyan"/>
        </w:rPr>
        <w:t>résolution adoptée par la partie I</w:t>
      </w:r>
      <w:r w:rsidR="00750B6D">
        <w:rPr>
          <w:rFonts w:ascii="Arial" w:hAnsi="Arial"/>
          <w:snapToGrid w:val="0"/>
        </w:rPr>
        <w:t>] :</w:t>
      </w:r>
    </w:p>
    <w:p w14:paraId="4A4F7FCD" w14:textId="6DAB0A96" w:rsidR="00EC73AA" w:rsidRPr="000037B0" w:rsidRDefault="00471379" w:rsidP="00EC73AA">
      <w:pPr>
        <w:keepNext/>
        <w:numPr>
          <w:ilvl w:val="0"/>
          <w:numId w:val="16"/>
        </w:numPr>
        <w:ind w:left="851" w:hanging="284"/>
        <w:jc w:val="both"/>
        <w:rPr>
          <w:rFonts w:ascii="Arial" w:hAnsi="Arial" w:cs="Arial"/>
          <w:i/>
          <w:iCs/>
          <w:szCs w:val="22"/>
        </w:rPr>
      </w:pPr>
      <w:r>
        <w:rPr>
          <w:rFonts w:ascii="Arial" w:hAnsi="Arial"/>
          <w:i/>
        </w:rPr>
        <w:t xml:space="preserve"> </w:t>
      </w:r>
      <w:r w:rsidR="00EC73AA">
        <w:rPr>
          <w:rFonts w:ascii="Arial" w:hAnsi="Arial"/>
          <w:i/>
        </w:rPr>
        <w:t xml:space="preserve">Encourager les efforts de </w:t>
      </w:r>
      <w:proofErr w:type="gramStart"/>
      <w:r w:rsidR="00EC73AA">
        <w:rPr>
          <w:rFonts w:ascii="Arial" w:hAnsi="Arial"/>
          <w:i/>
        </w:rPr>
        <w:t xml:space="preserve">sauvegarde </w:t>
      </w:r>
      <w:r w:rsidR="00A57FD7" w:rsidRPr="00A57FD7">
        <w:rPr>
          <w:rFonts w:asciiTheme="minorBidi" w:hAnsiTheme="minorBidi"/>
          <w:i/>
          <w:iCs/>
          <w:szCs w:val="22"/>
        </w:rPr>
        <w:t xml:space="preserve"> </w:t>
      </w:r>
      <w:r w:rsidR="00A57FD7" w:rsidRPr="00B1623B">
        <w:rPr>
          <w:rFonts w:asciiTheme="minorBidi" w:hAnsiTheme="minorBidi"/>
          <w:i/>
          <w:iCs/>
          <w:szCs w:val="22"/>
        </w:rPr>
        <w:t>pour</w:t>
      </w:r>
      <w:proofErr w:type="gramEnd"/>
      <w:r w:rsidR="00A57FD7" w:rsidRPr="00B1623B">
        <w:rPr>
          <w:rFonts w:asciiTheme="minorBidi" w:hAnsiTheme="minorBidi"/>
          <w:i/>
          <w:iCs/>
          <w:szCs w:val="22"/>
        </w:rPr>
        <w:t xml:space="preserve"> les éléments sur la Liste de sauvegarde urgente en accélérant et en facilitant l’accès à l’assistance financière et au soutien technique ;</w:t>
      </w:r>
    </w:p>
    <w:p w14:paraId="66E6B2E9" w14:textId="04BC8D11" w:rsidR="00EC73AA" w:rsidRPr="000037B0" w:rsidRDefault="00471379" w:rsidP="00EC73AA">
      <w:pPr>
        <w:numPr>
          <w:ilvl w:val="0"/>
          <w:numId w:val="16"/>
        </w:numPr>
        <w:ind w:left="851" w:hanging="284"/>
        <w:jc w:val="both"/>
        <w:rPr>
          <w:rFonts w:ascii="Arial" w:hAnsi="Arial" w:cs="Arial"/>
          <w:i/>
          <w:iCs/>
          <w:szCs w:val="22"/>
        </w:rPr>
      </w:pPr>
      <w:r>
        <w:rPr>
          <w:rFonts w:ascii="Arial" w:hAnsi="Arial"/>
          <w:i/>
        </w:rPr>
        <w:t xml:space="preserve"> </w:t>
      </w:r>
      <w:r w:rsidR="00EC73AA">
        <w:rPr>
          <w:rFonts w:ascii="Arial" w:hAnsi="Arial"/>
          <w:i/>
        </w:rPr>
        <w:t xml:space="preserve">Renforcer le système </w:t>
      </w:r>
      <w:r w:rsidR="00A57FD7" w:rsidRPr="00B1623B">
        <w:rPr>
          <w:rFonts w:asciiTheme="minorBidi" w:hAnsiTheme="minorBidi"/>
          <w:i/>
          <w:iCs/>
          <w:szCs w:val="22"/>
        </w:rPr>
        <w:t>de suivi par le mécanisme des rapports périodiques afin de s’assurer que les plans de sauvegarde sont mis en œuvre ;</w:t>
      </w:r>
    </w:p>
    <w:p w14:paraId="3B6A93E0" w14:textId="52333015" w:rsidR="00EC73AA" w:rsidRPr="000037B0" w:rsidRDefault="00471379" w:rsidP="00EC73AA">
      <w:pPr>
        <w:numPr>
          <w:ilvl w:val="0"/>
          <w:numId w:val="16"/>
        </w:numPr>
        <w:ind w:left="851" w:hanging="284"/>
        <w:jc w:val="both"/>
        <w:rPr>
          <w:rFonts w:ascii="Arial" w:hAnsi="Arial" w:cs="Arial"/>
          <w:i/>
          <w:iCs/>
          <w:szCs w:val="22"/>
        </w:rPr>
      </w:pPr>
      <w:r>
        <w:rPr>
          <w:rFonts w:ascii="Arial" w:hAnsi="Arial"/>
          <w:i/>
        </w:rPr>
        <w:lastRenderedPageBreak/>
        <w:t xml:space="preserve"> </w:t>
      </w:r>
      <w:r w:rsidR="00EC73AA">
        <w:rPr>
          <w:rFonts w:ascii="Arial" w:hAnsi="Arial"/>
          <w:i/>
        </w:rPr>
        <w:t xml:space="preserve">Faciliter le transfert d’éléments entre les </w:t>
      </w:r>
      <w:proofErr w:type="gramStart"/>
      <w:r w:rsidR="00EC73AA">
        <w:rPr>
          <w:rFonts w:ascii="Arial" w:hAnsi="Arial"/>
          <w:i/>
        </w:rPr>
        <w:t xml:space="preserve">Listes, </w:t>
      </w:r>
      <w:r w:rsidR="00A57FD7" w:rsidRPr="00A57FD7">
        <w:rPr>
          <w:rFonts w:asciiTheme="minorBidi" w:hAnsiTheme="minorBidi"/>
          <w:i/>
          <w:iCs/>
          <w:szCs w:val="22"/>
        </w:rPr>
        <w:t xml:space="preserve"> </w:t>
      </w:r>
      <w:r w:rsidR="00A57FD7" w:rsidRPr="00B1623B">
        <w:rPr>
          <w:rFonts w:asciiTheme="minorBidi" w:hAnsiTheme="minorBidi"/>
          <w:i/>
          <w:iCs/>
          <w:szCs w:val="22"/>
        </w:rPr>
        <w:t>y</w:t>
      </w:r>
      <w:proofErr w:type="gramEnd"/>
      <w:r w:rsidR="00A57FD7" w:rsidRPr="00B1623B">
        <w:rPr>
          <w:rFonts w:asciiTheme="minorBidi" w:hAnsiTheme="minorBidi"/>
          <w:i/>
          <w:iCs/>
          <w:szCs w:val="22"/>
        </w:rPr>
        <w:t xml:space="preserve"> compris l’inclusion dans le Registre de bonnes pratiques de sauvegarde de plans de sauvegarde réussis mis en œuvre dans la Liste de sauvegarde urgente ;</w:t>
      </w:r>
    </w:p>
    <w:p w14:paraId="519AC9AD" w14:textId="719D0219" w:rsidR="00FA1D9F" w:rsidRDefault="00D55CA5" w:rsidP="00582A6E">
      <w:pPr>
        <w:numPr>
          <w:ilvl w:val="0"/>
          <w:numId w:val="13"/>
        </w:numPr>
        <w:ind w:left="567" w:hanging="567"/>
        <w:jc w:val="both"/>
        <w:rPr>
          <w:rFonts w:ascii="Arial" w:hAnsi="Arial" w:cs="Arial"/>
          <w:snapToGrid w:val="0"/>
          <w:szCs w:val="22"/>
        </w:rPr>
      </w:pPr>
      <w:r>
        <w:rPr>
          <w:rFonts w:ascii="Arial" w:hAnsi="Arial"/>
          <w:snapToGrid w:val="0"/>
        </w:rPr>
        <w:t xml:space="preserve">La procédure proposée pour les transferts entre la Liste de sauvegarde </w:t>
      </w:r>
      <w:r w:rsidR="004725C8">
        <w:rPr>
          <w:rFonts w:ascii="Arial" w:hAnsi="Arial"/>
          <w:snapToGrid w:val="0"/>
        </w:rPr>
        <w:t xml:space="preserve">urgente </w:t>
      </w:r>
      <w:r>
        <w:rPr>
          <w:rFonts w:ascii="Arial" w:hAnsi="Arial"/>
          <w:snapToGrid w:val="0"/>
        </w:rPr>
        <w:t xml:space="preserve">et la Liste </w:t>
      </w:r>
      <w:r w:rsidR="004725C8">
        <w:rPr>
          <w:rFonts w:ascii="Arial" w:hAnsi="Arial"/>
          <w:snapToGrid w:val="0"/>
        </w:rPr>
        <w:t>représentative</w:t>
      </w:r>
      <w:r>
        <w:rPr>
          <w:rFonts w:ascii="Arial" w:hAnsi="Arial"/>
          <w:snapToGrid w:val="0"/>
        </w:rPr>
        <w:t>, ainsi que l’inclusion de pratiques de sauvegarde réussies dans le registre, est la suivante :</w:t>
      </w:r>
    </w:p>
    <w:p w14:paraId="02B7BC30" w14:textId="55906512" w:rsidR="00EC73AA" w:rsidRDefault="00FA1D9F" w:rsidP="00BC4F2E">
      <w:pPr>
        <w:ind w:left="567"/>
        <w:jc w:val="both"/>
        <w:rPr>
          <w:rFonts w:ascii="Arial" w:hAnsi="Arial" w:cs="Arial"/>
          <w:snapToGrid w:val="0"/>
          <w:szCs w:val="22"/>
        </w:rPr>
      </w:pPr>
      <w:bookmarkStart w:id="0" w:name="_Hlk80892013"/>
      <w:proofErr w:type="gramStart"/>
      <w:r>
        <w:rPr>
          <w:rFonts w:ascii="Arial" w:hAnsi="Arial"/>
          <w:snapToGrid w:val="0"/>
          <w:highlight w:val="yellow"/>
        </w:rPr>
        <w:t>xxx</w:t>
      </w:r>
      <w:proofErr w:type="gramEnd"/>
      <w:r>
        <w:rPr>
          <w:rFonts w:ascii="Arial" w:hAnsi="Arial"/>
          <w:snapToGrid w:val="0"/>
          <w:highlight w:val="yellow"/>
        </w:rPr>
        <w:t xml:space="preserve"> [tel qu’adopté selon le point 6.a] </w:t>
      </w:r>
    </w:p>
    <w:bookmarkEnd w:id="0"/>
    <w:p w14:paraId="1CD68190" w14:textId="276F9083" w:rsidR="006B5C57" w:rsidRPr="00BC4F2E" w:rsidRDefault="006B5C57" w:rsidP="00BC4F2E">
      <w:pPr>
        <w:numPr>
          <w:ilvl w:val="0"/>
          <w:numId w:val="13"/>
        </w:numPr>
        <w:ind w:left="567" w:hanging="567"/>
        <w:jc w:val="both"/>
        <w:rPr>
          <w:rFonts w:asciiTheme="minorBidi" w:hAnsiTheme="minorBidi" w:cstheme="minorBidi"/>
        </w:rPr>
      </w:pPr>
      <w:r>
        <w:rPr>
          <w:rFonts w:asciiTheme="minorBidi" w:hAnsiTheme="minorBidi"/>
          <w:snapToGrid w:val="0"/>
        </w:rPr>
        <w:t>Outre</w:t>
      </w:r>
      <w:r>
        <w:rPr>
          <w:rFonts w:asciiTheme="minorBidi" w:hAnsiTheme="minorBidi"/>
        </w:rPr>
        <w:t xml:space="preserve"> la procédure décrite au paragraphe ci-dessus, les recommandations suivantes sont formulées :</w:t>
      </w:r>
    </w:p>
    <w:p w14:paraId="65BB117B" w14:textId="7E07C043" w:rsidR="00FA1D9F" w:rsidRPr="000711D2" w:rsidRDefault="001A5F55" w:rsidP="00BC4F2E">
      <w:pPr>
        <w:pStyle w:val="1GAPara"/>
        <w:numPr>
          <w:ilvl w:val="0"/>
          <w:numId w:val="0"/>
        </w:numPr>
        <w:spacing w:before="120"/>
        <w:ind w:left="420" w:firstLine="147"/>
        <w:jc w:val="both"/>
      </w:pPr>
      <w:proofErr w:type="gramStart"/>
      <w:r>
        <w:rPr>
          <w:highlight w:val="yellow"/>
        </w:rPr>
        <w:t>xxx</w:t>
      </w:r>
      <w:proofErr w:type="gramEnd"/>
      <w:r>
        <w:rPr>
          <w:highlight w:val="yellow"/>
        </w:rPr>
        <w:t xml:space="preserve"> [tel qu’adopté selon le point 6.a]</w:t>
      </w:r>
    </w:p>
    <w:p w14:paraId="7B90A12A" w14:textId="12CD7866" w:rsidR="00FA1D9F" w:rsidRDefault="00D55CA5" w:rsidP="00BC4F2E">
      <w:pPr>
        <w:numPr>
          <w:ilvl w:val="0"/>
          <w:numId w:val="13"/>
        </w:numPr>
        <w:ind w:left="567" w:hanging="567"/>
        <w:jc w:val="both"/>
        <w:rPr>
          <w:rFonts w:ascii="Arial" w:hAnsi="Arial" w:cs="Arial"/>
          <w:snapToGrid w:val="0"/>
          <w:szCs w:val="22"/>
        </w:rPr>
      </w:pPr>
      <w:r>
        <w:rPr>
          <w:rFonts w:asciiTheme="minorBidi" w:hAnsiTheme="minorBidi"/>
        </w:rPr>
        <w:t xml:space="preserve">La procédure </w:t>
      </w:r>
      <w:r>
        <w:rPr>
          <w:rFonts w:asciiTheme="minorBidi" w:hAnsiTheme="minorBidi"/>
          <w:snapToGrid w:val="0"/>
        </w:rPr>
        <w:t>proposée</w:t>
      </w:r>
      <w:r>
        <w:rPr>
          <w:rFonts w:ascii="Arial" w:hAnsi="Arial"/>
          <w:snapToGrid w:val="0"/>
        </w:rPr>
        <w:t xml:space="preserve"> pour supprimer des éléments dans les Listes de la Convention est la suivante :</w:t>
      </w:r>
    </w:p>
    <w:p w14:paraId="6D1B5CA6" w14:textId="2C386FD6" w:rsidR="006B1212" w:rsidRDefault="00D55CA5" w:rsidP="00BC4F2E">
      <w:pPr>
        <w:pStyle w:val="1GAPara"/>
        <w:numPr>
          <w:ilvl w:val="0"/>
          <w:numId w:val="0"/>
        </w:numPr>
        <w:ind w:left="420" w:firstLine="147"/>
        <w:jc w:val="both"/>
      </w:pPr>
      <w:proofErr w:type="gramStart"/>
      <w:r>
        <w:rPr>
          <w:highlight w:val="yellow"/>
        </w:rPr>
        <w:t>xxx</w:t>
      </w:r>
      <w:proofErr w:type="gramEnd"/>
      <w:r>
        <w:rPr>
          <w:highlight w:val="yellow"/>
        </w:rPr>
        <w:t xml:space="preserve"> [tel qu’adopté selon le point 6.b]</w:t>
      </w:r>
    </w:p>
    <w:p w14:paraId="0C78A13E" w14:textId="77777777" w:rsidR="00706D9F" w:rsidRDefault="00706D9F" w:rsidP="00BC4F2E">
      <w:pPr>
        <w:keepNext/>
        <w:numPr>
          <w:ilvl w:val="0"/>
          <w:numId w:val="13"/>
        </w:numPr>
        <w:ind w:left="567" w:hanging="567"/>
        <w:jc w:val="both"/>
        <w:rPr>
          <w:rFonts w:asciiTheme="minorBidi" w:hAnsiTheme="minorBidi" w:cstheme="minorBidi"/>
        </w:rPr>
      </w:pPr>
      <w:r>
        <w:rPr>
          <w:rFonts w:asciiTheme="minorBidi" w:hAnsiTheme="minorBidi"/>
        </w:rPr>
        <w:t>Outre la procédure décrite ci-dessus, les recommandations suivantes peuvent être formulées :</w:t>
      </w:r>
    </w:p>
    <w:p w14:paraId="0ACE6C04" w14:textId="543D5DFA" w:rsidR="00706D9F" w:rsidRPr="00AB102F" w:rsidRDefault="001A5F55" w:rsidP="00BC4F2E">
      <w:pPr>
        <w:pStyle w:val="1GAPara"/>
        <w:numPr>
          <w:ilvl w:val="0"/>
          <w:numId w:val="0"/>
        </w:numPr>
        <w:ind w:left="420" w:firstLine="147"/>
        <w:jc w:val="both"/>
        <w:rPr>
          <w:rFonts w:asciiTheme="minorBidi" w:hAnsiTheme="minorBidi" w:cstheme="minorBidi"/>
        </w:rPr>
      </w:pPr>
      <w:proofErr w:type="gramStart"/>
      <w:r>
        <w:rPr>
          <w:rFonts w:asciiTheme="minorBidi" w:hAnsiTheme="minorBidi"/>
          <w:highlight w:val="yellow"/>
        </w:rPr>
        <w:t>xxx</w:t>
      </w:r>
      <w:proofErr w:type="gramEnd"/>
      <w:r>
        <w:rPr>
          <w:rFonts w:asciiTheme="minorBidi" w:hAnsiTheme="minorBidi"/>
          <w:highlight w:val="yellow"/>
        </w:rPr>
        <w:t xml:space="preserve"> </w:t>
      </w:r>
      <w:r>
        <w:rPr>
          <w:highlight w:val="yellow"/>
        </w:rPr>
        <w:t>[tel qu’adopté selon le point 6.b]</w:t>
      </w:r>
    </w:p>
    <w:p w14:paraId="18954479" w14:textId="2F667E4E" w:rsidR="00995448" w:rsidRPr="00995448" w:rsidRDefault="00995448" w:rsidP="00995448">
      <w:pPr>
        <w:spacing w:before="240"/>
        <w:jc w:val="both"/>
        <w:rPr>
          <w:rFonts w:ascii="Arial" w:hAnsi="Arial" w:cs="Arial"/>
          <w:snapToGrid w:val="0"/>
          <w:szCs w:val="22"/>
          <w:u w:val="single"/>
        </w:rPr>
      </w:pPr>
      <w:r>
        <w:rPr>
          <w:rFonts w:ascii="Arial" w:hAnsi="Arial"/>
          <w:snapToGrid w:val="0"/>
          <w:u w:val="single"/>
        </w:rPr>
        <w:t xml:space="preserve">Questions liées à la méthodologie d’évaluation des </w:t>
      </w:r>
      <w:r w:rsidR="004725C8">
        <w:rPr>
          <w:rFonts w:ascii="Arial" w:hAnsi="Arial"/>
          <w:snapToGrid w:val="0"/>
          <w:u w:val="single"/>
        </w:rPr>
        <w:t>candidature</w:t>
      </w:r>
      <w:r>
        <w:rPr>
          <w:rFonts w:ascii="Arial" w:hAnsi="Arial"/>
          <w:snapToGrid w:val="0"/>
          <w:u w:val="single"/>
        </w:rPr>
        <w:t>s</w:t>
      </w:r>
    </w:p>
    <w:p w14:paraId="4DBCA202" w14:textId="59363477" w:rsidR="00A61038" w:rsidRPr="00B55F3C" w:rsidRDefault="00D55CA5" w:rsidP="00BC4F2E">
      <w:pPr>
        <w:numPr>
          <w:ilvl w:val="0"/>
          <w:numId w:val="13"/>
        </w:numPr>
        <w:ind w:left="567" w:hanging="567"/>
        <w:jc w:val="both"/>
        <w:rPr>
          <w:rFonts w:ascii="Arial" w:hAnsi="Arial" w:cs="Arial"/>
          <w:snapToGrid w:val="0"/>
          <w:szCs w:val="22"/>
        </w:rPr>
      </w:pPr>
      <w:r>
        <w:rPr>
          <w:rFonts w:ascii="Arial" w:hAnsi="Arial"/>
          <w:snapToGrid w:val="0"/>
        </w:rPr>
        <w:t xml:space="preserve">La </w:t>
      </w:r>
      <w:r>
        <w:rPr>
          <w:rFonts w:asciiTheme="minorBidi" w:hAnsiTheme="minorBidi"/>
        </w:rPr>
        <w:t>proposition</w:t>
      </w:r>
      <w:r>
        <w:rPr>
          <w:rFonts w:ascii="Arial" w:hAnsi="Arial"/>
          <w:snapToGrid w:val="0"/>
        </w:rPr>
        <w:t xml:space="preserve"> de procédure révisée pour l’inscription d’éléments sur les Listes et le Registre sur une base élargie est la suivante : </w:t>
      </w:r>
    </w:p>
    <w:p w14:paraId="43C1860C" w14:textId="0F878E94" w:rsidR="00FA1D9F" w:rsidRPr="00FA1D9F" w:rsidRDefault="001A5F55" w:rsidP="00BC4F2E">
      <w:pPr>
        <w:pStyle w:val="1GAPara"/>
        <w:numPr>
          <w:ilvl w:val="0"/>
          <w:numId w:val="0"/>
        </w:numPr>
        <w:ind w:left="420" w:firstLine="147"/>
        <w:jc w:val="both"/>
      </w:pPr>
      <w:proofErr w:type="gramStart"/>
      <w:r>
        <w:rPr>
          <w:rFonts w:asciiTheme="minorBidi" w:hAnsiTheme="minorBidi"/>
          <w:highlight w:val="yellow"/>
        </w:rPr>
        <w:t>xxx</w:t>
      </w:r>
      <w:proofErr w:type="gramEnd"/>
      <w:r>
        <w:rPr>
          <w:rFonts w:asciiTheme="minorBidi" w:hAnsiTheme="minorBidi"/>
          <w:highlight w:val="yellow"/>
        </w:rPr>
        <w:t xml:space="preserve"> </w:t>
      </w:r>
      <w:r>
        <w:rPr>
          <w:highlight w:val="yellow"/>
        </w:rPr>
        <w:t>[</w:t>
      </w:r>
      <w:r>
        <w:rPr>
          <w:rFonts w:asciiTheme="minorBidi" w:hAnsiTheme="minorBidi"/>
          <w:highlight w:val="yellow"/>
        </w:rPr>
        <w:t>tel</w:t>
      </w:r>
      <w:r>
        <w:rPr>
          <w:highlight w:val="yellow"/>
        </w:rPr>
        <w:t xml:space="preserve"> qu’adopté selon le point 6.c]</w:t>
      </w:r>
    </w:p>
    <w:p w14:paraId="0A93A44D" w14:textId="5E7572F8" w:rsidR="00A61038" w:rsidRDefault="00A61038" w:rsidP="00BC4F2E">
      <w:pPr>
        <w:numPr>
          <w:ilvl w:val="0"/>
          <w:numId w:val="13"/>
        </w:numPr>
        <w:ind w:left="567" w:hanging="567"/>
        <w:jc w:val="both"/>
        <w:rPr>
          <w:rFonts w:asciiTheme="minorBidi" w:hAnsiTheme="minorBidi" w:cstheme="minorBidi"/>
        </w:rPr>
      </w:pPr>
      <w:r>
        <w:rPr>
          <w:rFonts w:asciiTheme="minorBidi" w:hAnsiTheme="minorBidi"/>
        </w:rPr>
        <w:t>Outre la procédure décrite ci-dessus, les recommandations suivantes peuvent être formulées :</w:t>
      </w:r>
    </w:p>
    <w:p w14:paraId="3497E68B" w14:textId="5AC87E91" w:rsidR="00706D9F" w:rsidRPr="00AB102F" w:rsidRDefault="001A5F55" w:rsidP="00BC4F2E">
      <w:pPr>
        <w:pStyle w:val="1GAPara"/>
        <w:numPr>
          <w:ilvl w:val="0"/>
          <w:numId w:val="0"/>
        </w:numPr>
        <w:ind w:left="420" w:firstLine="147"/>
        <w:jc w:val="both"/>
        <w:rPr>
          <w:rFonts w:asciiTheme="minorBidi" w:hAnsiTheme="minorBidi" w:cstheme="minorBidi"/>
        </w:rPr>
      </w:pPr>
      <w:proofErr w:type="gramStart"/>
      <w:r>
        <w:rPr>
          <w:rFonts w:asciiTheme="minorBidi" w:hAnsiTheme="minorBidi"/>
          <w:highlight w:val="yellow"/>
        </w:rPr>
        <w:t>xxx</w:t>
      </w:r>
      <w:proofErr w:type="gramEnd"/>
      <w:r>
        <w:rPr>
          <w:rFonts w:asciiTheme="minorBidi" w:hAnsiTheme="minorBidi"/>
          <w:highlight w:val="yellow"/>
        </w:rPr>
        <w:t xml:space="preserve"> </w:t>
      </w:r>
      <w:r>
        <w:rPr>
          <w:highlight w:val="yellow"/>
        </w:rPr>
        <w:t>[tel qu’adopté selon le point 6.c]</w:t>
      </w:r>
    </w:p>
    <w:p w14:paraId="4E8163BE" w14:textId="3E82F02A" w:rsidR="00E80705" w:rsidRPr="00E80705" w:rsidRDefault="00E80705" w:rsidP="00BC4F2E">
      <w:pPr>
        <w:spacing w:before="240"/>
        <w:jc w:val="both"/>
        <w:rPr>
          <w:rFonts w:asciiTheme="minorBidi" w:hAnsiTheme="minorBidi" w:cstheme="minorBidi"/>
          <w:szCs w:val="22"/>
          <w:u w:val="single"/>
        </w:rPr>
      </w:pPr>
      <w:r>
        <w:rPr>
          <w:rFonts w:asciiTheme="minorBidi" w:hAnsiTheme="minorBidi"/>
          <w:u w:val="single"/>
        </w:rPr>
        <w:t>Article 18 de la Convention</w:t>
      </w:r>
    </w:p>
    <w:p w14:paraId="119DFF3A" w14:textId="081FAEC8" w:rsidR="00E80705" w:rsidRDefault="004A673B" w:rsidP="00BC4F2E">
      <w:pPr>
        <w:numPr>
          <w:ilvl w:val="0"/>
          <w:numId w:val="13"/>
        </w:numPr>
        <w:ind w:left="567" w:hanging="567"/>
        <w:jc w:val="both"/>
        <w:rPr>
          <w:rFonts w:asciiTheme="minorBidi" w:hAnsiTheme="minorBidi" w:cstheme="minorBidi"/>
          <w:szCs w:val="22"/>
          <w:u w:val="single"/>
        </w:rPr>
      </w:pPr>
      <w:r>
        <w:rPr>
          <w:rFonts w:asciiTheme="minorBidi" w:hAnsiTheme="minorBidi"/>
        </w:rPr>
        <w:t xml:space="preserve">Le </w:t>
      </w:r>
      <w:r w:rsidR="00C76CC8" w:rsidRPr="00B1623B">
        <w:rPr>
          <w:rFonts w:asciiTheme="minorBidi" w:hAnsiTheme="minorBidi"/>
          <w:snapToGrid w:val="0"/>
          <w:szCs w:val="22"/>
        </w:rPr>
        <w:t xml:space="preserve">groupe de travail recommande de lancer une réflexion sur la mise en œuvre plus large </w:t>
      </w:r>
      <w:r w:rsidR="00C76CC8">
        <w:rPr>
          <w:rFonts w:asciiTheme="minorBidi" w:hAnsiTheme="minorBidi"/>
          <w:snapToGrid w:val="0"/>
          <w:szCs w:val="22"/>
        </w:rPr>
        <w:t xml:space="preserve">de </w:t>
      </w:r>
      <w:r>
        <w:rPr>
          <w:rFonts w:asciiTheme="minorBidi" w:hAnsiTheme="minorBidi"/>
        </w:rPr>
        <w:t xml:space="preserve">l’article 18 de la Convention. </w:t>
      </w:r>
      <w:r>
        <w:rPr>
          <w:rFonts w:ascii="Arial" w:hAnsi="Arial"/>
          <w:snapToGrid w:val="0"/>
        </w:rPr>
        <w:t>[</w:t>
      </w:r>
      <w:proofErr w:type="gramStart"/>
      <w:r>
        <w:rPr>
          <w:rFonts w:ascii="Arial" w:hAnsi="Arial"/>
          <w:snapToGrid w:val="0"/>
          <w:highlight w:val="cyan"/>
        </w:rPr>
        <w:t>résolution</w:t>
      </w:r>
      <w:proofErr w:type="gramEnd"/>
      <w:r>
        <w:rPr>
          <w:rFonts w:ascii="Arial" w:hAnsi="Arial"/>
          <w:snapToGrid w:val="0"/>
          <w:highlight w:val="cyan"/>
        </w:rPr>
        <w:t xml:space="preserve"> adoptée par la partie I</w:t>
      </w:r>
      <w:r>
        <w:rPr>
          <w:rFonts w:ascii="Arial" w:hAnsi="Arial"/>
          <w:snapToGrid w:val="0"/>
        </w:rPr>
        <w:t>]</w:t>
      </w:r>
    </w:p>
    <w:p w14:paraId="3F9D5385" w14:textId="7555079E" w:rsidR="004A673B" w:rsidRPr="00E80705" w:rsidRDefault="00E80705" w:rsidP="00BC4F2E">
      <w:pPr>
        <w:spacing w:before="240"/>
        <w:jc w:val="both"/>
        <w:rPr>
          <w:rFonts w:asciiTheme="minorBidi" w:hAnsiTheme="minorBidi" w:cstheme="minorBidi"/>
          <w:szCs w:val="22"/>
          <w:u w:val="single"/>
        </w:rPr>
      </w:pPr>
      <w:r>
        <w:rPr>
          <w:rFonts w:asciiTheme="minorBidi" w:hAnsiTheme="minorBidi"/>
          <w:u w:val="single"/>
        </w:rPr>
        <w:t>Autres questions</w:t>
      </w:r>
    </w:p>
    <w:p w14:paraId="1199F71A" w14:textId="35085A1B" w:rsidR="004A673B" w:rsidRPr="00D75E67" w:rsidRDefault="004A673B" w:rsidP="00BC4F2E">
      <w:pPr>
        <w:numPr>
          <w:ilvl w:val="0"/>
          <w:numId w:val="13"/>
        </w:numPr>
        <w:ind w:left="567" w:hanging="567"/>
        <w:jc w:val="both"/>
        <w:rPr>
          <w:rFonts w:asciiTheme="minorBidi" w:hAnsiTheme="minorBidi" w:cstheme="minorBidi"/>
          <w:szCs w:val="22"/>
        </w:rPr>
      </w:pPr>
      <w:r>
        <w:rPr>
          <w:rFonts w:asciiTheme="minorBidi" w:hAnsiTheme="minorBidi"/>
        </w:rPr>
        <w:t>S’agissant des propositions vis</w:t>
      </w:r>
      <w:r w:rsidR="00B3265D">
        <w:rPr>
          <w:rFonts w:asciiTheme="minorBidi" w:hAnsiTheme="minorBidi"/>
        </w:rPr>
        <w:t>a</w:t>
      </w:r>
      <w:r>
        <w:rPr>
          <w:rFonts w:asciiTheme="minorBidi" w:hAnsiTheme="minorBidi"/>
        </w:rPr>
        <w:t xml:space="preserve">nt à assurer une participation plus large des communautés, des groupes et, le cas échéant, des individus au système d’inscription, le Groupe de travail recommande par ailleurs ce qui suit </w:t>
      </w:r>
      <w:r>
        <w:rPr>
          <w:rFonts w:ascii="Arial" w:hAnsi="Arial"/>
          <w:snapToGrid w:val="0"/>
        </w:rPr>
        <w:t>[</w:t>
      </w:r>
      <w:r>
        <w:rPr>
          <w:rFonts w:ascii="Arial" w:hAnsi="Arial"/>
          <w:snapToGrid w:val="0"/>
          <w:highlight w:val="cyan"/>
        </w:rPr>
        <w:t>résolution adoptée par la partie I</w:t>
      </w:r>
      <w:r>
        <w:rPr>
          <w:rFonts w:ascii="Arial" w:hAnsi="Arial"/>
          <w:snapToGrid w:val="0"/>
        </w:rPr>
        <w:t>]</w:t>
      </w:r>
      <w:r>
        <w:rPr>
          <w:rFonts w:asciiTheme="minorBidi" w:hAnsiTheme="minorBidi"/>
        </w:rPr>
        <w:t> :</w:t>
      </w:r>
    </w:p>
    <w:p w14:paraId="5AA9557E" w14:textId="7134A93F" w:rsidR="004A673B" w:rsidRPr="00D75E67" w:rsidRDefault="00471379" w:rsidP="00A32B53">
      <w:pPr>
        <w:pStyle w:val="ListParagraph"/>
        <w:widowControl w:val="0"/>
        <w:numPr>
          <w:ilvl w:val="0"/>
          <w:numId w:val="23"/>
        </w:numPr>
        <w:ind w:left="851" w:hanging="284"/>
        <w:contextualSpacing w:val="0"/>
        <w:jc w:val="both"/>
        <w:rPr>
          <w:rFonts w:asciiTheme="minorBidi" w:hAnsiTheme="minorBidi" w:cstheme="minorBidi"/>
          <w:i/>
          <w:iCs/>
          <w:szCs w:val="22"/>
        </w:rPr>
      </w:pPr>
      <w:r>
        <w:rPr>
          <w:rFonts w:asciiTheme="minorBidi" w:hAnsiTheme="minorBidi"/>
          <w:i/>
        </w:rPr>
        <w:t xml:space="preserve"> </w:t>
      </w:r>
      <w:proofErr w:type="gramStart"/>
      <w:r w:rsidR="0035588A" w:rsidRPr="00B1623B">
        <w:rPr>
          <w:rFonts w:asciiTheme="minorBidi" w:hAnsiTheme="minorBidi"/>
          <w:i/>
          <w:iCs/>
          <w:szCs w:val="22"/>
        </w:rPr>
        <w:t>l’utilisation</w:t>
      </w:r>
      <w:proofErr w:type="gramEnd"/>
      <w:r w:rsidR="0035588A" w:rsidRPr="00B1623B">
        <w:rPr>
          <w:rFonts w:asciiTheme="minorBidi" w:hAnsiTheme="minorBidi"/>
          <w:i/>
          <w:iCs/>
          <w:szCs w:val="22"/>
        </w:rPr>
        <w:t xml:space="preserve"> de la langue des communautés (ou une ou des langues qui leur soit accessible(s)) lors de la préparation et de la soumission des candidatures ;</w:t>
      </w:r>
    </w:p>
    <w:p w14:paraId="50F566D0" w14:textId="74924D8F" w:rsidR="00A32B53" w:rsidRDefault="00471379" w:rsidP="00A32B53">
      <w:pPr>
        <w:pStyle w:val="ListParagraph"/>
        <w:widowControl w:val="0"/>
        <w:numPr>
          <w:ilvl w:val="0"/>
          <w:numId w:val="23"/>
        </w:numPr>
        <w:ind w:left="851" w:hanging="284"/>
        <w:contextualSpacing w:val="0"/>
        <w:jc w:val="both"/>
        <w:rPr>
          <w:rFonts w:asciiTheme="minorBidi" w:hAnsiTheme="minorBidi" w:cstheme="minorBidi"/>
          <w:i/>
          <w:iCs/>
          <w:szCs w:val="22"/>
        </w:rPr>
      </w:pPr>
      <w:r>
        <w:rPr>
          <w:rFonts w:asciiTheme="minorBidi" w:hAnsiTheme="minorBidi"/>
          <w:i/>
        </w:rPr>
        <w:t xml:space="preserve"> </w:t>
      </w:r>
      <w:proofErr w:type="gramStart"/>
      <w:r w:rsidR="0035588A" w:rsidRPr="00B1623B">
        <w:rPr>
          <w:rFonts w:asciiTheme="minorBidi" w:hAnsiTheme="minorBidi"/>
          <w:i/>
          <w:iCs/>
          <w:szCs w:val="22"/>
        </w:rPr>
        <w:t>l’utilisation</w:t>
      </w:r>
      <w:proofErr w:type="gramEnd"/>
      <w:r w:rsidR="0035588A" w:rsidRPr="00B1623B">
        <w:rPr>
          <w:rFonts w:asciiTheme="minorBidi" w:hAnsiTheme="minorBidi"/>
          <w:i/>
          <w:iCs/>
          <w:szCs w:val="22"/>
        </w:rPr>
        <w:t xml:space="preserve"> de technologies telles que des outils audiovisuels, lorsque cela est possible, pour la mise à disposition des informations requises dans les formulaires de candidature et la communication de préoccupations.</w:t>
      </w:r>
      <w:r w:rsidR="0035588A">
        <w:rPr>
          <w:rFonts w:asciiTheme="minorBidi" w:hAnsiTheme="minorBidi"/>
          <w:i/>
          <w:iCs/>
          <w:szCs w:val="22"/>
        </w:rPr>
        <w:t xml:space="preserve"> </w:t>
      </w:r>
    </w:p>
    <w:p w14:paraId="595524CC" w14:textId="36E683CC" w:rsidR="00127C3D" w:rsidRPr="00A32B53" w:rsidRDefault="00912F62" w:rsidP="00D55CA5">
      <w:pPr>
        <w:widowControl w:val="0"/>
        <w:numPr>
          <w:ilvl w:val="0"/>
          <w:numId w:val="13"/>
        </w:numPr>
        <w:ind w:left="567" w:hanging="567"/>
        <w:jc w:val="both"/>
        <w:rPr>
          <w:rFonts w:asciiTheme="minorBidi" w:hAnsiTheme="minorBidi" w:cstheme="minorBidi"/>
          <w:i/>
          <w:iCs/>
          <w:szCs w:val="22"/>
        </w:rPr>
      </w:pPr>
      <w:r>
        <w:rPr>
          <w:rFonts w:asciiTheme="minorBidi" w:hAnsiTheme="minorBidi"/>
        </w:rPr>
        <w:t xml:space="preserve">Le Groupe de travail recommande </w:t>
      </w:r>
      <w:r w:rsidR="00F00748">
        <w:rPr>
          <w:rFonts w:asciiTheme="minorBidi" w:hAnsiTheme="minorBidi"/>
        </w:rPr>
        <w:t>d’utiliser</w:t>
      </w:r>
      <w:r>
        <w:rPr>
          <w:rFonts w:asciiTheme="minorBidi" w:hAnsiTheme="minorBidi"/>
        </w:rPr>
        <w:t xml:space="preserve"> un langage </w:t>
      </w:r>
      <w:r w:rsidR="0035588A">
        <w:rPr>
          <w:rFonts w:asciiTheme="minorBidi" w:hAnsiTheme="minorBidi"/>
        </w:rPr>
        <w:t xml:space="preserve">inclusif </w:t>
      </w:r>
      <w:r>
        <w:rPr>
          <w:rFonts w:asciiTheme="minorBidi" w:hAnsiTheme="minorBidi"/>
        </w:rPr>
        <w:t xml:space="preserve">et </w:t>
      </w:r>
      <w:r w:rsidR="0035588A">
        <w:rPr>
          <w:rFonts w:asciiTheme="minorBidi" w:hAnsiTheme="minorBidi"/>
        </w:rPr>
        <w:t xml:space="preserve">neutre en termes de genre </w:t>
      </w:r>
      <w:r>
        <w:rPr>
          <w:rFonts w:asciiTheme="minorBidi" w:hAnsiTheme="minorBidi"/>
        </w:rPr>
        <w:t xml:space="preserve">dans tous les aspects de la mise en œuvre de la Convention, </w:t>
      </w:r>
      <w:r w:rsidR="0035588A">
        <w:rPr>
          <w:rFonts w:asciiTheme="minorBidi" w:hAnsiTheme="minorBidi"/>
        </w:rPr>
        <w:t>y compris</w:t>
      </w:r>
      <w:r>
        <w:rPr>
          <w:rFonts w:asciiTheme="minorBidi" w:hAnsiTheme="minorBidi"/>
        </w:rPr>
        <w:t xml:space="preserve"> notamment</w:t>
      </w:r>
      <w:r w:rsidR="0035588A">
        <w:rPr>
          <w:rFonts w:asciiTheme="minorBidi" w:hAnsiTheme="minorBidi"/>
        </w:rPr>
        <w:t xml:space="preserve"> d’éviter</w:t>
      </w:r>
      <w:r>
        <w:rPr>
          <w:rFonts w:asciiTheme="minorBidi" w:hAnsiTheme="minorBidi"/>
        </w:rPr>
        <w:t xml:space="preserve"> </w:t>
      </w:r>
      <w:r w:rsidR="0035588A">
        <w:rPr>
          <w:rFonts w:asciiTheme="minorBidi" w:hAnsiTheme="minorBidi"/>
        </w:rPr>
        <w:t xml:space="preserve">l’utilisation de </w:t>
      </w:r>
      <w:r>
        <w:rPr>
          <w:rFonts w:asciiTheme="minorBidi" w:hAnsiTheme="minorBidi"/>
        </w:rPr>
        <w:t xml:space="preserve">termes tels que </w:t>
      </w:r>
      <w:proofErr w:type="gramStart"/>
      <w:r>
        <w:rPr>
          <w:rFonts w:asciiTheme="minorBidi" w:hAnsiTheme="minorBidi"/>
        </w:rPr>
        <w:t>’«</w:t>
      </w:r>
      <w:proofErr w:type="gramEnd"/>
      <w:r w:rsidR="00A75AD0">
        <w:rPr>
          <w:rFonts w:asciiTheme="minorBidi" w:hAnsiTheme="minorBidi"/>
        </w:rPr>
        <w:t xml:space="preserve"> </w:t>
      </w:r>
      <w:proofErr w:type="spellStart"/>
      <w:r w:rsidR="00A75AD0">
        <w:rPr>
          <w:rFonts w:asciiTheme="minorBidi" w:hAnsiTheme="minorBidi"/>
        </w:rPr>
        <w:t>gentleman’s</w:t>
      </w:r>
      <w:proofErr w:type="spellEnd"/>
      <w:r w:rsidR="00A75AD0">
        <w:rPr>
          <w:rFonts w:asciiTheme="minorBidi" w:hAnsiTheme="minorBidi"/>
        </w:rPr>
        <w:t xml:space="preserve"> agreement</w:t>
      </w:r>
      <w:r>
        <w:rPr>
          <w:rFonts w:asciiTheme="minorBidi" w:hAnsiTheme="minorBidi"/>
        </w:rPr>
        <w:t> ».</w:t>
      </w:r>
      <w:r>
        <w:rPr>
          <w:rFonts w:ascii="Arial" w:hAnsi="Arial"/>
          <w:snapToGrid w:val="0"/>
        </w:rPr>
        <w:t xml:space="preserve"> [</w:t>
      </w:r>
      <w:proofErr w:type="gramStart"/>
      <w:r>
        <w:rPr>
          <w:rFonts w:ascii="Arial" w:hAnsi="Arial"/>
          <w:snapToGrid w:val="0"/>
          <w:highlight w:val="cyan"/>
        </w:rPr>
        <w:t>résolution</w:t>
      </w:r>
      <w:proofErr w:type="gramEnd"/>
      <w:r>
        <w:rPr>
          <w:rFonts w:ascii="Arial" w:hAnsi="Arial"/>
          <w:snapToGrid w:val="0"/>
          <w:highlight w:val="cyan"/>
        </w:rPr>
        <w:t xml:space="preserve"> adoptée par la partie I</w:t>
      </w:r>
      <w:r>
        <w:rPr>
          <w:rFonts w:ascii="Arial" w:hAnsi="Arial"/>
          <w:snapToGrid w:val="0"/>
        </w:rPr>
        <w:t>]</w:t>
      </w:r>
    </w:p>
    <w:p w14:paraId="1162704E" w14:textId="2CE6907F" w:rsidR="00A32B53" w:rsidRPr="00BC4F2E" w:rsidRDefault="00127C3D" w:rsidP="00BC4F2E">
      <w:pPr>
        <w:numPr>
          <w:ilvl w:val="0"/>
          <w:numId w:val="13"/>
        </w:numPr>
        <w:ind w:left="567" w:hanging="567"/>
        <w:jc w:val="both"/>
        <w:rPr>
          <w:rFonts w:ascii="Arial" w:hAnsi="Arial" w:cs="Arial"/>
          <w:i/>
          <w:iCs/>
          <w:szCs w:val="22"/>
        </w:rPr>
      </w:pPr>
      <w:proofErr w:type="gramStart"/>
      <w:r>
        <w:rPr>
          <w:rFonts w:ascii="Arial" w:hAnsi="Arial"/>
          <w:highlight w:val="yellow"/>
        </w:rPr>
        <w:t>xxx</w:t>
      </w:r>
      <w:proofErr w:type="gramEnd"/>
      <w:r>
        <w:rPr>
          <w:rFonts w:ascii="Arial" w:hAnsi="Arial"/>
          <w:snapToGrid w:val="0"/>
          <w:highlight w:val="yellow"/>
        </w:rPr>
        <w:t xml:space="preserve"> </w:t>
      </w:r>
      <w:r>
        <w:rPr>
          <w:rFonts w:ascii="Arial" w:hAnsi="Arial"/>
          <w:highlight w:val="yellow"/>
        </w:rPr>
        <w:t>[tel qu’adopté au titre du point 7]</w:t>
      </w:r>
    </w:p>
    <w:sectPr w:rsidR="00A32B53" w:rsidRPr="00BC4F2E"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0738" w14:textId="77777777" w:rsidR="00D0620D" w:rsidRDefault="00D0620D" w:rsidP="002938F2">
      <w:r>
        <w:separator/>
      </w:r>
    </w:p>
    <w:p w14:paraId="1D6BA4EB" w14:textId="77777777" w:rsidR="00D0620D" w:rsidRDefault="00D0620D"/>
  </w:endnote>
  <w:endnote w:type="continuationSeparator" w:id="0">
    <w:p w14:paraId="0AEE02B3" w14:textId="77777777" w:rsidR="00D0620D" w:rsidRDefault="00D0620D" w:rsidP="002938F2">
      <w:r>
        <w:continuationSeparator/>
      </w:r>
    </w:p>
    <w:p w14:paraId="67EA3F61" w14:textId="77777777" w:rsidR="00D0620D" w:rsidRDefault="00D06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66D2" w14:textId="77777777" w:rsidR="00D0620D" w:rsidRDefault="00D0620D" w:rsidP="002938F2">
      <w:r>
        <w:separator/>
      </w:r>
    </w:p>
    <w:p w14:paraId="19ED5531" w14:textId="77777777" w:rsidR="00D0620D" w:rsidRDefault="00D0620D"/>
  </w:footnote>
  <w:footnote w:type="continuationSeparator" w:id="0">
    <w:p w14:paraId="6AA3FFBF" w14:textId="77777777" w:rsidR="00D0620D" w:rsidRDefault="00D0620D" w:rsidP="002938F2">
      <w:r>
        <w:continuationSeparator/>
      </w:r>
    </w:p>
    <w:p w14:paraId="309726A4" w14:textId="77777777" w:rsidR="00D0620D" w:rsidRDefault="00D06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59108CA3" w:rsidR="00B6167A" w:rsidRPr="002B7155" w:rsidRDefault="002B7155" w:rsidP="007E4E37">
    <w:pPr>
      <w:pStyle w:val="Header"/>
      <w:rPr>
        <w:rFonts w:ascii="Arial" w:hAnsi="Arial" w:cs="Arial"/>
      </w:rPr>
    </w:pPr>
    <w:r>
      <w:rPr>
        <w:rFonts w:ascii="Arial" w:hAnsi="Arial"/>
        <w:sz w:val="20"/>
      </w:rPr>
      <w:t xml:space="preserve">LHE/21/16.COM WG/8 – page </w:t>
    </w:r>
    <w:r w:rsidR="00B6167A" w:rsidRPr="00D81948">
      <w:rPr>
        <w:rStyle w:val="PageNumber"/>
        <w:rFonts w:ascii="Arial" w:hAnsi="Arial" w:cs="Arial"/>
        <w:sz w:val="20"/>
      </w:rPr>
      <w:fldChar w:fldCharType="begin"/>
    </w:r>
    <w:r w:rsidR="00B6167A" w:rsidRPr="002B7155">
      <w:rPr>
        <w:rStyle w:val="PageNumber"/>
        <w:rFonts w:ascii="Arial" w:hAnsi="Arial" w:cs="Arial"/>
        <w:sz w:val="20"/>
      </w:rPr>
      <w:instrText xml:space="preserve"> PAGE </w:instrText>
    </w:r>
    <w:r w:rsidR="00B6167A" w:rsidRPr="00D81948">
      <w:rPr>
        <w:rStyle w:val="PageNumber"/>
        <w:rFonts w:ascii="Arial" w:hAnsi="Arial" w:cs="Arial"/>
        <w:sz w:val="20"/>
      </w:rPr>
      <w:fldChar w:fldCharType="separate"/>
    </w:r>
    <w:r w:rsidR="00084713" w:rsidRPr="002B7155">
      <w:rPr>
        <w:rStyle w:val="PageNumber"/>
        <w:rFonts w:ascii="Arial" w:hAnsi="Arial" w:cs="Arial"/>
        <w:sz w:val="20"/>
      </w:rPr>
      <w:t>2</w:t>
    </w:r>
    <w:r w:rsidR="00B6167A"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4C21796B" w:rsidR="00B6167A" w:rsidRPr="007E4E37" w:rsidRDefault="00205665" w:rsidP="007250E3">
    <w:pPr>
      <w:pStyle w:val="Header"/>
      <w:ind w:left="2544" w:firstLine="3693"/>
      <w:jc w:val="right"/>
      <w:rPr>
        <w:rFonts w:ascii="Arial" w:hAnsi="Arial" w:cs="Arial"/>
      </w:rPr>
    </w:pPr>
    <w:bookmarkStart w:id="1" w:name="_Hlk80957050"/>
    <w:r>
      <w:rPr>
        <w:rFonts w:ascii="Arial" w:hAnsi="Arial"/>
        <w:sz w:val="20"/>
      </w:rPr>
      <w:t xml:space="preserve">LHE/21/16.COM WG/8 </w:t>
    </w:r>
    <w:bookmarkEnd w:id="1"/>
    <w:r>
      <w:rPr>
        <w:rFonts w:ascii="Arial" w:hAnsi="Arial"/>
        <w:sz w:val="20"/>
      </w:rPr>
      <w:t xml:space="preserve">– page </w:t>
    </w:r>
    <w:r w:rsidR="001E4EEB" w:rsidRPr="00EF563B">
      <w:rPr>
        <w:rStyle w:val="PageNumber"/>
        <w:rFonts w:ascii="Arial" w:hAnsi="Arial" w:cs="Arial"/>
        <w:sz w:val="20"/>
      </w:rPr>
      <w:fldChar w:fldCharType="begin"/>
    </w:r>
    <w:r w:rsidR="001E4EEB" w:rsidRPr="00EF563B">
      <w:rPr>
        <w:rStyle w:val="PageNumber"/>
        <w:rFonts w:ascii="Arial" w:hAnsi="Arial" w:cs="Arial"/>
        <w:sz w:val="20"/>
      </w:rPr>
      <w:instrText xml:space="preserve"> </w:instrText>
    </w:r>
    <w:r w:rsidR="001E4EEB">
      <w:rPr>
        <w:rStyle w:val="PageNumber"/>
        <w:rFonts w:ascii="Arial" w:hAnsi="Arial" w:cs="Arial"/>
        <w:sz w:val="20"/>
      </w:rPr>
      <w:instrText>PAGE</w:instrText>
    </w:r>
    <w:r w:rsidR="001E4EEB" w:rsidRPr="00EF563B">
      <w:rPr>
        <w:rStyle w:val="PageNumber"/>
        <w:rFonts w:ascii="Arial" w:hAnsi="Arial" w:cs="Arial"/>
        <w:sz w:val="20"/>
      </w:rPr>
      <w:instrText xml:space="preserve"> </w:instrText>
    </w:r>
    <w:r w:rsidR="001E4EEB" w:rsidRPr="00EF563B">
      <w:rPr>
        <w:rStyle w:val="PageNumber"/>
        <w:rFonts w:ascii="Arial" w:hAnsi="Arial" w:cs="Arial"/>
        <w:sz w:val="20"/>
      </w:rPr>
      <w:fldChar w:fldCharType="separate"/>
    </w:r>
    <w:r w:rsidR="00CA6FEF">
      <w:rPr>
        <w:rStyle w:val="PageNumber"/>
        <w:rFonts w:ascii="Arial" w:hAnsi="Arial" w:cs="Arial"/>
        <w:sz w:val="20"/>
      </w:rPr>
      <w:t>3</w:t>
    </w:r>
    <w:r w:rsidR="001E4EEB" w:rsidRPr="00EF563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6C22FD23" w:rsidR="00B6167A" w:rsidRPr="008724E5" w:rsidRDefault="00EE7137">
    <w:pPr>
      <w:pStyle w:val="Header"/>
    </w:pPr>
    <w:r>
      <w:rPr>
        <w:noProof/>
      </w:rPr>
      <w:drawing>
        <wp:inline distT="0" distB="0" distL="0" distR="0" wp14:anchorId="15560B86" wp14:editId="2104C50F">
          <wp:extent cx="1644015" cy="988695"/>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015" cy="988695"/>
                  </a:xfrm>
                  <a:prstGeom prst="rect">
                    <a:avLst/>
                  </a:prstGeom>
                </pic:spPr>
              </pic:pic>
            </a:graphicData>
          </a:graphic>
        </wp:inline>
      </w:drawing>
    </w:r>
  </w:p>
  <w:p w14:paraId="278AC81C" w14:textId="6640EA2C" w:rsidR="00B6167A" w:rsidRPr="00EA0F18" w:rsidRDefault="00F33650" w:rsidP="002938F2">
    <w:pPr>
      <w:pStyle w:val="Header"/>
      <w:spacing w:after="520"/>
      <w:jc w:val="right"/>
      <w:rPr>
        <w:rFonts w:ascii="Arial" w:eastAsiaTheme="minorEastAsia" w:hAnsi="Arial" w:cs="Arial"/>
        <w:b/>
        <w:sz w:val="44"/>
        <w:szCs w:val="44"/>
        <w:lang w:val="pt-PT"/>
      </w:rPr>
    </w:pPr>
    <w:r w:rsidRPr="00EA0F18">
      <w:rPr>
        <w:rFonts w:ascii="Arial" w:hAnsi="Arial"/>
        <w:b/>
        <w:sz w:val="44"/>
        <w:lang w:val="pt-PT"/>
      </w:rPr>
      <w:t>16 COM WG</w:t>
    </w:r>
  </w:p>
  <w:p w14:paraId="122B936C" w14:textId="400B3CC4" w:rsidR="00B6167A" w:rsidRPr="00EA0F18" w:rsidRDefault="003F67FB" w:rsidP="002D396D">
    <w:pPr>
      <w:spacing w:after="0"/>
      <w:jc w:val="right"/>
      <w:rPr>
        <w:rFonts w:ascii="Arial" w:eastAsiaTheme="minorEastAsia" w:hAnsi="Arial" w:cs="Arial"/>
        <w:b/>
        <w:szCs w:val="22"/>
        <w:lang w:val="pt-PT"/>
      </w:rPr>
    </w:pPr>
    <w:r w:rsidRPr="00EA0F18">
      <w:rPr>
        <w:rFonts w:ascii="Arial" w:hAnsi="Arial"/>
        <w:b/>
        <w:lang w:val="pt-PT"/>
      </w:rPr>
      <w:t>LHE/21/16.COM WG/8</w:t>
    </w:r>
  </w:p>
  <w:p w14:paraId="2CC34105" w14:textId="6E9F7364" w:rsidR="00B6167A" w:rsidRPr="00205665" w:rsidRDefault="00B6167A" w:rsidP="00C81439">
    <w:pPr>
      <w:spacing w:after="0"/>
      <w:jc w:val="right"/>
      <w:rPr>
        <w:rFonts w:ascii="Arial" w:eastAsiaTheme="minorEastAsia" w:hAnsi="Arial" w:cs="Arial"/>
        <w:b/>
        <w:szCs w:val="22"/>
      </w:rPr>
    </w:pPr>
    <w:r>
      <w:rPr>
        <w:rFonts w:ascii="Arial" w:hAnsi="Arial"/>
        <w:b/>
      </w:rPr>
      <w:t xml:space="preserve">Paris, le </w:t>
    </w:r>
    <w:r w:rsidRPr="001978F0">
      <w:rPr>
        <w:rFonts w:ascii="Arial" w:hAnsi="Arial"/>
        <w:b/>
      </w:rPr>
      <w:t>3</w:t>
    </w:r>
    <w:r w:rsidR="00620641" w:rsidRPr="001978F0">
      <w:rPr>
        <w:rFonts w:ascii="Arial" w:hAnsi="Arial"/>
        <w:b/>
      </w:rPr>
      <w:t>1</w:t>
    </w:r>
    <w:r w:rsidRPr="001978F0">
      <w:rPr>
        <w:rFonts w:ascii="Arial" w:hAnsi="Arial"/>
        <w:b/>
      </w:rPr>
      <w:t xml:space="preserve"> août 2021</w:t>
    </w:r>
  </w:p>
  <w:p w14:paraId="3D76CF75" w14:textId="2524E388" w:rsidR="00B6167A" w:rsidRPr="00D81948" w:rsidRDefault="00B6167A" w:rsidP="001978F0">
    <w:pPr>
      <w:spacing w:after="0"/>
      <w:jc w:val="right"/>
    </w:pPr>
    <w:r>
      <w:rPr>
        <w:rFonts w:ascii="Arial" w:hAnsi="Arial"/>
        <w:b/>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05A"/>
    <w:multiLevelType w:val="hybridMultilevel"/>
    <w:tmpl w:val="0E0A16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F363B6"/>
    <w:multiLevelType w:val="hybridMultilevel"/>
    <w:tmpl w:val="C10C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6346ACA"/>
    <w:multiLevelType w:val="hybridMultilevel"/>
    <w:tmpl w:val="C6008CFA"/>
    <w:lvl w:ilvl="0" w:tplc="FE8CD666">
      <w:start w:val="1"/>
      <w:numFmt w:val="lowerLetter"/>
      <w:lvlText w:val="(%1)"/>
      <w:lvlJc w:val="left"/>
      <w:pPr>
        <w:ind w:left="1287" w:hanging="360"/>
      </w:pPr>
      <w:rPr>
        <w:rFonts w:hint="default"/>
      </w:rPr>
    </w:lvl>
    <w:lvl w:ilvl="1" w:tplc="D0E46A06">
      <w:start w:val="1"/>
      <w:numFmt w:val="lowerLetter"/>
      <w:lvlText w:val="(%2)"/>
      <w:lvlJc w:val="left"/>
      <w:pPr>
        <w:ind w:left="2007" w:hanging="360"/>
      </w:pPr>
      <w:rPr>
        <w:rFonts w:hint="default"/>
        <w:i/>
        <w:iCs/>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17246C8C"/>
    <w:multiLevelType w:val="hybridMultilevel"/>
    <w:tmpl w:val="6416038E"/>
    <w:lvl w:ilvl="0" w:tplc="D0E46A06">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DA7003"/>
    <w:multiLevelType w:val="hybridMultilevel"/>
    <w:tmpl w:val="0E0A16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441036"/>
    <w:multiLevelType w:val="hybridMultilevel"/>
    <w:tmpl w:val="BA70CFE8"/>
    <w:lvl w:ilvl="0" w:tplc="87DEB68C">
      <w:start w:val="1"/>
      <w:numFmt w:val="decimal"/>
      <w:lvlText w:val="%1."/>
      <w:lvlJc w:val="left"/>
      <w:pPr>
        <w:ind w:left="420"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87B0E72"/>
    <w:multiLevelType w:val="hybridMultilevel"/>
    <w:tmpl w:val="0F6E3FCA"/>
    <w:lvl w:ilvl="0" w:tplc="DB805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9F2BD1"/>
    <w:multiLevelType w:val="hybridMultilevel"/>
    <w:tmpl w:val="628066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6EB3E4C"/>
    <w:multiLevelType w:val="hybridMultilevel"/>
    <w:tmpl w:val="783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0F60F3"/>
    <w:multiLevelType w:val="hybridMultilevel"/>
    <w:tmpl w:val="45E264B0"/>
    <w:lvl w:ilvl="0" w:tplc="D0E46A06">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A65F6E"/>
    <w:multiLevelType w:val="hybridMultilevel"/>
    <w:tmpl w:val="CC28C89A"/>
    <w:lvl w:ilvl="0" w:tplc="D0E46A06">
      <w:start w:val="1"/>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20"/>
  </w:num>
  <w:num w:numId="5">
    <w:abstractNumId w:val="15"/>
  </w:num>
  <w:num w:numId="6">
    <w:abstractNumId w:val="2"/>
  </w:num>
  <w:num w:numId="7">
    <w:abstractNumId w:val="7"/>
  </w:num>
  <w:num w:numId="8">
    <w:abstractNumId w:val="9"/>
  </w:num>
  <w:num w:numId="9">
    <w:abstractNumId w:val="16"/>
  </w:num>
  <w:num w:numId="10">
    <w:abstractNumId w:val="9"/>
    <w:lvlOverride w:ilvl="0">
      <w:startOverride w:val="1"/>
    </w:lvlOverride>
  </w:num>
  <w:num w:numId="11">
    <w:abstractNumId w:val="19"/>
  </w:num>
  <w:num w:numId="12">
    <w:abstractNumId w:val="11"/>
  </w:num>
  <w:num w:numId="13">
    <w:abstractNumId w:val="8"/>
  </w:num>
  <w:num w:numId="14">
    <w:abstractNumId w:val="3"/>
  </w:num>
  <w:num w:numId="15">
    <w:abstractNumId w:val="18"/>
  </w:num>
  <w:num w:numId="16">
    <w:abstractNumId w:val="4"/>
  </w:num>
  <w:num w:numId="17">
    <w:abstractNumId w:val="0"/>
  </w:num>
  <w:num w:numId="18">
    <w:abstractNumId w:val="13"/>
  </w:num>
  <w:num w:numId="19">
    <w:abstractNumId w:val="12"/>
  </w:num>
  <w:num w:numId="20">
    <w:abstractNumId w:val="9"/>
  </w:num>
  <w:num w:numId="21">
    <w:abstractNumId w:val="1"/>
  </w:num>
  <w:num w:numId="22">
    <w:abstractNumId w:val="6"/>
  </w:num>
  <w:num w:numId="23">
    <w:abstractNumId w:val="17"/>
  </w:num>
  <w:num w:numId="24">
    <w:abstractNumId w:val="9"/>
  </w:num>
  <w:num w:numId="25">
    <w:abstractNumId w:val="9"/>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053FC"/>
    <w:rsid w:val="00006AC3"/>
    <w:rsid w:val="000120FD"/>
    <w:rsid w:val="00021831"/>
    <w:rsid w:val="00022D6E"/>
    <w:rsid w:val="000301B0"/>
    <w:rsid w:val="00047E58"/>
    <w:rsid w:val="00056888"/>
    <w:rsid w:val="00073D20"/>
    <w:rsid w:val="000755E1"/>
    <w:rsid w:val="00084713"/>
    <w:rsid w:val="00085541"/>
    <w:rsid w:val="00091751"/>
    <w:rsid w:val="00093063"/>
    <w:rsid w:val="000A34CE"/>
    <w:rsid w:val="000A6F5C"/>
    <w:rsid w:val="000A7E4C"/>
    <w:rsid w:val="000C65E4"/>
    <w:rsid w:val="000D42D9"/>
    <w:rsid w:val="000E507B"/>
    <w:rsid w:val="00106B72"/>
    <w:rsid w:val="0011750D"/>
    <w:rsid w:val="00127C3D"/>
    <w:rsid w:val="001412DE"/>
    <w:rsid w:val="00144A4D"/>
    <w:rsid w:val="00151351"/>
    <w:rsid w:val="00167102"/>
    <w:rsid w:val="00174B39"/>
    <w:rsid w:val="0018668E"/>
    <w:rsid w:val="001978F0"/>
    <w:rsid w:val="001A431C"/>
    <w:rsid w:val="001A5F55"/>
    <w:rsid w:val="001B2263"/>
    <w:rsid w:val="001B2F76"/>
    <w:rsid w:val="001D00B5"/>
    <w:rsid w:val="001D11C1"/>
    <w:rsid w:val="001D383E"/>
    <w:rsid w:val="001D3B29"/>
    <w:rsid w:val="001D5898"/>
    <w:rsid w:val="001D59C8"/>
    <w:rsid w:val="001E4EEB"/>
    <w:rsid w:val="001E6026"/>
    <w:rsid w:val="001F3696"/>
    <w:rsid w:val="001F37CA"/>
    <w:rsid w:val="002048AE"/>
    <w:rsid w:val="00204B37"/>
    <w:rsid w:val="00205665"/>
    <w:rsid w:val="002119C5"/>
    <w:rsid w:val="0021791D"/>
    <w:rsid w:val="002361B7"/>
    <w:rsid w:val="00237E43"/>
    <w:rsid w:val="00247FA3"/>
    <w:rsid w:val="00251C9B"/>
    <w:rsid w:val="00262E2A"/>
    <w:rsid w:val="0027198B"/>
    <w:rsid w:val="00271C06"/>
    <w:rsid w:val="00273FCC"/>
    <w:rsid w:val="00281A4B"/>
    <w:rsid w:val="00282040"/>
    <w:rsid w:val="00285729"/>
    <w:rsid w:val="00286C0C"/>
    <w:rsid w:val="00290D5F"/>
    <w:rsid w:val="00292DE8"/>
    <w:rsid w:val="002938F2"/>
    <w:rsid w:val="00297088"/>
    <w:rsid w:val="00297E9E"/>
    <w:rsid w:val="002A03F3"/>
    <w:rsid w:val="002B7155"/>
    <w:rsid w:val="002C14A2"/>
    <w:rsid w:val="002C5280"/>
    <w:rsid w:val="002D396D"/>
    <w:rsid w:val="002E0B4B"/>
    <w:rsid w:val="002E6654"/>
    <w:rsid w:val="002E7967"/>
    <w:rsid w:val="002E7E99"/>
    <w:rsid w:val="00343C81"/>
    <w:rsid w:val="003519FF"/>
    <w:rsid w:val="0035588A"/>
    <w:rsid w:val="0035648A"/>
    <w:rsid w:val="00363995"/>
    <w:rsid w:val="00365B94"/>
    <w:rsid w:val="0039446E"/>
    <w:rsid w:val="003978E3"/>
    <w:rsid w:val="003A3A15"/>
    <w:rsid w:val="003B66C7"/>
    <w:rsid w:val="003C7065"/>
    <w:rsid w:val="003E1013"/>
    <w:rsid w:val="003F67FB"/>
    <w:rsid w:val="00404BB0"/>
    <w:rsid w:val="004108B6"/>
    <w:rsid w:val="00420BA6"/>
    <w:rsid w:val="00421FFC"/>
    <w:rsid w:val="004326C3"/>
    <w:rsid w:val="00434773"/>
    <w:rsid w:val="0043512A"/>
    <w:rsid w:val="00447C66"/>
    <w:rsid w:val="00456277"/>
    <w:rsid w:val="00464921"/>
    <w:rsid w:val="00471379"/>
    <w:rsid w:val="00471B34"/>
    <w:rsid w:val="004725C8"/>
    <w:rsid w:val="00477EE6"/>
    <w:rsid w:val="00483164"/>
    <w:rsid w:val="004A04D4"/>
    <w:rsid w:val="004A673B"/>
    <w:rsid w:val="004D6F99"/>
    <w:rsid w:val="004E056C"/>
    <w:rsid w:val="004E2817"/>
    <w:rsid w:val="004F1B9C"/>
    <w:rsid w:val="005016FB"/>
    <w:rsid w:val="00511D17"/>
    <w:rsid w:val="0051699F"/>
    <w:rsid w:val="005414A1"/>
    <w:rsid w:val="005426CC"/>
    <w:rsid w:val="0058047F"/>
    <w:rsid w:val="00582A6E"/>
    <w:rsid w:val="005908B4"/>
    <w:rsid w:val="005963C8"/>
    <w:rsid w:val="005A3CDB"/>
    <w:rsid w:val="005C0660"/>
    <w:rsid w:val="005C44B9"/>
    <w:rsid w:val="00601DD6"/>
    <w:rsid w:val="00603F71"/>
    <w:rsid w:val="00610579"/>
    <w:rsid w:val="00620641"/>
    <w:rsid w:val="00624572"/>
    <w:rsid w:val="00636760"/>
    <w:rsid w:val="00650E3A"/>
    <w:rsid w:val="006515C9"/>
    <w:rsid w:val="00652318"/>
    <w:rsid w:val="0067005F"/>
    <w:rsid w:val="00681E6B"/>
    <w:rsid w:val="00693F84"/>
    <w:rsid w:val="00694C3A"/>
    <w:rsid w:val="006A0D86"/>
    <w:rsid w:val="006B1212"/>
    <w:rsid w:val="006B5C57"/>
    <w:rsid w:val="006C0911"/>
    <w:rsid w:val="006D46FB"/>
    <w:rsid w:val="00706D9F"/>
    <w:rsid w:val="00710F2B"/>
    <w:rsid w:val="00716E39"/>
    <w:rsid w:val="007250E3"/>
    <w:rsid w:val="007324DB"/>
    <w:rsid w:val="00736672"/>
    <w:rsid w:val="00746204"/>
    <w:rsid w:val="00747715"/>
    <w:rsid w:val="00750138"/>
    <w:rsid w:val="00750B6D"/>
    <w:rsid w:val="00753DA3"/>
    <w:rsid w:val="00764F50"/>
    <w:rsid w:val="00770A92"/>
    <w:rsid w:val="007860FB"/>
    <w:rsid w:val="00790C65"/>
    <w:rsid w:val="0079717B"/>
    <w:rsid w:val="007A1845"/>
    <w:rsid w:val="007A7D45"/>
    <w:rsid w:val="007B43F7"/>
    <w:rsid w:val="007C1B00"/>
    <w:rsid w:val="007C38FF"/>
    <w:rsid w:val="007D31CE"/>
    <w:rsid w:val="007D5BB7"/>
    <w:rsid w:val="007E0621"/>
    <w:rsid w:val="007E4E37"/>
    <w:rsid w:val="007F4B07"/>
    <w:rsid w:val="00800B95"/>
    <w:rsid w:val="008166C1"/>
    <w:rsid w:val="00826B29"/>
    <w:rsid w:val="0083488D"/>
    <w:rsid w:val="00843B71"/>
    <w:rsid w:val="008466C3"/>
    <w:rsid w:val="00851458"/>
    <w:rsid w:val="00861A47"/>
    <w:rsid w:val="008707FF"/>
    <w:rsid w:val="008724E5"/>
    <w:rsid w:val="008A11DA"/>
    <w:rsid w:val="008B7346"/>
    <w:rsid w:val="008C5ECC"/>
    <w:rsid w:val="008C791A"/>
    <w:rsid w:val="008D3BF7"/>
    <w:rsid w:val="008F16C6"/>
    <w:rsid w:val="008F34A1"/>
    <w:rsid w:val="00900952"/>
    <w:rsid w:val="009121CE"/>
    <w:rsid w:val="009127D8"/>
    <w:rsid w:val="00912F62"/>
    <w:rsid w:val="00921F65"/>
    <w:rsid w:val="00922F04"/>
    <w:rsid w:val="009278E4"/>
    <w:rsid w:val="0093338D"/>
    <w:rsid w:val="00937013"/>
    <w:rsid w:val="00957E3D"/>
    <w:rsid w:val="009603E4"/>
    <w:rsid w:val="0097349C"/>
    <w:rsid w:val="009741CD"/>
    <w:rsid w:val="00995448"/>
    <w:rsid w:val="009B4832"/>
    <w:rsid w:val="009B4F53"/>
    <w:rsid w:val="009D4547"/>
    <w:rsid w:val="009D5E38"/>
    <w:rsid w:val="009F34A4"/>
    <w:rsid w:val="009F3988"/>
    <w:rsid w:val="00A00D55"/>
    <w:rsid w:val="00A150C7"/>
    <w:rsid w:val="00A1622C"/>
    <w:rsid w:val="00A225CF"/>
    <w:rsid w:val="00A227CD"/>
    <w:rsid w:val="00A32B53"/>
    <w:rsid w:val="00A45966"/>
    <w:rsid w:val="00A519A2"/>
    <w:rsid w:val="00A57FD7"/>
    <w:rsid w:val="00A61038"/>
    <w:rsid w:val="00A70883"/>
    <w:rsid w:val="00A75AD0"/>
    <w:rsid w:val="00A77AEB"/>
    <w:rsid w:val="00A8000C"/>
    <w:rsid w:val="00A86042"/>
    <w:rsid w:val="00AA444A"/>
    <w:rsid w:val="00AB102F"/>
    <w:rsid w:val="00AB1528"/>
    <w:rsid w:val="00AB6A51"/>
    <w:rsid w:val="00AD0733"/>
    <w:rsid w:val="00AE1AA6"/>
    <w:rsid w:val="00AE1B18"/>
    <w:rsid w:val="00AF1C32"/>
    <w:rsid w:val="00AF56B3"/>
    <w:rsid w:val="00B11AE3"/>
    <w:rsid w:val="00B11E6B"/>
    <w:rsid w:val="00B177A0"/>
    <w:rsid w:val="00B3196D"/>
    <w:rsid w:val="00B3265D"/>
    <w:rsid w:val="00B369A4"/>
    <w:rsid w:val="00B55F3C"/>
    <w:rsid w:val="00B56D51"/>
    <w:rsid w:val="00B6167A"/>
    <w:rsid w:val="00B6168E"/>
    <w:rsid w:val="00B973B5"/>
    <w:rsid w:val="00BA06B8"/>
    <w:rsid w:val="00BC455B"/>
    <w:rsid w:val="00BC4F2E"/>
    <w:rsid w:val="00BD59BD"/>
    <w:rsid w:val="00BE69B8"/>
    <w:rsid w:val="00BE7A1D"/>
    <w:rsid w:val="00C04FE1"/>
    <w:rsid w:val="00C05575"/>
    <w:rsid w:val="00C231CB"/>
    <w:rsid w:val="00C26EE2"/>
    <w:rsid w:val="00C54870"/>
    <w:rsid w:val="00C6478B"/>
    <w:rsid w:val="00C647E8"/>
    <w:rsid w:val="00C76CC8"/>
    <w:rsid w:val="00C81439"/>
    <w:rsid w:val="00CA078D"/>
    <w:rsid w:val="00CA3C44"/>
    <w:rsid w:val="00CA6FEF"/>
    <w:rsid w:val="00CB0DCC"/>
    <w:rsid w:val="00CB0F37"/>
    <w:rsid w:val="00CB500D"/>
    <w:rsid w:val="00CB644A"/>
    <w:rsid w:val="00CC0EE3"/>
    <w:rsid w:val="00CC2BC6"/>
    <w:rsid w:val="00CD007F"/>
    <w:rsid w:val="00CE2586"/>
    <w:rsid w:val="00CE53E9"/>
    <w:rsid w:val="00CF706C"/>
    <w:rsid w:val="00D01BAA"/>
    <w:rsid w:val="00D0620D"/>
    <w:rsid w:val="00D156D1"/>
    <w:rsid w:val="00D20B08"/>
    <w:rsid w:val="00D404B7"/>
    <w:rsid w:val="00D55CA5"/>
    <w:rsid w:val="00D649D3"/>
    <w:rsid w:val="00D66C96"/>
    <w:rsid w:val="00D809E5"/>
    <w:rsid w:val="00D81948"/>
    <w:rsid w:val="00D94FD4"/>
    <w:rsid w:val="00D9501F"/>
    <w:rsid w:val="00DA0B5C"/>
    <w:rsid w:val="00DB47DE"/>
    <w:rsid w:val="00DB50D5"/>
    <w:rsid w:val="00DB7DA2"/>
    <w:rsid w:val="00DF09AA"/>
    <w:rsid w:val="00DF3DA3"/>
    <w:rsid w:val="00E06A00"/>
    <w:rsid w:val="00E22B99"/>
    <w:rsid w:val="00E258D9"/>
    <w:rsid w:val="00E34ADA"/>
    <w:rsid w:val="00E37B70"/>
    <w:rsid w:val="00E439CA"/>
    <w:rsid w:val="00E44342"/>
    <w:rsid w:val="00E51BCA"/>
    <w:rsid w:val="00E5219B"/>
    <w:rsid w:val="00E63BC1"/>
    <w:rsid w:val="00E80705"/>
    <w:rsid w:val="00E824FB"/>
    <w:rsid w:val="00E867CD"/>
    <w:rsid w:val="00E9176D"/>
    <w:rsid w:val="00E96760"/>
    <w:rsid w:val="00EA0F18"/>
    <w:rsid w:val="00EA198F"/>
    <w:rsid w:val="00EC6EE9"/>
    <w:rsid w:val="00EC73AA"/>
    <w:rsid w:val="00EE181A"/>
    <w:rsid w:val="00EE7137"/>
    <w:rsid w:val="00EF0BCB"/>
    <w:rsid w:val="00EF0E74"/>
    <w:rsid w:val="00EF4458"/>
    <w:rsid w:val="00F00748"/>
    <w:rsid w:val="00F00E8A"/>
    <w:rsid w:val="00F01C7F"/>
    <w:rsid w:val="00F03A47"/>
    <w:rsid w:val="00F05D28"/>
    <w:rsid w:val="00F1006C"/>
    <w:rsid w:val="00F15191"/>
    <w:rsid w:val="00F33650"/>
    <w:rsid w:val="00F44447"/>
    <w:rsid w:val="00F473CB"/>
    <w:rsid w:val="00F50245"/>
    <w:rsid w:val="00F50FDF"/>
    <w:rsid w:val="00F5473C"/>
    <w:rsid w:val="00F63DDA"/>
    <w:rsid w:val="00F70858"/>
    <w:rsid w:val="00F7397F"/>
    <w:rsid w:val="00F75949"/>
    <w:rsid w:val="00F75CF4"/>
    <w:rsid w:val="00F941F0"/>
    <w:rsid w:val="00FA1D9F"/>
    <w:rsid w:val="00FA2DE9"/>
    <w:rsid w:val="00FA42C7"/>
    <w:rsid w:val="00FC5F43"/>
    <w:rsid w:val="00FD0D30"/>
    <w:rsid w:val="00FF0B98"/>
    <w:rsid w:val="00FF2B1D"/>
    <w:rsid w:val="00FF5EE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eastAsia="en-US"/>
    </w:rPr>
  </w:style>
  <w:style w:type="character" w:styleId="Hyperlink">
    <w:name w:val="Hyperlink"/>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eastAsia="en-US"/>
    </w:rPr>
  </w:style>
  <w:style w:type="paragraph" w:styleId="ListParagraph">
    <w:name w:val="List Paragraph"/>
    <w:basedOn w:val="Normal"/>
    <w:uiPriority w:val="34"/>
    <w:qFormat/>
    <w:rsid w:val="0059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2021-08-31T15:54:00Z</dcterms:created>
  <dcterms:modified xsi:type="dcterms:W3CDTF">2021-09-06T08:56:00Z</dcterms:modified>
</cp:coreProperties>
</file>