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861A" w14:textId="3D6EF5BB" w:rsidR="002938F2" w:rsidRPr="00BA7A1F" w:rsidRDefault="00F75E18" w:rsidP="00C13665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BA7A1F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BA7A1F">
        <w:rPr>
          <w:rFonts w:ascii="Arial" w:hAnsi="Arial" w:cs="Arial"/>
          <w:b/>
          <w:sz w:val="22"/>
          <w:szCs w:val="22"/>
          <w:lang w:val="fr-FR"/>
        </w:rPr>
        <w:br/>
        <w:t>PATRIMOINE CULTUREL IMMATÉRIEL</w:t>
      </w:r>
    </w:p>
    <w:p w14:paraId="64D5EAD0" w14:textId="2E4DEB84" w:rsidR="0058322C" w:rsidRPr="00D35F68" w:rsidRDefault="0058322C" w:rsidP="0058322C">
      <w:pPr>
        <w:spacing w:before="840"/>
        <w:jc w:val="center"/>
        <w:rPr>
          <w:rFonts w:ascii="Arial" w:eastAsiaTheme="minorEastAsia" w:hAnsi="Arial" w:cs="Arial"/>
          <w:b/>
          <w:sz w:val="22"/>
          <w:szCs w:val="22"/>
          <w:lang w:val="fr-FR" w:eastAsia="ko-KR"/>
        </w:rPr>
      </w:pPr>
      <w:r w:rsidRPr="00D35F68">
        <w:rPr>
          <w:rFonts w:ascii="Arial" w:eastAsiaTheme="minorEastAsia" w:hAnsi="Arial" w:cs="Arial"/>
          <w:b/>
          <w:sz w:val="22"/>
          <w:szCs w:val="22"/>
          <w:lang w:val="fr-FR" w:eastAsia="ko-KR"/>
        </w:rPr>
        <w:t>Groupe de travail intergouvernemental à composition non limitée</w:t>
      </w:r>
      <w:r w:rsidRPr="00D35F68">
        <w:rPr>
          <w:rFonts w:ascii="Arial" w:eastAsiaTheme="minorEastAsia" w:hAnsi="Arial" w:cs="Arial"/>
          <w:b/>
          <w:sz w:val="22"/>
          <w:szCs w:val="22"/>
          <w:lang w:val="fr-FR" w:eastAsia="ko-KR"/>
        </w:rPr>
        <w:br/>
        <w:t>dans le cadre de la réflexion globale sur les mécanismes d</w:t>
      </w:r>
      <w:r w:rsidR="009B735D" w:rsidRPr="00D35F68">
        <w:rPr>
          <w:rFonts w:ascii="Arial" w:eastAsiaTheme="minorEastAsia" w:hAnsi="Arial" w:cs="Arial"/>
          <w:b/>
          <w:sz w:val="22"/>
          <w:szCs w:val="22"/>
          <w:lang w:val="fr-FR" w:eastAsia="ko-KR"/>
        </w:rPr>
        <w:t>’</w:t>
      </w:r>
      <w:r w:rsidRPr="00D35F68">
        <w:rPr>
          <w:rFonts w:ascii="Arial" w:eastAsiaTheme="minorEastAsia" w:hAnsi="Arial" w:cs="Arial"/>
          <w:b/>
          <w:sz w:val="22"/>
          <w:szCs w:val="22"/>
          <w:lang w:val="fr-FR" w:eastAsia="ko-KR"/>
        </w:rPr>
        <w:t>inscription sur les listes</w:t>
      </w:r>
    </w:p>
    <w:p w14:paraId="45020CB4" w14:textId="77777777" w:rsidR="00073478" w:rsidRPr="00BA7A1F" w:rsidRDefault="00073478" w:rsidP="00073478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BA7A1F">
        <w:rPr>
          <w:rFonts w:ascii="Arial" w:hAnsi="Arial" w:cs="Arial"/>
          <w:b/>
          <w:sz w:val="22"/>
          <w:szCs w:val="22"/>
          <w:lang w:val="fr-FR"/>
        </w:rPr>
        <w:t>En ligne</w:t>
      </w:r>
    </w:p>
    <w:p w14:paraId="077E771C" w14:textId="1EB32B82" w:rsidR="00073478" w:rsidRPr="00BA7A1F" w:rsidRDefault="00721E2A" w:rsidP="00073478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D35F68">
        <w:rPr>
          <w:rFonts w:ascii="Arial" w:hAnsi="Arial"/>
          <w:b/>
          <w:sz w:val="22"/>
          <w:szCs w:val="22"/>
          <w:lang w:val="fr-FR"/>
        </w:rPr>
        <w:t>25 et 26 avril 2022</w:t>
      </w:r>
      <w:r w:rsidR="001F0945">
        <w:rPr>
          <w:rFonts w:ascii="Arial" w:hAnsi="Arial"/>
          <w:b/>
          <w:sz w:val="22"/>
          <w:szCs w:val="22"/>
          <w:lang w:val="fr-FR"/>
        </w:rPr>
        <w:t xml:space="preserve"> (Partie III)</w:t>
      </w:r>
    </w:p>
    <w:p w14:paraId="3D3CC138" w14:textId="4AA7F096" w:rsidR="00C42FA9" w:rsidRPr="00BA7A1F" w:rsidRDefault="00C42FA9" w:rsidP="00721E2A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A7A1F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721E2A" w:rsidRPr="00BA7A1F">
        <w:rPr>
          <w:rFonts w:ascii="Arial" w:hAnsi="Arial" w:cs="Arial"/>
          <w:b/>
          <w:sz w:val="22"/>
          <w:szCs w:val="22"/>
          <w:u w:val="single"/>
        </w:rPr>
        <w:t>12</w:t>
      </w:r>
      <w:r w:rsidRPr="00BA7A1F">
        <w:rPr>
          <w:rFonts w:ascii="Arial" w:hAnsi="Arial" w:cs="Arial"/>
          <w:b/>
          <w:sz w:val="22"/>
          <w:szCs w:val="22"/>
          <w:u w:val="single"/>
        </w:rPr>
        <w:t xml:space="preserve"> de l</w:t>
      </w:r>
      <w:r w:rsidR="009B735D" w:rsidRPr="00BA7A1F">
        <w:rPr>
          <w:rFonts w:ascii="Arial" w:hAnsi="Arial" w:cs="Arial"/>
          <w:b/>
          <w:sz w:val="22"/>
          <w:szCs w:val="22"/>
          <w:u w:val="single"/>
        </w:rPr>
        <w:t>’</w:t>
      </w:r>
      <w:r w:rsidRPr="00BA7A1F">
        <w:rPr>
          <w:rFonts w:ascii="Arial" w:hAnsi="Arial" w:cs="Arial"/>
          <w:b/>
          <w:sz w:val="22"/>
          <w:szCs w:val="22"/>
          <w:u w:val="single"/>
        </w:rPr>
        <w:t>ordre du jou</w:t>
      </w:r>
      <w:r w:rsidR="008E2C7E" w:rsidRPr="00BA7A1F">
        <w:rPr>
          <w:rFonts w:ascii="Arial" w:hAnsi="Arial" w:cs="Arial"/>
          <w:b/>
          <w:sz w:val="22"/>
          <w:szCs w:val="22"/>
          <w:u w:val="single"/>
        </w:rPr>
        <w:t>r provisoire</w:t>
      </w:r>
      <w:r w:rsidR="00721E2A" w:rsidRPr="00D35F68">
        <w:rPr>
          <w:rFonts w:ascii="Arial" w:hAnsi="Arial" w:cs="Arial"/>
          <w:b/>
          <w:sz w:val="22"/>
          <w:szCs w:val="22"/>
        </w:rPr>
        <w:t xml:space="preserve"> </w:t>
      </w:r>
      <w:r w:rsidR="00B310A5" w:rsidRPr="00BA7A1F">
        <w:rPr>
          <w:rFonts w:ascii="Arial" w:hAnsi="Arial" w:cs="Arial"/>
          <w:b/>
          <w:sz w:val="22"/>
          <w:szCs w:val="22"/>
        </w:rPr>
        <w:t>:</w:t>
      </w:r>
    </w:p>
    <w:p w14:paraId="47885574" w14:textId="6EEA9383" w:rsidR="00851458" w:rsidRPr="00BA7A1F" w:rsidRDefault="00721E2A" w:rsidP="00721E2A">
      <w:pPr>
        <w:pStyle w:val="Sansinterligne1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BA7A1F">
        <w:rPr>
          <w:rFonts w:ascii="Arial" w:hAnsi="Arial" w:cs="Arial"/>
          <w:b/>
          <w:sz w:val="22"/>
          <w:szCs w:val="22"/>
        </w:rPr>
        <w:t>Rapport au Comité Intergouvernemental</w:t>
      </w:r>
    </w:p>
    <w:p w14:paraId="08D55E4A" w14:textId="77777777" w:rsidR="003268B2" w:rsidRPr="00056A26" w:rsidRDefault="00851458" w:rsidP="003268B2">
      <w:pPr>
        <w:pStyle w:val="Sansinterligne1"/>
        <w:snapToGrid w:val="0"/>
        <w:spacing w:before="120" w:after="120"/>
        <w:jc w:val="both"/>
        <w:rPr>
          <w:rFonts w:asciiTheme="minorBidi" w:eastAsiaTheme="minorEastAsia" w:hAnsiTheme="minorBidi" w:cstheme="minorBidi"/>
          <w:b/>
          <w:sz w:val="22"/>
          <w:szCs w:val="22"/>
          <w:lang w:eastAsia="ko-KR"/>
        </w:rPr>
      </w:pPr>
      <w:r w:rsidRPr="00771336">
        <w:rPr>
          <w:b/>
          <w:u w:val="single"/>
        </w:rPr>
        <w:br w:type="page"/>
      </w:r>
      <w:r w:rsidR="003268B2" w:rsidRPr="00056A26">
        <w:rPr>
          <w:rFonts w:asciiTheme="minorBidi" w:eastAsiaTheme="minorEastAsia" w:hAnsiTheme="minorBidi" w:cstheme="minorBidi"/>
          <w:b/>
          <w:sz w:val="22"/>
          <w:szCs w:val="22"/>
          <w:lang w:eastAsia="ko-KR"/>
        </w:rPr>
        <w:lastRenderedPageBreak/>
        <w:t>Introduction</w:t>
      </w:r>
    </w:p>
    <w:p w14:paraId="7C8EF680" w14:textId="0D77BF4C" w:rsidR="003268B2" w:rsidRPr="00056A26" w:rsidRDefault="003268B2" w:rsidP="003268B2">
      <w:pPr>
        <w:pStyle w:val="Sansinterligne1"/>
        <w:numPr>
          <w:ilvl w:val="0"/>
          <w:numId w:val="18"/>
        </w:numPr>
        <w:snapToGrid w:val="0"/>
        <w:spacing w:before="120" w:after="120"/>
        <w:ind w:left="567" w:hanging="567"/>
        <w:jc w:val="both"/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</w:pP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Le groupe de travail intergouvernemental à composition non limitée dans le cadre de la réflexion globale sur les mécanismes d</w:t>
      </w:r>
      <w:r w:rsidR="009B735D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’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inscription</w:t>
      </w:r>
      <w:r w:rsidR="009B735D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 sur les listes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 de la Convention de 2003 (ci-après « le </w:t>
      </w:r>
      <w:r w:rsidR="009B735D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g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roupe de travail ») a été</w:t>
      </w:r>
      <w:r w:rsidR="002B0CD2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, dans un premier temps,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 convoqué en ligne en deux parties : </w:t>
      </w:r>
      <w:r w:rsidR="009B735D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p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artie I</w:t>
      </w:r>
      <w:r w:rsidR="00BA7A1F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,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 les 8 et 9 juillet 2021 et </w:t>
      </w:r>
      <w:r w:rsidR="009B735D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p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artie II</w:t>
      </w:r>
      <w:r w:rsidR="00BA7A1F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,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 les 9 et 10 septembre 2021. Les 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recommandations de la partie I et de la partie II de la réunion du groupe de travail ont été présentées à la seizième session du Comité</w:t>
      </w:r>
      <w:r w:rsidR="001F0945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 en décembre 2021,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 sous la forme de projets d</w:t>
      </w:r>
      <w:r w:rsidR="009B735D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’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amendements aux </w:t>
      </w:r>
      <w:r w:rsidR="00752F83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directives 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opérationnelles (document </w:t>
      </w:r>
      <w:hyperlink r:id="rId8" w:history="1">
        <w:r w:rsidRPr="00056A26">
          <w:rPr>
            <w:rStyle w:val="Hyperlink"/>
            <w:rFonts w:asciiTheme="minorBidi" w:eastAsiaTheme="minorEastAsia" w:hAnsiTheme="minorBidi" w:cstheme="minorBidi"/>
            <w:bCs/>
            <w:snapToGrid w:val="0"/>
            <w:sz w:val="22"/>
            <w:szCs w:val="22"/>
            <w:lang w:eastAsia="ko-KR"/>
          </w:rPr>
          <w:t>LHE/21/16.COM/14</w:t>
        </w:r>
      </w:hyperlink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). Le Comité a</w:t>
      </w:r>
      <w:r w:rsidR="00BA7A1F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,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 à son tour</w:t>
      </w:r>
      <w:r w:rsidR="00BA7A1F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,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 discuté et décidé de recommander à la neuvième session de l</w:t>
      </w:r>
      <w:r w:rsidR="009B735D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’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Assemblée générale </w:t>
      </w:r>
      <w:r w:rsidR="00BA7A1F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la révision des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 </w:t>
      </w:r>
      <w:r w:rsidR="00752F83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directives 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opérationnelles</w:t>
      </w:r>
      <w:r w:rsidR="00BA7A1F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,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 </w:t>
      </w:r>
      <w:r w:rsidR="00BA7A1F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en se conformant aux recommandations de la partie</w:t>
      </w:r>
      <w:r w:rsid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 </w:t>
      </w:r>
      <w:r w:rsidR="00BA7A1F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I et de la partie II du groupe de travail et en reflétant leur esprit</w:t>
      </w:r>
      <w:r w:rsidR="00BA7A1F" w:rsidRPr="00056A26" w:rsidDel="00BA7A1F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 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(décision</w:t>
      </w:r>
      <w:r w:rsidR="009B735D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 </w:t>
      </w:r>
      <w:hyperlink r:id="rId9" w:history="1">
        <w:r w:rsidRPr="00056A26">
          <w:rPr>
            <w:rStyle w:val="Hyperlink"/>
            <w:rFonts w:asciiTheme="minorBidi" w:eastAsiaTheme="minorEastAsia" w:hAnsiTheme="minorBidi" w:cstheme="minorBidi"/>
            <w:bCs/>
            <w:snapToGrid w:val="0"/>
            <w:sz w:val="22"/>
            <w:szCs w:val="22"/>
            <w:lang w:eastAsia="ko-KR"/>
          </w:rPr>
          <w:t>16.COM 14</w:t>
        </w:r>
      </w:hyperlink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).</w:t>
      </w:r>
    </w:p>
    <w:p w14:paraId="1393807E" w14:textId="1935F49E" w:rsidR="003268B2" w:rsidRPr="00056A26" w:rsidRDefault="00D35F68" w:rsidP="003268B2">
      <w:pPr>
        <w:pStyle w:val="Sansinterligne1"/>
        <w:numPr>
          <w:ilvl w:val="0"/>
          <w:numId w:val="18"/>
        </w:numPr>
        <w:snapToGrid w:val="0"/>
        <w:spacing w:before="120" w:after="120"/>
        <w:ind w:left="567" w:hanging="567"/>
        <w:jc w:val="both"/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</w:pPr>
      <w:r w:rsidRPr="00056A26">
        <w:rPr>
          <w:rFonts w:asciiTheme="minorBidi" w:hAnsiTheme="minorBidi" w:cstheme="minorBidi"/>
          <w:bCs/>
          <w:sz w:val="22"/>
          <w:szCs w:val="22"/>
        </w:rPr>
        <w:t>L</w:t>
      </w:r>
      <w:r w:rsidR="003268B2" w:rsidRPr="00056A26">
        <w:rPr>
          <w:rFonts w:asciiTheme="minorBidi" w:hAnsiTheme="minorBidi" w:cstheme="minorBidi"/>
          <w:bCs/>
          <w:sz w:val="22"/>
          <w:szCs w:val="22"/>
        </w:rPr>
        <w:t>e groupe de travail a</w:t>
      </w:r>
      <w:r w:rsidRPr="00056A26">
        <w:rPr>
          <w:rFonts w:asciiTheme="minorBidi" w:hAnsiTheme="minorBidi" w:cstheme="minorBidi"/>
          <w:bCs/>
          <w:sz w:val="22"/>
          <w:szCs w:val="22"/>
        </w:rPr>
        <w:t>yant</w:t>
      </w:r>
      <w:r w:rsidR="003268B2" w:rsidRPr="00056A26">
        <w:rPr>
          <w:rFonts w:asciiTheme="minorBidi" w:hAnsiTheme="minorBidi" w:cstheme="minorBidi"/>
          <w:bCs/>
          <w:sz w:val="22"/>
          <w:szCs w:val="22"/>
        </w:rPr>
        <w:t xml:space="preserve"> abordé avec succès les sujets de réflexion prioritaires, </w:t>
      </w:r>
      <w:r w:rsidR="003268B2" w:rsidRPr="00056A26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la </w:t>
      </w:r>
      <w:r w:rsidR="003268B2" w:rsidRPr="00056A26">
        <w:rPr>
          <w:rFonts w:asciiTheme="minorBidi" w:hAnsiTheme="minorBidi" w:cstheme="minorBidi"/>
          <w:sz w:val="22"/>
          <w:szCs w:val="22"/>
          <w:shd w:val="clear" w:color="auto" w:fill="FFFFFF"/>
          <w:lang w:eastAsia="en-US"/>
        </w:rPr>
        <w:t xml:space="preserve">seizième session </w:t>
      </w:r>
      <w:r w:rsidR="003268B2" w:rsidRPr="00056A26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du </w:t>
      </w:r>
      <w:r w:rsidR="003268B2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Comité </w:t>
      </w:r>
      <w:r w:rsidR="003268B2" w:rsidRPr="00056A26">
        <w:rPr>
          <w:rFonts w:asciiTheme="minorBidi" w:hAnsiTheme="minorBidi" w:cstheme="minorBidi"/>
          <w:bCs/>
          <w:sz w:val="22"/>
          <w:szCs w:val="22"/>
        </w:rPr>
        <w:t xml:space="preserve">a demandé que le groupe de travail entreprenne une discussion sur </w:t>
      </w:r>
      <w:r w:rsidR="00752F83" w:rsidRPr="00056A26">
        <w:rPr>
          <w:rFonts w:asciiTheme="minorBidi" w:hAnsiTheme="minorBidi" w:cstheme="minorBidi"/>
          <w:bCs/>
          <w:sz w:val="22"/>
          <w:szCs w:val="22"/>
        </w:rPr>
        <w:t>d</w:t>
      </w:r>
      <w:r w:rsidR="003268B2" w:rsidRPr="00056A26">
        <w:rPr>
          <w:rFonts w:asciiTheme="minorBidi" w:hAnsiTheme="minorBidi" w:cstheme="minorBidi"/>
          <w:bCs/>
          <w:sz w:val="22"/>
          <w:szCs w:val="22"/>
        </w:rPr>
        <w:t xml:space="preserve">es questions </w:t>
      </w:r>
      <w:r w:rsidR="003268B2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supplémentaires </w:t>
      </w:r>
      <w:r w:rsidR="003268B2" w:rsidRPr="00056A26">
        <w:rPr>
          <w:rFonts w:asciiTheme="minorBidi" w:hAnsiTheme="minorBidi" w:cstheme="minorBidi"/>
          <w:bCs/>
          <w:sz w:val="22"/>
          <w:szCs w:val="22"/>
        </w:rPr>
        <w:t xml:space="preserve">identifiées par le Comité et le groupe de travail </w:t>
      </w:r>
      <w:r w:rsidR="003268B2" w:rsidRPr="00056A26">
        <w:rPr>
          <w:rFonts w:asciiTheme="minorBidi" w:hAnsiTheme="minorBidi" w:cstheme="minorBidi"/>
          <w:sz w:val="22"/>
          <w:szCs w:val="22"/>
          <w:shd w:val="clear" w:color="auto" w:fill="FFFFFF"/>
        </w:rPr>
        <w:t>(</w:t>
      </w:r>
      <w:r w:rsidR="00752F83" w:rsidRPr="00056A26">
        <w:rPr>
          <w:rFonts w:asciiTheme="minorBidi" w:hAnsiTheme="minorBidi" w:cstheme="minorBidi"/>
          <w:sz w:val="22"/>
          <w:szCs w:val="22"/>
          <w:shd w:val="clear" w:color="auto" w:fill="FFFFFF"/>
        </w:rPr>
        <w:t>décision </w:t>
      </w:r>
      <w:hyperlink r:id="rId10" w:history="1">
        <w:r w:rsidR="003268B2" w:rsidRPr="00056A26">
          <w:rPr>
            <w:rStyle w:val="Hyperlink"/>
            <w:rFonts w:asciiTheme="minorBidi" w:hAnsiTheme="minorBidi" w:cstheme="minorBidi"/>
            <w:sz w:val="22"/>
            <w:szCs w:val="22"/>
            <w:shd w:val="clear" w:color="auto" w:fill="FFFFFF"/>
          </w:rPr>
          <w:t>16.</w:t>
        </w:r>
        <w:r w:rsidR="00752F83" w:rsidRPr="00056A26">
          <w:rPr>
            <w:rStyle w:val="Hyperlink"/>
            <w:rFonts w:asciiTheme="minorBidi" w:hAnsiTheme="minorBidi" w:cstheme="minorBidi"/>
            <w:sz w:val="22"/>
            <w:szCs w:val="22"/>
            <w:shd w:val="clear" w:color="auto" w:fill="FFFFFF"/>
          </w:rPr>
          <w:t>COM </w:t>
        </w:r>
        <w:r w:rsidR="003268B2" w:rsidRPr="00056A26">
          <w:rPr>
            <w:rStyle w:val="Hyperlink"/>
            <w:rFonts w:asciiTheme="minorBidi" w:hAnsiTheme="minorBidi" w:cstheme="minorBidi"/>
            <w:sz w:val="22"/>
            <w:szCs w:val="22"/>
            <w:shd w:val="clear" w:color="auto" w:fill="FFFFFF"/>
          </w:rPr>
          <w:t>14</w:t>
        </w:r>
      </w:hyperlink>
      <w:r w:rsidR="003268B2" w:rsidRPr="00056A26">
        <w:rPr>
          <w:rFonts w:asciiTheme="minorBidi" w:hAnsiTheme="minorBidi" w:cstheme="minorBidi"/>
          <w:sz w:val="22"/>
          <w:szCs w:val="22"/>
        </w:rPr>
        <w:t xml:space="preserve">, </w:t>
      </w:r>
      <w:r w:rsidR="003268B2" w:rsidRPr="00056A26">
        <w:rPr>
          <w:rFonts w:asciiTheme="minorBidi" w:hAnsiTheme="minorBidi" w:cstheme="minorBidi"/>
          <w:bCs/>
          <w:sz w:val="22"/>
          <w:szCs w:val="22"/>
        </w:rPr>
        <w:t xml:space="preserve">paragraphe 11 et annexe I, « Perspectives futures »). En conséquence, </w:t>
      </w:r>
      <w:r w:rsidR="003268B2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le mandat du groupe de travail a été prolongé afin de se réunir en ligne pour la partie III de sa réunion les 25 et 26 avril</w:t>
      </w:r>
      <w:r w:rsidR="009B735D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 </w:t>
      </w:r>
      <w:r w:rsidR="003268B2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2022.</w:t>
      </w:r>
    </w:p>
    <w:p w14:paraId="1CB51C25" w14:textId="00564A71" w:rsidR="003268B2" w:rsidRPr="00056A26" w:rsidRDefault="003268B2" w:rsidP="003268B2">
      <w:pPr>
        <w:pStyle w:val="Sansinterligne1"/>
        <w:numPr>
          <w:ilvl w:val="0"/>
          <w:numId w:val="18"/>
        </w:numPr>
        <w:snapToGrid w:val="0"/>
        <w:spacing w:before="120" w:after="120"/>
        <w:ind w:left="567" w:hanging="567"/>
        <w:jc w:val="both"/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</w:pP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Le groupe de travail </w:t>
      </w:r>
      <w:r w:rsidR="008472F0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a 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exprim</w:t>
      </w:r>
      <w:r w:rsidR="008472F0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é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 une nouvelle fois sa gratitude au gouvernement du Japon pour avoir soutenu toutes les parties de la réunion, y compris la partie III, ainsi que la phase antérieure de consultation des experts. Le groupe de travail </w:t>
      </w:r>
      <w:r w:rsidR="008472F0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a 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également </w:t>
      </w:r>
      <w:r w:rsidR="008472F0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félicité 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toutes les parties prenantes impliquées qui ont permis de mener à bien cette réflexion malgré les défis </w:t>
      </w:r>
      <w:r w:rsidR="00F31219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engendrés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 par la pandémie de COVID-19 en cours.</w:t>
      </w:r>
    </w:p>
    <w:p w14:paraId="6B057E06" w14:textId="0C3A59F6" w:rsidR="003268B2" w:rsidRPr="00056A26" w:rsidRDefault="003268B2" w:rsidP="003268B2">
      <w:pPr>
        <w:pStyle w:val="Sansinterligne1"/>
        <w:numPr>
          <w:ilvl w:val="0"/>
          <w:numId w:val="18"/>
        </w:numPr>
        <w:snapToGrid w:val="0"/>
        <w:spacing w:after="120"/>
        <w:ind w:left="567" w:hanging="567"/>
        <w:jc w:val="both"/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</w:pP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Le </w:t>
      </w:r>
      <w:r w:rsidR="009B735D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B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ureau établi pour les parties I et II de la réunion du groupe de travail est resté en fonction jusqu</w:t>
      </w:r>
      <w:r w:rsidR="009B735D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’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à la fin de la partie III et était composé de S.E</w:t>
      </w:r>
      <w:r w:rsidR="009B735D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xc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.</w:t>
      </w:r>
      <w:r w:rsidR="009B735D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 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M. Atsuyuki Oike (Japon) en tant que </w:t>
      </w:r>
      <w:r w:rsidR="00901D41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P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résident et de cinq </w:t>
      </w:r>
      <w:r w:rsidR="00901D41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V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ice-</w:t>
      </w:r>
      <w:r w:rsidR="00901D41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P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résidents, qui ont également </w:t>
      </w:r>
      <w:r w:rsidR="00901D41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agi en qualité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 de </w:t>
      </w:r>
      <w:r w:rsidR="00901D41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R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apporteurs : Allemagne, Pologne, Pérou, Côte d</w:t>
      </w:r>
      <w:r w:rsidR="009B735D"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’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Ivoire et Koweït.</w:t>
      </w:r>
    </w:p>
    <w:p w14:paraId="4CC08A10" w14:textId="039EE504" w:rsidR="003268B2" w:rsidRPr="00056A26" w:rsidRDefault="003268B2" w:rsidP="00056A26">
      <w:pPr>
        <w:pStyle w:val="Sansinterligne1"/>
        <w:snapToGrid w:val="0"/>
        <w:spacing w:before="240" w:after="120"/>
        <w:jc w:val="both"/>
        <w:rPr>
          <w:rFonts w:asciiTheme="minorBidi" w:eastAsiaTheme="minorEastAsia" w:hAnsiTheme="minorBidi" w:cstheme="minorBidi"/>
          <w:b/>
          <w:sz w:val="22"/>
          <w:szCs w:val="22"/>
          <w:lang w:eastAsia="ko-KR"/>
        </w:rPr>
      </w:pPr>
      <w:r w:rsidRPr="00056A26">
        <w:rPr>
          <w:rFonts w:asciiTheme="minorBidi" w:eastAsiaTheme="minorEastAsia" w:hAnsiTheme="minorBidi" w:cstheme="minorBidi"/>
          <w:b/>
          <w:sz w:val="22"/>
          <w:szCs w:val="22"/>
          <w:lang w:eastAsia="ko-KR"/>
        </w:rPr>
        <w:t>Perspectives futures</w:t>
      </w:r>
    </w:p>
    <w:p w14:paraId="117D7895" w14:textId="095020D9" w:rsidR="003268B2" w:rsidRPr="00056A26" w:rsidRDefault="003268B2" w:rsidP="003268B2">
      <w:pPr>
        <w:pStyle w:val="Sansinterligne1"/>
        <w:numPr>
          <w:ilvl w:val="0"/>
          <w:numId w:val="18"/>
        </w:numPr>
        <w:snapToGrid w:val="0"/>
        <w:spacing w:after="120"/>
        <w:ind w:left="567" w:hanging="567"/>
        <w:jc w:val="both"/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</w:pP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Sur la base de ses débats, le groupe de travail adoptera les recommandations de </w:t>
      </w:r>
      <w:r w:rsidR="00242629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l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a partie III</w:t>
      </w:r>
      <w:r w:rsidR="00242629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 de la réunion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. Le projet de texte des recommandations sera proposé au cours de la réunion.</w:t>
      </w:r>
    </w:p>
    <w:p w14:paraId="1587ADC5" w14:textId="0662F59D" w:rsidR="003268B2" w:rsidRPr="00056A26" w:rsidRDefault="003268B2" w:rsidP="003268B2">
      <w:pPr>
        <w:pStyle w:val="Sansinterligne1"/>
        <w:numPr>
          <w:ilvl w:val="0"/>
          <w:numId w:val="18"/>
        </w:numPr>
        <w:snapToGrid w:val="0"/>
        <w:spacing w:after="120"/>
        <w:ind w:left="567" w:hanging="567"/>
        <w:jc w:val="both"/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</w:pP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Le groupe de travail peut décider, s</w:t>
      </w:r>
      <w:r w:rsidR="009B735D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’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il le juge nécessaire, de demander au Secrétariat</w:t>
      </w:r>
      <w:r w:rsidR="008472F0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, comme cela a été le cas pour les parties I et II,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 de préparer une série de projets d</w:t>
      </w:r>
      <w:r w:rsidR="009B735D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’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amendements 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aux </w:t>
      </w:r>
      <w:r w:rsidR="00752F83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directives 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opérationnelles</w:t>
      </w:r>
      <w:r w:rsidR="008472F0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, sur la base des débats</w:t>
      </w:r>
      <w:r w:rsidR="001F0945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.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 </w:t>
      </w:r>
      <w:r w:rsidR="001F0945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Ceci 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afin de refléter les recommandations de </w:t>
      </w:r>
      <w:r w:rsidR="00771336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la p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artie III </w:t>
      </w:r>
      <w:r w:rsidR="00771336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de sa réunion 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 xml:space="preserve">(présentées à la page 3 du présent document), 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pour examen par la cinquième </w:t>
      </w:r>
      <w:r w:rsidRPr="00056A26"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  <w:t>session extraordinaire du Comité intergouvernemental (</w:t>
      </w:r>
      <w:r w:rsidRPr="00056A26">
        <w:rPr>
          <w:rFonts w:asciiTheme="minorBidi" w:hAnsiTheme="minorBidi" w:cstheme="minorBidi"/>
          <w:sz w:val="22"/>
          <w:szCs w:val="22"/>
        </w:rPr>
        <w:t>en ligne, 31 mai 2022).</w:t>
      </w:r>
    </w:p>
    <w:p w14:paraId="1122168B" w14:textId="21DF5906" w:rsidR="003268B2" w:rsidRPr="00056A26" w:rsidRDefault="003268B2" w:rsidP="003268B2">
      <w:pPr>
        <w:pStyle w:val="Sansinterligne1"/>
        <w:numPr>
          <w:ilvl w:val="0"/>
          <w:numId w:val="18"/>
        </w:numPr>
        <w:snapToGrid w:val="0"/>
        <w:spacing w:after="120"/>
        <w:ind w:left="567" w:hanging="567"/>
        <w:jc w:val="both"/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</w:pP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Si la cinquième session extraordinaire du Comité en décide ainsi, les amendements aux </w:t>
      </w:r>
      <w:r w:rsidR="00752F83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directives 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opérationnelles qui correspondent aux recommandations </w:t>
      </w:r>
      <w:r w:rsidR="00242629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émises 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par la partie III de la réunion du groupe de travail pourront être présentés</w:t>
      </w:r>
      <w:r w:rsidR="003F4B88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 (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avec ceux recommandés par la partie I et la partie II de la réunion du groupe de travail</w:t>
      </w:r>
      <w:r w:rsidR="003F4B88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)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 à l</w:t>
      </w:r>
      <w:r w:rsidR="009B735D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’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Assemblée générale pour examen et adoption lors de sa neuvième session (Siège de l</w:t>
      </w:r>
      <w:r w:rsidR="009B735D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’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UNESCO, 5 </w:t>
      </w:r>
      <w:r w:rsidR="00242629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 xml:space="preserve">– 7 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juillet 2022).</w:t>
      </w:r>
    </w:p>
    <w:p w14:paraId="63C779E8" w14:textId="77777777" w:rsidR="003268B2" w:rsidRPr="00056A26" w:rsidRDefault="003268B2" w:rsidP="003268B2">
      <w:pPr>
        <w:rPr>
          <w:rFonts w:asciiTheme="minorBidi" w:eastAsiaTheme="minorEastAsia" w:hAnsiTheme="minorBidi" w:cstheme="minorBidi"/>
          <w:bCs/>
          <w:sz w:val="22"/>
          <w:szCs w:val="22"/>
          <w:lang w:val="fr-FR" w:eastAsia="ko-KR"/>
        </w:rPr>
      </w:pPr>
      <w:r w:rsidRPr="00056A26">
        <w:rPr>
          <w:rFonts w:asciiTheme="minorBidi" w:eastAsiaTheme="minorEastAsia" w:hAnsiTheme="minorBidi" w:cstheme="minorBidi"/>
          <w:bCs/>
          <w:sz w:val="22"/>
          <w:szCs w:val="22"/>
          <w:lang w:val="fr-FR" w:eastAsia="ko-KR"/>
        </w:rPr>
        <w:br w:type="page"/>
      </w:r>
    </w:p>
    <w:p w14:paraId="769CA7F3" w14:textId="77777777" w:rsidR="003268B2" w:rsidRPr="00056A26" w:rsidRDefault="003268B2" w:rsidP="00D35F68">
      <w:pPr>
        <w:pStyle w:val="Sansinterligne1"/>
        <w:spacing w:before="360" w:after="360"/>
        <w:jc w:val="center"/>
        <w:rPr>
          <w:rFonts w:asciiTheme="minorBidi" w:eastAsiaTheme="minorEastAsia" w:hAnsiTheme="minorBidi" w:cstheme="minorBidi"/>
          <w:b/>
          <w:sz w:val="22"/>
          <w:szCs w:val="22"/>
          <w:lang w:eastAsia="ko-KR"/>
        </w:rPr>
      </w:pPr>
      <w:r w:rsidRPr="00056A26">
        <w:rPr>
          <w:rFonts w:asciiTheme="minorBidi" w:eastAsiaTheme="minorEastAsia" w:hAnsiTheme="minorBidi" w:cstheme="minorBidi"/>
          <w:b/>
          <w:sz w:val="22"/>
          <w:szCs w:val="22"/>
          <w:lang w:eastAsia="ko-KR"/>
        </w:rPr>
        <w:lastRenderedPageBreak/>
        <w:t>Recommandations du groupe de travail intergouvernemental à composition non limitée (Partie III)</w:t>
      </w:r>
    </w:p>
    <w:p w14:paraId="42F0EB8F" w14:textId="1E09906D" w:rsidR="00F5267A" w:rsidRPr="00056A26" w:rsidRDefault="008472F0" w:rsidP="00D35F68">
      <w:pPr>
        <w:pStyle w:val="Sansinterligne1"/>
        <w:spacing w:before="360" w:after="360"/>
        <w:jc w:val="center"/>
        <w:rPr>
          <w:rFonts w:asciiTheme="minorBidi" w:eastAsiaTheme="minorEastAsia" w:hAnsiTheme="minorBidi" w:cstheme="minorBidi"/>
          <w:bCs/>
          <w:sz w:val="22"/>
          <w:szCs w:val="22"/>
          <w:lang w:eastAsia="ko-KR"/>
        </w:rPr>
      </w:pPr>
      <w:r w:rsidRPr="00056A26">
        <w:rPr>
          <w:rFonts w:asciiTheme="minorBidi" w:eastAsiaTheme="minorEastAsia" w:hAnsiTheme="minorBidi" w:cstheme="minorBidi"/>
          <w:bCs/>
          <w:sz w:val="22"/>
          <w:szCs w:val="22"/>
          <w:highlight w:val="cyan"/>
          <w:lang w:eastAsia="ko-KR"/>
        </w:rPr>
        <w:t>[</w:t>
      </w:r>
      <w:r w:rsidR="00D35F68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highlight w:val="cyan"/>
          <w:lang w:eastAsia="ko-KR"/>
        </w:rPr>
        <w:t>À</w:t>
      </w:r>
      <w:r w:rsidR="00242629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highlight w:val="cyan"/>
          <w:lang w:eastAsia="ko-KR"/>
        </w:rPr>
        <w:t xml:space="preserve"> </w:t>
      </w:r>
      <w:r w:rsidR="003268B2"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highlight w:val="cyan"/>
          <w:lang w:eastAsia="ko-KR"/>
        </w:rPr>
        <w:t>proposer lors de la partie III de la réunion du groupe de travail.</w:t>
      </w:r>
      <w:r w:rsidRPr="00056A26">
        <w:rPr>
          <w:rFonts w:asciiTheme="minorBidi" w:eastAsiaTheme="minorEastAsia" w:hAnsiTheme="minorBidi" w:cstheme="minorBidi"/>
          <w:bCs/>
          <w:snapToGrid w:val="0"/>
          <w:sz w:val="22"/>
          <w:szCs w:val="22"/>
          <w:lang w:eastAsia="ko-KR"/>
        </w:rPr>
        <w:t>]</w:t>
      </w:r>
    </w:p>
    <w:sectPr w:rsidR="00F5267A" w:rsidRPr="00056A26" w:rsidSect="002938F2">
      <w:headerReference w:type="even" r:id="rId11"/>
      <w:headerReference w:type="default" r:id="rId12"/>
      <w:head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C182" w14:textId="77777777" w:rsidR="00BA3560" w:rsidRDefault="00BA3560" w:rsidP="002938F2">
      <w:r>
        <w:separator/>
      </w:r>
    </w:p>
  </w:endnote>
  <w:endnote w:type="continuationSeparator" w:id="0">
    <w:p w14:paraId="693EC5B8" w14:textId="77777777" w:rsidR="00BA3560" w:rsidRDefault="00BA3560" w:rsidP="0029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2C53" w14:textId="77777777" w:rsidR="00BA3560" w:rsidRDefault="00BA3560" w:rsidP="002938F2">
      <w:r>
        <w:separator/>
      </w:r>
    </w:p>
  </w:footnote>
  <w:footnote w:type="continuationSeparator" w:id="0">
    <w:p w14:paraId="29C63978" w14:textId="77777777" w:rsidR="00BA3560" w:rsidRDefault="00BA3560" w:rsidP="0029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5F17" w14:textId="53A2FB3A" w:rsidR="00210652" w:rsidRPr="0022663D" w:rsidRDefault="002B776B" w:rsidP="00374593">
    <w:pPr>
      <w:pStyle w:val="Header"/>
      <w:rPr>
        <w:rFonts w:ascii="Arial" w:hAnsi="Arial" w:cs="Arial"/>
        <w:lang w:val="pt-PT"/>
      </w:rPr>
    </w:pPr>
    <w:bookmarkStart w:id="0" w:name="_Hlk100152183"/>
    <w:r w:rsidRPr="0022663D">
      <w:rPr>
        <w:rFonts w:ascii="Arial" w:hAnsi="Arial" w:cs="Arial"/>
        <w:sz w:val="20"/>
        <w:szCs w:val="20"/>
        <w:lang w:val="pt-PT"/>
      </w:rPr>
      <w:t>LHE/2</w:t>
    </w:r>
    <w:r w:rsidR="0022663D" w:rsidRPr="0022663D">
      <w:rPr>
        <w:rFonts w:ascii="Arial" w:hAnsi="Arial" w:cs="Arial"/>
        <w:sz w:val="20"/>
        <w:szCs w:val="20"/>
        <w:lang w:val="pt-PT"/>
      </w:rPr>
      <w:t>2</w:t>
    </w:r>
    <w:r w:rsidRPr="0022663D">
      <w:rPr>
        <w:rFonts w:ascii="Arial" w:hAnsi="Arial" w:cs="Arial"/>
        <w:sz w:val="20"/>
        <w:szCs w:val="20"/>
        <w:lang w:val="pt-PT"/>
      </w:rPr>
      <w:t>/1</w:t>
    </w:r>
    <w:r w:rsidR="0022663D" w:rsidRPr="0022663D">
      <w:rPr>
        <w:rFonts w:ascii="Arial" w:hAnsi="Arial" w:cs="Arial"/>
        <w:sz w:val="20"/>
        <w:szCs w:val="20"/>
        <w:lang w:val="pt-PT"/>
      </w:rPr>
      <w:t>7</w:t>
    </w:r>
    <w:r w:rsidR="00210652" w:rsidRPr="0022663D">
      <w:rPr>
        <w:rFonts w:ascii="Arial" w:hAnsi="Arial" w:cs="Arial"/>
        <w:sz w:val="20"/>
        <w:szCs w:val="20"/>
        <w:lang w:val="pt-PT"/>
      </w:rPr>
      <w:t>.</w:t>
    </w:r>
    <w:r w:rsidR="00074CE1" w:rsidRPr="0022663D">
      <w:rPr>
        <w:rFonts w:ascii="Arial" w:hAnsi="Arial" w:cs="Arial"/>
        <w:sz w:val="20"/>
        <w:szCs w:val="20"/>
        <w:lang w:val="pt-PT"/>
      </w:rPr>
      <w:t>COM</w:t>
    </w:r>
    <w:r w:rsidR="0022663D" w:rsidRPr="0022663D">
      <w:rPr>
        <w:rFonts w:ascii="Arial" w:hAnsi="Arial" w:cs="Arial"/>
        <w:sz w:val="20"/>
        <w:szCs w:val="20"/>
        <w:lang w:val="pt-PT"/>
      </w:rPr>
      <w:t xml:space="preserve"> WG</w:t>
    </w:r>
    <w:r w:rsidR="00210652" w:rsidRPr="0022663D">
      <w:rPr>
        <w:rFonts w:ascii="Arial" w:hAnsi="Arial" w:cs="Arial"/>
        <w:sz w:val="20"/>
        <w:szCs w:val="20"/>
        <w:lang w:val="pt-PT"/>
      </w:rPr>
      <w:t>/</w:t>
    </w:r>
    <w:r w:rsidR="00721E2A">
      <w:rPr>
        <w:rFonts w:ascii="Arial" w:hAnsi="Arial" w:cs="Arial"/>
        <w:sz w:val="20"/>
        <w:szCs w:val="20"/>
        <w:lang w:val="pt-PT"/>
      </w:rPr>
      <w:t>12</w:t>
    </w:r>
    <w:r w:rsidR="00210652" w:rsidRPr="0022663D">
      <w:rPr>
        <w:rFonts w:ascii="Arial" w:hAnsi="Arial" w:cs="Arial"/>
        <w:sz w:val="20"/>
        <w:szCs w:val="20"/>
        <w:lang w:val="pt-PT"/>
      </w:rPr>
      <w:t xml:space="preserve"> </w:t>
    </w:r>
    <w:bookmarkEnd w:id="0"/>
    <w:r w:rsidR="00210652" w:rsidRPr="0022663D">
      <w:rPr>
        <w:rFonts w:ascii="Arial" w:hAnsi="Arial" w:cs="Arial"/>
        <w:sz w:val="20"/>
        <w:szCs w:val="20"/>
        <w:lang w:val="pt-PT"/>
      </w:rPr>
      <w:t xml:space="preserve">– </w:t>
    </w:r>
    <w:proofErr w:type="spellStart"/>
    <w:r w:rsidR="00210652" w:rsidRPr="0022663D">
      <w:rPr>
        <w:rFonts w:ascii="Arial" w:hAnsi="Arial" w:cs="Arial"/>
        <w:sz w:val="20"/>
        <w:szCs w:val="20"/>
        <w:lang w:val="pt-PT"/>
      </w:rPr>
      <w:t>page</w:t>
    </w:r>
    <w:proofErr w:type="spellEnd"/>
    <w:r w:rsidR="00210652" w:rsidRPr="0022663D">
      <w:rPr>
        <w:rFonts w:ascii="Arial" w:hAnsi="Arial" w:cs="Arial"/>
        <w:sz w:val="20"/>
        <w:szCs w:val="20"/>
        <w:lang w:val="pt-PT"/>
      </w:rPr>
      <w:t xml:space="preserve"> 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 w:rsidR="00210652" w:rsidRPr="0022663D">
      <w:rPr>
        <w:rStyle w:val="PageNumber"/>
        <w:rFonts w:ascii="Arial" w:hAnsi="Arial" w:cs="Arial"/>
        <w:sz w:val="20"/>
        <w:szCs w:val="20"/>
        <w:lang w:val="pt-PT"/>
      </w:rPr>
      <w:instrText xml:space="preserve"> PAGE </w:instrTex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 w:rsidR="007A68C7" w:rsidRPr="0022663D">
      <w:rPr>
        <w:rStyle w:val="PageNumber"/>
        <w:rFonts w:ascii="Arial" w:hAnsi="Arial" w:cs="Arial"/>
        <w:noProof/>
        <w:sz w:val="20"/>
        <w:szCs w:val="20"/>
        <w:lang w:val="pt-PT"/>
      </w:rPr>
      <w:t>2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AB5B" w14:textId="6009F556" w:rsidR="00DF2146" w:rsidRPr="005739ED" w:rsidRDefault="00F5267A" w:rsidP="00374593">
    <w:pPr>
      <w:pStyle w:val="Header"/>
      <w:jc w:val="right"/>
      <w:rPr>
        <w:rFonts w:ascii="Arial" w:hAnsi="Arial" w:cs="Arial"/>
        <w:lang w:val="pt-PT"/>
      </w:rPr>
    </w:pPr>
    <w:r w:rsidRPr="00F5267A">
      <w:rPr>
        <w:rFonts w:ascii="Arial" w:hAnsi="Arial" w:cs="Arial"/>
        <w:sz w:val="20"/>
        <w:szCs w:val="20"/>
        <w:lang w:val="pt-PT"/>
      </w:rPr>
      <w:t xml:space="preserve">LHE/22/17.COM WG/12 </w:t>
    </w:r>
    <w:r w:rsidR="00DF2146" w:rsidRPr="005739ED">
      <w:rPr>
        <w:rFonts w:ascii="Arial" w:hAnsi="Arial" w:cs="Arial"/>
        <w:sz w:val="20"/>
        <w:szCs w:val="20"/>
        <w:lang w:val="pt-PT"/>
      </w:rPr>
      <w:t xml:space="preserve">– </w:t>
    </w:r>
    <w:proofErr w:type="spellStart"/>
    <w:r w:rsidR="00DF2146" w:rsidRPr="005739ED">
      <w:rPr>
        <w:rFonts w:ascii="Arial" w:hAnsi="Arial" w:cs="Arial"/>
        <w:sz w:val="20"/>
        <w:szCs w:val="20"/>
        <w:lang w:val="pt-PT"/>
      </w:rPr>
      <w:t>page</w:t>
    </w:r>
    <w:proofErr w:type="spellEnd"/>
    <w:r w:rsidR="00DF2146" w:rsidRPr="005739ED">
      <w:rPr>
        <w:rFonts w:ascii="Arial" w:hAnsi="Arial" w:cs="Arial"/>
        <w:sz w:val="20"/>
        <w:szCs w:val="20"/>
        <w:lang w:val="pt-PT"/>
      </w:rPr>
      <w:t xml:space="preserve"> </w: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DF2146" w:rsidRPr="005739ED">
      <w:rPr>
        <w:rStyle w:val="PageNumber"/>
        <w:rFonts w:ascii="Arial" w:hAnsi="Arial" w:cs="Arial"/>
        <w:sz w:val="20"/>
        <w:szCs w:val="20"/>
        <w:lang w:val="pt-PT"/>
      </w:rPr>
      <w:instrText xml:space="preserve"> PAGE </w:instrTex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A68C7" w:rsidRPr="005739ED">
      <w:rPr>
        <w:rStyle w:val="PageNumber"/>
        <w:rFonts w:ascii="Arial" w:hAnsi="Arial" w:cs="Arial"/>
        <w:noProof/>
        <w:sz w:val="20"/>
        <w:szCs w:val="20"/>
        <w:lang w:val="pt-PT"/>
      </w:rPr>
      <w:t>3</w: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end"/>
    </w:r>
  </w:p>
  <w:p w14:paraId="77719839" w14:textId="77777777" w:rsidR="00210652" w:rsidRPr="005739ED" w:rsidRDefault="00210652" w:rsidP="002938F2">
    <w:pPr>
      <w:pStyle w:val="Header"/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7DE5" w14:textId="5B33365E" w:rsidR="00210652" w:rsidRPr="00D35F68" w:rsidRDefault="002F367F">
    <w:pPr>
      <w:pStyle w:val="Header"/>
      <w:rPr>
        <w:sz w:val="22"/>
        <w:szCs w:val="22"/>
        <w:lang w:val="fr-FR"/>
      </w:rPr>
    </w:pPr>
    <w:r w:rsidRPr="00D35F68">
      <w:rPr>
        <w:rFonts w:ascii="Arial" w:hAnsi="Arial" w:cs="Arial"/>
        <w:b/>
        <w:noProof/>
        <w:sz w:val="44"/>
        <w:szCs w:val="44"/>
        <w:lang w:val="fr-FR"/>
      </w:rPr>
      <w:drawing>
        <wp:anchor distT="0" distB="0" distL="114300" distR="114300" simplePos="0" relativeHeight="251658240" behindDoc="1" locked="0" layoutInCell="1" allowOverlap="1" wp14:anchorId="56B9969A" wp14:editId="7E6E1D18">
          <wp:simplePos x="0" y="0"/>
          <wp:positionH relativeFrom="column">
            <wp:posOffset>-2460</wp:posOffset>
          </wp:positionH>
          <wp:positionV relativeFrom="paragraph">
            <wp:posOffset>2548</wp:posOffset>
          </wp:positionV>
          <wp:extent cx="1657350" cy="13919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2A7D08" w14:textId="69997C3C" w:rsidR="00210652" w:rsidRPr="001F0945" w:rsidRDefault="00F41BA9" w:rsidP="00721E2A">
    <w:pPr>
      <w:pStyle w:val="Header"/>
      <w:tabs>
        <w:tab w:val="clear" w:pos="9072"/>
        <w:tab w:val="left" w:pos="798"/>
        <w:tab w:val="right" w:pos="9630"/>
      </w:tabs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1F0945">
      <w:rPr>
        <w:rFonts w:ascii="Arial" w:hAnsi="Arial" w:cs="Arial"/>
        <w:b/>
        <w:sz w:val="44"/>
        <w:szCs w:val="44"/>
        <w:lang w:val="pt-PT"/>
      </w:rPr>
      <w:t>1</w:t>
    </w:r>
    <w:r w:rsidR="0022663D" w:rsidRPr="001F0945">
      <w:rPr>
        <w:rFonts w:ascii="Arial" w:hAnsi="Arial" w:cs="Arial"/>
        <w:b/>
        <w:sz w:val="44"/>
        <w:szCs w:val="44"/>
        <w:lang w:val="pt-PT"/>
      </w:rPr>
      <w:t>7</w:t>
    </w:r>
    <w:r w:rsidR="00210652" w:rsidRPr="001F0945">
      <w:rPr>
        <w:rFonts w:ascii="Arial" w:hAnsi="Arial" w:cs="Arial"/>
        <w:b/>
        <w:sz w:val="44"/>
        <w:szCs w:val="44"/>
        <w:lang w:val="pt-PT"/>
      </w:rPr>
      <w:t xml:space="preserve"> </w:t>
    </w:r>
    <w:r w:rsidR="00074CE1" w:rsidRPr="001F0945">
      <w:rPr>
        <w:rFonts w:ascii="Arial" w:hAnsi="Arial" w:cs="Arial"/>
        <w:b/>
        <w:sz w:val="44"/>
        <w:szCs w:val="44"/>
        <w:lang w:val="pt-PT"/>
      </w:rPr>
      <w:t>COM</w:t>
    </w:r>
    <w:r w:rsidR="0022663D" w:rsidRPr="001F0945">
      <w:rPr>
        <w:rFonts w:ascii="Arial" w:hAnsi="Arial" w:cs="Arial"/>
        <w:b/>
        <w:sz w:val="44"/>
        <w:szCs w:val="44"/>
        <w:lang w:val="pt-PT"/>
      </w:rPr>
      <w:t xml:space="preserve"> WG</w:t>
    </w:r>
  </w:p>
  <w:p w14:paraId="030B5049" w14:textId="6EA3115E" w:rsidR="00210652" w:rsidRPr="001F0945" w:rsidRDefault="002B776B" w:rsidP="00374593">
    <w:pPr>
      <w:jc w:val="right"/>
      <w:rPr>
        <w:rFonts w:ascii="Arial" w:hAnsi="Arial" w:cs="Arial"/>
        <w:b/>
        <w:sz w:val="22"/>
        <w:szCs w:val="22"/>
        <w:lang w:val="pt-PT"/>
      </w:rPr>
    </w:pPr>
    <w:r w:rsidRPr="001F0945">
      <w:rPr>
        <w:rFonts w:ascii="Arial" w:hAnsi="Arial" w:cs="Arial"/>
        <w:b/>
        <w:sz w:val="22"/>
        <w:szCs w:val="22"/>
        <w:lang w:val="pt-PT"/>
      </w:rPr>
      <w:t>LHE/2</w:t>
    </w:r>
    <w:r w:rsidR="0022663D" w:rsidRPr="001F0945">
      <w:rPr>
        <w:rFonts w:ascii="Arial" w:hAnsi="Arial" w:cs="Arial"/>
        <w:b/>
        <w:sz w:val="22"/>
        <w:szCs w:val="22"/>
        <w:lang w:val="pt-PT"/>
      </w:rPr>
      <w:t>2</w:t>
    </w:r>
    <w:r w:rsidRPr="001F0945">
      <w:rPr>
        <w:rFonts w:ascii="Arial" w:hAnsi="Arial" w:cs="Arial"/>
        <w:b/>
        <w:sz w:val="22"/>
        <w:szCs w:val="22"/>
        <w:lang w:val="pt-PT"/>
      </w:rPr>
      <w:t>/1</w:t>
    </w:r>
    <w:r w:rsidR="0022663D" w:rsidRPr="001F0945">
      <w:rPr>
        <w:rFonts w:ascii="Arial" w:hAnsi="Arial" w:cs="Arial"/>
        <w:b/>
        <w:sz w:val="22"/>
        <w:szCs w:val="22"/>
        <w:lang w:val="pt-PT"/>
      </w:rPr>
      <w:t>7</w:t>
    </w:r>
    <w:r w:rsidR="00210652" w:rsidRPr="001F0945">
      <w:rPr>
        <w:rFonts w:ascii="Arial" w:hAnsi="Arial" w:cs="Arial"/>
        <w:b/>
        <w:sz w:val="22"/>
        <w:szCs w:val="22"/>
        <w:lang w:val="pt-PT"/>
      </w:rPr>
      <w:t>.</w:t>
    </w:r>
    <w:r w:rsidR="00074CE1" w:rsidRPr="001F0945">
      <w:rPr>
        <w:rFonts w:ascii="Arial" w:hAnsi="Arial" w:cs="Arial"/>
        <w:b/>
        <w:sz w:val="22"/>
        <w:szCs w:val="22"/>
        <w:lang w:val="pt-PT"/>
      </w:rPr>
      <w:t>COM</w:t>
    </w:r>
    <w:r w:rsidR="0022663D" w:rsidRPr="001F0945">
      <w:rPr>
        <w:rFonts w:ascii="Arial" w:hAnsi="Arial" w:cs="Arial"/>
        <w:b/>
        <w:sz w:val="22"/>
        <w:szCs w:val="22"/>
        <w:lang w:val="pt-PT"/>
      </w:rPr>
      <w:t xml:space="preserve"> WG</w:t>
    </w:r>
    <w:r w:rsidR="00210652" w:rsidRPr="001F0945">
      <w:rPr>
        <w:rFonts w:ascii="Arial" w:hAnsi="Arial" w:cs="Arial"/>
        <w:b/>
        <w:sz w:val="22"/>
        <w:szCs w:val="22"/>
        <w:lang w:val="pt-PT"/>
      </w:rPr>
      <w:t>/</w:t>
    </w:r>
    <w:r w:rsidR="00721E2A" w:rsidRPr="001F0945">
      <w:rPr>
        <w:rFonts w:ascii="Arial" w:hAnsi="Arial" w:cs="Arial"/>
        <w:b/>
        <w:sz w:val="22"/>
        <w:szCs w:val="22"/>
        <w:lang w:val="pt-PT"/>
      </w:rPr>
      <w:t>12</w:t>
    </w:r>
  </w:p>
  <w:p w14:paraId="6413B2B8" w14:textId="3EA0D3DA" w:rsidR="00210652" w:rsidRPr="00D35F68" w:rsidRDefault="00210652" w:rsidP="00721E2A">
    <w:pPr>
      <w:tabs>
        <w:tab w:val="left" w:pos="953"/>
        <w:tab w:val="right" w:pos="9638"/>
      </w:tabs>
      <w:jc w:val="right"/>
      <w:rPr>
        <w:rFonts w:ascii="Arial" w:eastAsiaTheme="minorEastAsia" w:hAnsi="Arial" w:cs="Arial"/>
        <w:b/>
        <w:sz w:val="22"/>
        <w:szCs w:val="22"/>
        <w:lang w:val="fr-FR" w:eastAsia="ko-KR"/>
      </w:rPr>
    </w:pPr>
    <w:r w:rsidRPr="00D35F68">
      <w:rPr>
        <w:rFonts w:ascii="Arial" w:hAnsi="Arial" w:cs="Arial"/>
        <w:b/>
        <w:sz w:val="22"/>
        <w:szCs w:val="22"/>
        <w:lang w:val="fr-FR"/>
      </w:rPr>
      <w:t xml:space="preserve">Paris, </w:t>
    </w:r>
    <w:r w:rsidR="008A0A27" w:rsidRPr="00D35F68">
      <w:rPr>
        <w:rFonts w:ascii="Arial" w:hAnsi="Arial" w:cs="Arial"/>
        <w:b/>
        <w:sz w:val="22"/>
        <w:szCs w:val="22"/>
        <w:lang w:val="fr-FR"/>
      </w:rPr>
      <w:t xml:space="preserve">le </w:t>
    </w:r>
    <w:r w:rsidR="008472F0" w:rsidRPr="00D35F68">
      <w:rPr>
        <w:rFonts w:ascii="Arial" w:hAnsi="Arial" w:cs="Arial"/>
        <w:b/>
        <w:sz w:val="22"/>
        <w:szCs w:val="22"/>
        <w:lang w:val="fr-FR"/>
      </w:rPr>
      <w:t>13</w:t>
    </w:r>
    <w:r w:rsidR="00721E2A" w:rsidRPr="00D35F68">
      <w:rPr>
        <w:rFonts w:ascii="Arial" w:hAnsi="Arial" w:cs="Arial"/>
        <w:b/>
        <w:sz w:val="22"/>
        <w:szCs w:val="22"/>
        <w:lang w:val="fr-FR"/>
      </w:rPr>
      <w:t xml:space="preserve"> avril </w:t>
    </w:r>
    <w:r w:rsidR="002B776B" w:rsidRPr="00D35F68">
      <w:rPr>
        <w:rFonts w:ascii="Arial" w:hAnsi="Arial" w:cs="Arial"/>
        <w:b/>
        <w:sz w:val="22"/>
        <w:szCs w:val="22"/>
        <w:lang w:val="fr-FR"/>
      </w:rPr>
      <w:t>202</w:t>
    </w:r>
    <w:r w:rsidR="0022663D" w:rsidRPr="00D35F68">
      <w:rPr>
        <w:rFonts w:ascii="Arial" w:hAnsi="Arial" w:cs="Arial"/>
        <w:b/>
        <w:sz w:val="22"/>
        <w:szCs w:val="22"/>
        <w:lang w:val="fr-FR"/>
      </w:rPr>
      <w:t>2</w:t>
    </w:r>
  </w:p>
  <w:p w14:paraId="62BC3182" w14:textId="3E58EE9E" w:rsidR="00210652" w:rsidRPr="00D35F68" w:rsidRDefault="00210652" w:rsidP="002F367F">
    <w:pPr>
      <w:spacing w:after="120"/>
      <w:jc w:val="right"/>
      <w:rPr>
        <w:rFonts w:ascii="Arial" w:eastAsiaTheme="minorEastAsia" w:hAnsi="Arial" w:cs="Arial"/>
        <w:b/>
        <w:sz w:val="22"/>
        <w:szCs w:val="22"/>
        <w:lang w:val="fr-FR" w:eastAsia="ko-KR"/>
      </w:rPr>
    </w:pPr>
    <w:r w:rsidRPr="00D35F68">
      <w:rPr>
        <w:rFonts w:ascii="Arial" w:hAnsi="Arial" w:cs="Arial"/>
        <w:b/>
        <w:sz w:val="22"/>
        <w:szCs w:val="22"/>
        <w:lang w:val="fr-FR"/>
      </w:rPr>
      <w:t>Original</w:t>
    </w:r>
    <w:r w:rsidR="00011736" w:rsidRPr="00D35F68">
      <w:rPr>
        <w:rFonts w:ascii="Arial" w:hAnsi="Arial" w:cs="Arial"/>
        <w:b/>
        <w:sz w:val="22"/>
        <w:szCs w:val="22"/>
        <w:lang w:val="fr-FR"/>
      </w:rPr>
      <w:t xml:space="preserve"> </w:t>
    </w:r>
    <w:r w:rsidRPr="00D35F68">
      <w:rPr>
        <w:rFonts w:ascii="Arial" w:hAnsi="Arial" w:cs="Arial"/>
        <w:b/>
        <w:sz w:val="22"/>
        <w:szCs w:val="22"/>
        <w:lang w:val="fr-FR"/>
      </w:rPr>
      <w:t xml:space="preserve">: </w:t>
    </w:r>
    <w:r w:rsidR="00721E2A" w:rsidRPr="00D35F68">
      <w:rPr>
        <w:rFonts w:ascii="Arial" w:hAnsi="Arial" w:cs="Arial"/>
        <w:b/>
        <w:sz w:val="22"/>
        <w:szCs w:val="22"/>
        <w:lang w:val="fr-FR"/>
      </w:rPr>
      <w:t>anglais</w:t>
    </w:r>
  </w:p>
  <w:p w14:paraId="68C431F3" w14:textId="77777777" w:rsidR="00EE2C66" w:rsidRPr="00D35F68" w:rsidRDefault="00EE2C66" w:rsidP="00EE2C66">
    <w:pPr>
      <w:ind w:right="440"/>
      <w:rPr>
        <w:rFonts w:eastAsiaTheme="minorEastAsia"/>
        <w:bCs/>
        <w:sz w:val="22"/>
        <w:szCs w:val="22"/>
        <w:lang w:val="fr-FR"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D31847"/>
    <w:multiLevelType w:val="hybridMultilevel"/>
    <w:tmpl w:val="1F00B770"/>
    <w:lvl w:ilvl="0" w:tplc="DB80532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F35B4"/>
    <w:multiLevelType w:val="hybridMultilevel"/>
    <w:tmpl w:val="F69ED1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47B5"/>
    <w:multiLevelType w:val="hybridMultilevel"/>
    <w:tmpl w:val="7A126484"/>
    <w:lvl w:ilvl="0" w:tplc="8E225B78">
      <w:start w:val="1"/>
      <w:numFmt w:val="upperRoman"/>
      <w:pStyle w:val="GAHeading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07BFE"/>
    <w:multiLevelType w:val="hybridMultilevel"/>
    <w:tmpl w:val="1A1C2972"/>
    <w:lvl w:ilvl="0" w:tplc="6FB8652A">
      <w:start w:val="1"/>
      <w:numFmt w:val="decimal"/>
      <w:pStyle w:val="1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87B0E72"/>
    <w:multiLevelType w:val="hybridMultilevel"/>
    <w:tmpl w:val="BF48CA9C"/>
    <w:lvl w:ilvl="0" w:tplc="DB805324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6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60"/>
    <w:rsid w:val="000016A4"/>
    <w:rsid w:val="000019DB"/>
    <w:rsid w:val="000047CC"/>
    <w:rsid w:val="00011736"/>
    <w:rsid w:val="00021831"/>
    <w:rsid w:val="000356D2"/>
    <w:rsid w:val="00047E58"/>
    <w:rsid w:val="000558C9"/>
    <w:rsid w:val="00056A26"/>
    <w:rsid w:val="00061949"/>
    <w:rsid w:val="00073478"/>
    <w:rsid w:val="00073D20"/>
    <w:rsid w:val="00074CE1"/>
    <w:rsid w:val="000755E1"/>
    <w:rsid w:val="00085541"/>
    <w:rsid w:val="0008739D"/>
    <w:rsid w:val="000A34CE"/>
    <w:rsid w:val="000C65E4"/>
    <w:rsid w:val="0011750D"/>
    <w:rsid w:val="00132959"/>
    <w:rsid w:val="001412DE"/>
    <w:rsid w:val="00144A4D"/>
    <w:rsid w:val="00151351"/>
    <w:rsid w:val="001706CD"/>
    <w:rsid w:val="00174B39"/>
    <w:rsid w:val="001A431C"/>
    <w:rsid w:val="001A457E"/>
    <w:rsid w:val="001D5969"/>
    <w:rsid w:val="001F067C"/>
    <w:rsid w:val="001F0945"/>
    <w:rsid w:val="001F37CA"/>
    <w:rsid w:val="00210652"/>
    <w:rsid w:val="00221D0C"/>
    <w:rsid w:val="0022663D"/>
    <w:rsid w:val="00241D54"/>
    <w:rsid w:val="00242629"/>
    <w:rsid w:val="00254DEF"/>
    <w:rsid w:val="00286C0C"/>
    <w:rsid w:val="00290AA9"/>
    <w:rsid w:val="002938F2"/>
    <w:rsid w:val="002B0CD2"/>
    <w:rsid w:val="002B776B"/>
    <w:rsid w:val="002C3446"/>
    <w:rsid w:val="002C7D30"/>
    <w:rsid w:val="002F367F"/>
    <w:rsid w:val="003105BD"/>
    <w:rsid w:val="0031150D"/>
    <w:rsid w:val="003268B2"/>
    <w:rsid w:val="00363995"/>
    <w:rsid w:val="00374593"/>
    <w:rsid w:val="0039446E"/>
    <w:rsid w:val="003B09CB"/>
    <w:rsid w:val="003C3029"/>
    <w:rsid w:val="003C7065"/>
    <w:rsid w:val="003F4B88"/>
    <w:rsid w:val="003F5C17"/>
    <w:rsid w:val="003F6D0C"/>
    <w:rsid w:val="004108B6"/>
    <w:rsid w:val="00434773"/>
    <w:rsid w:val="004475EE"/>
    <w:rsid w:val="004562A2"/>
    <w:rsid w:val="00461EEC"/>
    <w:rsid w:val="004665ED"/>
    <w:rsid w:val="00471B34"/>
    <w:rsid w:val="004A3E99"/>
    <w:rsid w:val="004C3335"/>
    <w:rsid w:val="005016FB"/>
    <w:rsid w:val="00511D17"/>
    <w:rsid w:val="0051699F"/>
    <w:rsid w:val="00530A1F"/>
    <w:rsid w:val="0053338B"/>
    <w:rsid w:val="00554CC6"/>
    <w:rsid w:val="005739ED"/>
    <w:rsid w:val="0058322C"/>
    <w:rsid w:val="005B4DAB"/>
    <w:rsid w:val="005C0660"/>
    <w:rsid w:val="00612BB5"/>
    <w:rsid w:val="0063196D"/>
    <w:rsid w:val="00652318"/>
    <w:rsid w:val="00667C60"/>
    <w:rsid w:val="006A1A52"/>
    <w:rsid w:val="006B3501"/>
    <w:rsid w:val="006E2215"/>
    <w:rsid w:val="00721E2A"/>
    <w:rsid w:val="00747715"/>
    <w:rsid w:val="00750138"/>
    <w:rsid w:val="00752F83"/>
    <w:rsid w:val="00764F50"/>
    <w:rsid w:val="00771336"/>
    <w:rsid w:val="007728EB"/>
    <w:rsid w:val="00796D4E"/>
    <w:rsid w:val="007A68C7"/>
    <w:rsid w:val="007A7D45"/>
    <w:rsid w:val="007C1B00"/>
    <w:rsid w:val="007D5BB7"/>
    <w:rsid w:val="007E0621"/>
    <w:rsid w:val="007F4B07"/>
    <w:rsid w:val="007F60C6"/>
    <w:rsid w:val="0083488D"/>
    <w:rsid w:val="008472F0"/>
    <w:rsid w:val="00851458"/>
    <w:rsid w:val="00861A47"/>
    <w:rsid w:val="008707FF"/>
    <w:rsid w:val="008724E5"/>
    <w:rsid w:val="00886C9E"/>
    <w:rsid w:val="008A0A27"/>
    <w:rsid w:val="008E2C7E"/>
    <w:rsid w:val="008F2AD2"/>
    <w:rsid w:val="00901D41"/>
    <w:rsid w:val="009121CE"/>
    <w:rsid w:val="00996303"/>
    <w:rsid w:val="009B735D"/>
    <w:rsid w:val="009D5E38"/>
    <w:rsid w:val="009E670D"/>
    <w:rsid w:val="00A11F00"/>
    <w:rsid w:val="00A150C7"/>
    <w:rsid w:val="00A37713"/>
    <w:rsid w:val="00A519A2"/>
    <w:rsid w:val="00A70883"/>
    <w:rsid w:val="00A77AEB"/>
    <w:rsid w:val="00A77F75"/>
    <w:rsid w:val="00A81928"/>
    <w:rsid w:val="00AA444A"/>
    <w:rsid w:val="00AE1B18"/>
    <w:rsid w:val="00AE6F87"/>
    <w:rsid w:val="00B11AE3"/>
    <w:rsid w:val="00B13B44"/>
    <w:rsid w:val="00B310A5"/>
    <w:rsid w:val="00B6167A"/>
    <w:rsid w:val="00B973B5"/>
    <w:rsid w:val="00BA3560"/>
    <w:rsid w:val="00BA7A1F"/>
    <w:rsid w:val="00BD0077"/>
    <w:rsid w:val="00C04328"/>
    <w:rsid w:val="00C13665"/>
    <w:rsid w:val="00C42FA9"/>
    <w:rsid w:val="00C64668"/>
    <w:rsid w:val="00C67A8A"/>
    <w:rsid w:val="00C71AF1"/>
    <w:rsid w:val="00CC2BC6"/>
    <w:rsid w:val="00CE2586"/>
    <w:rsid w:val="00D238D6"/>
    <w:rsid w:val="00D35F68"/>
    <w:rsid w:val="00D43998"/>
    <w:rsid w:val="00D50EE4"/>
    <w:rsid w:val="00D6436B"/>
    <w:rsid w:val="00D809E5"/>
    <w:rsid w:val="00D9501F"/>
    <w:rsid w:val="00DB50D5"/>
    <w:rsid w:val="00DB76C7"/>
    <w:rsid w:val="00DF2146"/>
    <w:rsid w:val="00DF3DA3"/>
    <w:rsid w:val="00E06A00"/>
    <w:rsid w:val="00E30022"/>
    <w:rsid w:val="00E5219B"/>
    <w:rsid w:val="00E84291"/>
    <w:rsid w:val="00EA198F"/>
    <w:rsid w:val="00ED4650"/>
    <w:rsid w:val="00EE2C66"/>
    <w:rsid w:val="00EF0BCB"/>
    <w:rsid w:val="00EF0E74"/>
    <w:rsid w:val="00F0065D"/>
    <w:rsid w:val="00F00E8A"/>
    <w:rsid w:val="00F31219"/>
    <w:rsid w:val="00F41BA9"/>
    <w:rsid w:val="00F47BA3"/>
    <w:rsid w:val="00F5267A"/>
    <w:rsid w:val="00F55135"/>
    <w:rsid w:val="00F60AB5"/>
    <w:rsid w:val="00F63DDA"/>
    <w:rsid w:val="00F70858"/>
    <w:rsid w:val="00F75949"/>
    <w:rsid w:val="00F75E18"/>
    <w:rsid w:val="00F941F0"/>
    <w:rsid w:val="00F96222"/>
    <w:rsid w:val="00FA010D"/>
    <w:rsid w:val="00FB6F95"/>
    <w:rsid w:val="00FE430C"/>
    <w:rsid w:val="00FE74F5"/>
    <w:rsid w:val="00FF2B1D"/>
    <w:rsid w:val="00FF309A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EAC4CCC"/>
  <w15:docId w15:val="{13B95D50-EDE5-4875-9B7B-79F92967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GAHeading">
    <w:name w:val="GA Heading"/>
    <w:basedOn w:val="ListParagraph"/>
    <w:uiPriority w:val="34"/>
    <w:qFormat/>
    <w:rsid w:val="00290AA9"/>
    <w:pPr>
      <w:keepNext/>
      <w:numPr>
        <w:numId w:val="11"/>
      </w:numPr>
      <w:spacing w:before="360" w:after="240"/>
    </w:pPr>
    <w:rPr>
      <w:rFonts w:ascii="Arial" w:hAnsi="Arial" w:cs="Arial"/>
      <w:b/>
      <w:sz w:val="22"/>
      <w:szCs w:val="22"/>
      <w:lang w:val="fr-FR"/>
    </w:r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bodytext">
    <w:name w:val="1.GA Para body text"/>
    <w:basedOn w:val="Marge"/>
    <w:qFormat/>
    <w:rsid w:val="00290AA9"/>
    <w:pPr>
      <w:numPr>
        <w:numId w:val="8"/>
      </w:numPr>
      <w:spacing w:after="120"/>
      <w:ind w:left="567" w:hanging="567"/>
    </w:pPr>
    <w:rPr>
      <w:rFonts w:cs="Arial"/>
      <w:szCs w:val="22"/>
      <w:lang w:val="fr-FR"/>
    </w:rPr>
  </w:style>
  <w:style w:type="paragraph" w:styleId="NoSpacing">
    <w:name w:val="No Spacing"/>
    <w:rsid w:val="00C64668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rsid w:val="00290A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475EE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ansinterligne2">
    <w:name w:val="Sans interligne2"/>
    <w:uiPriority w:val="1"/>
    <w:rsid w:val="00C42FA9"/>
    <w:rPr>
      <w:rFonts w:ascii="Times New Roman" w:eastAsia="Times New Roman" w:hAnsi="Times New Roman"/>
      <w:sz w:val="24"/>
      <w:szCs w:val="24"/>
    </w:rPr>
  </w:style>
  <w:style w:type="paragraph" w:customStyle="1" w:styleId="CarCar3">
    <w:name w:val="Car Car3"/>
    <w:aliases w:val="Car Car3 Char Char"/>
    <w:basedOn w:val="Normal"/>
    <w:link w:val="Hyperlink"/>
    <w:rsid w:val="00721E2A"/>
    <w:pPr>
      <w:tabs>
        <w:tab w:val="left" w:pos="510"/>
        <w:tab w:val="right" w:pos="9639"/>
      </w:tabs>
      <w:autoSpaceDE w:val="0"/>
      <w:autoSpaceDN w:val="0"/>
      <w:adjustRightInd w:val="0"/>
      <w:spacing w:after="80" w:line="220" w:lineRule="exact"/>
      <w:ind w:left="1020" w:hanging="510"/>
      <w:jc w:val="both"/>
    </w:pPr>
    <w:rPr>
      <w:rFonts w:ascii="Calibri" w:eastAsia="SimSun" w:hAnsi="Calibri"/>
      <w:color w:val="0000FF"/>
      <w:sz w:val="20"/>
      <w:szCs w:val="20"/>
      <w:u w:val="single"/>
      <w:lang w:val="fr-FR"/>
    </w:rPr>
  </w:style>
  <w:style w:type="character" w:styleId="Hyperlink">
    <w:name w:val="Hyperlink"/>
    <w:aliases w:val="Car Car3 Char,Car Car3 Char Char Char Char"/>
    <w:link w:val="CarCar3"/>
    <w:unhideWhenUsed/>
    <w:rsid w:val="00721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E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A7A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LHE-21-16.COM-14-FR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h.unesco.org/fr/Decisions/16.COM/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fr/Decisions/16.COM/14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A95E-7786-42D4-B649-8F92EA77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document_FR.dotx</Template>
  <TotalTime>94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Nakata, Julien</cp:lastModifiedBy>
  <cp:revision>23</cp:revision>
  <cp:lastPrinted>2011-08-09T15:27:00Z</cp:lastPrinted>
  <dcterms:created xsi:type="dcterms:W3CDTF">2022-01-21T16:34:00Z</dcterms:created>
  <dcterms:modified xsi:type="dcterms:W3CDTF">2022-04-13T20:21:00Z</dcterms:modified>
</cp:coreProperties>
</file>