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DDD4" w14:textId="77777777" w:rsidR="00A06B95" w:rsidRDefault="00A06B95" w:rsidP="00543E98">
      <w:pPr>
        <w:spacing w:after="0"/>
        <w:ind w:left="3427" w:hanging="3427"/>
        <w:jc w:val="center"/>
        <w:rPr>
          <w:rFonts w:ascii="Arial" w:hAnsi="Arial" w:cs="Arial"/>
          <w:b/>
          <w:szCs w:val="22"/>
        </w:rPr>
      </w:pPr>
    </w:p>
    <w:p w14:paraId="2B4D0765" w14:textId="77777777" w:rsidR="00A06B95" w:rsidRDefault="00A06B95" w:rsidP="00A06B95">
      <w:pPr>
        <w:spacing w:after="0"/>
        <w:ind w:left="3427" w:hanging="3427"/>
        <w:jc w:val="center"/>
        <w:rPr>
          <w:rFonts w:ascii="Arial" w:hAnsi="Arial" w:cs="Arial"/>
          <w:b/>
          <w:szCs w:val="22"/>
        </w:rPr>
      </w:pPr>
    </w:p>
    <w:p w14:paraId="2F4B6142" w14:textId="77777777" w:rsidR="00A06B95" w:rsidRDefault="00A06B95" w:rsidP="00A06B95">
      <w:pPr>
        <w:spacing w:after="0"/>
        <w:ind w:left="3427" w:hanging="3427"/>
        <w:jc w:val="center"/>
        <w:rPr>
          <w:rFonts w:ascii="Arial" w:hAnsi="Arial" w:cs="Arial"/>
          <w:b/>
          <w:szCs w:val="22"/>
        </w:rPr>
      </w:pPr>
    </w:p>
    <w:p w14:paraId="75B9EA1A" w14:textId="77777777" w:rsidR="00A06B95" w:rsidRDefault="00A06B95" w:rsidP="00A06B95">
      <w:pPr>
        <w:spacing w:after="0"/>
        <w:ind w:left="3427" w:hanging="3427"/>
        <w:jc w:val="center"/>
        <w:rPr>
          <w:rFonts w:ascii="Arial" w:hAnsi="Arial" w:cs="Arial"/>
          <w:b/>
          <w:szCs w:val="22"/>
        </w:rPr>
      </w:pPr>
    </w:p>
    <w:p w14:paraId="36B7376F" w14:textId="77777777" w:rsidR="00A06B95" w:rsidRDefault="00A06B95" w:rsidP="00A06B95">
      <w:pPr>
        <w:spacing w:after="0"/>
        <w:ind w:left="3427" w:hanging="3427"/>
        <w:jc w:val="center"/>
        <w:rPr>
          <w:rFonts w:ascii="Arial" w:hAnsi="Arial" w:cs="Arial"/>
          <w:b/>
          <w:szCs w:val="22"/>
        </w:rPr>
      </w:pPr>
    </w:p>
    <w:p w14:paraId="1824D23E" w14:textId="77777777" w:rsidR="00A06B95" w:rsidRDefault="00A06B95" w:rsidP="00A06B95">
      <w:pPr>
        <w:spacing w:after="0"/>
        <w:ind w:left="3427" w:hanging="3427"/>
        <w:jc w:val="center"/>
        <w:rPr>
          <w:rFonts w:ascii="Arial" w:hAnsi="Arial" w:cs="Arial"/>
          <w:b/>
          <w:szCs w:val="22"/>
        </w:rPr>
      </w:pPr>
    </w:p>
    <w:p w14:paraId="09322859" w14:textId="77777777" w:rsidR="00A06B95" w:rsidRDefault="00A06B95" w:rsidP="00A06B95">
      <w:pPr>
        <w:spacing w:after="0"/>
        <w:ind w:left="3427" w:hanging="3427"/>
        <w:jc w:val="center"/>
        <w:rPr>
          <w:rFonts w:ascii="Arial" w:hAnsi="Arial" w:cs="Arial"/>
          <w:b/>
          <w:szCs w:val="22"/>
        </w:rPr>
      </w:pPr>
    </w:p>
    <w:p w14:paraId="668A9EC5" w14:textId="77777777" w:rsidR="00A06B95" w:rsidRDefault="00A06B95" w:rsidP="00A06B95">
      <w:pPr>
        <w:spacing w:after="0"/>
        <w:ind w:left="3427" w:hanging="3427"/>
        <w:jc w:val="center"/>
        <w:rPr>
          <w:rFonts w:ascii="Arial" w:hAnsi="Arial" w:cs="Arial"/>
          <w:b/>
          <w:szCs w:val="22"/>
        </w:rPr>
      </w:pPr>
    </w:p>
    <w:p w14:paraId="2FB17FA2" w14:textId="64428239" w:rsidR="00A06B95" w:rsidRDefault="00A06B95" w:rsidP="00A06B95">
      <w:pPr>
        <w:spacing w:after="0"/>
        <w:ind w:left="3427" w:hanging="3427"/>
        <w:jc w:val="center"/>
        <w:rPr>
          <w:rFonts w:ascii="Arial" w:hAnsi="Arial" w:cs="Arial"/>
          <w:b/>
          <w:szCs w:val="22"/>
        </w:rPr>
      </w:pPr>
      <w:r w:rsidRPr="00293C60">
        <w:rPr>
          <w:rFonts w:ascii="Arial" w:hAnsi="Arial" w:cs="Arial"/>
          <w:b/>
          <w:szCs w:val="22"/>
        </w:rPr>
        <w:t>CONVENTION FOR THE SAFEGUARDING OF TH</w:t>
      </w:r>
      <w:r>
        <w:rPr>
          <w:rFonts w:ascii="Arial" w:hAnsi="Arial" w:cs="Arial"/>
          <w:b/>
          <w:szCs w:val="22"/>
        </w:rPr>
        <w:t xml:space="preserve">E </w:t>
      </w:r>
    </w:p>
    <w:p w14:paraId="53BA9066" w14:textId="19F38E94" w:rsidR="00A06B95" w:rsidRPr="00293C60" w:rsidRDefault="00A06B95" w:rsidP="00A06B95">
      <w:pPr>
        <w:spacing w:after="0"/>
        <w:ind w:left="3427" w:hanging="3427"/>
        <w:jc w:val="center"/>
        <w:rPr>
          <w:rFonts w:ascii="Arial" w:hAnsi="Arial" w:cs="Arial"/>
          <w:b/>
          <w:szCs w:val="22"/>
        </w:rPr>
      </w:pPr>
      <w:r w:rsidRPr="00293C60">
        <w:rPr>
          <w:rFonts w:ascii="Arial" w:hAnsi="Arial" w:cs="Arial"/>
          <w:b/>
          <w:szCs w:val="22"/>
        </w:rPr>
        <w:t>INTANGIBLE CULTURAL HERITAGE</w:t>
      </w:r>
    </w:p>
    <w:p w14:paraId="37428780" w14:textId="77777777" w:rsidR="00A06B95" w:rsidRPr="00293C60" w:rsidRDefault="00A06B95" w:rsidP="00A06B95">
      <w:pPr>
        <w:spacing w:before="1200"/>
        <w:jc w:val="center"/>
        <w:rPr>
          <w:rFonts w:ascii="Arial" w:hAnsi="Arial" w:cs="Arial"/>
          <w:b/>
          <w:szCs w:val="22"/>
        </w:rPr>
      </w:pPr>
      <w:r w:rsidRPr="00293C60">
        <w:rPr>
          <w:rFonts w:ascii="Arial" w:hAnsi="Arial" w:cs="Arial"/>
          <w:b/>
          <w:szCs w:val="22"/>
        </w:rPr>
        <w:t>INTERGOVERNMENTAL COMMITTEE FOR THE</w:t>
      </w:r>
      <w:r w:rsidRPr="00293C60">
        <w:rPr>
          <w:rFonts w:ascii="Arial" w:hAnsi="Arial" w:cs="Arial"/>
          <w:b/>
          <w:szCs w:val="22"/>
        </w:rPr>
        <w:br/>
        <w:t>SAFEGUARDING OF THE INTANGIBLE CULTURAL HERITAGE</w:t>
      </w:r>
    </w:p>
    <w:p w14:paraId="0E55094D" w14:textId="77777777" w:rsidR="00A06B95" w:rsidRPr="00293C60" w:rsidRDefault="00A06B95" w:rsidP="00A06B95">
      <w:pPr>
        <w:spacing w:before="840" w:after="0"/>
        <w:jc w:val="center"/>
        <w:rPr>
          <w:rFonts w:ascii="Arial" w:hAnsi="Arial" w:cs="Arial"/>
          <w:b/>
          <w:szCs w:val="22"/>
        </w:rPr>
      </w:pPr>
      <w:r w:rsidRPr="00B2172B">
        <w:rPr>
          <w:rFonts w:ascii="Arial" w:eastAsiaTheme="minorEastAsia" w:hAnsi="Arial" w:cs="Arial"/>
          <w:b/>
          <w:szCs w:val="22"/>
          <w:lang w:eastAsia="ko-KR"/>
        </w:rPr>
        <w:t xml:space="preserve">Sixteenth </w:t>
      </w:r>
      <w:r w:rsidRPr="00293C60">
        <w:rPr>
          <w:rFonts w:ascii="Arial" w:hAnsi="Arial" w:cs="Arial"/>
          <w:b/>
          <w:szCs w:val="22"/>
        </w:rPr>
        <w:t>session</w:t>
      </w:r>
    </w:p>
    <w:p w14:paraId="6F52939B" w14:textId="4C0F8274" w:rsidR="00A06B95" w:rsidRPr="00B2172B" w:rsidRDefault="000D279F" w:rsidP="00A06B95">
      <w:pPr>
        <w:spacing w:after="0"/>
        <w:jc w:val="center"/>
        <w:rPr>
          <w:rFonts w:ascii="Arial" w:hAnsi="Arial" w:cs="Arial"/>
          <w:b/>
          <w:szCs w:val="22"/>
        </w:rPr>
      </w:pPr>
      <w:r>
        <w:rPr>
          <w:rFonts w:ascii="Arial" w:hAnsi="Arial" w:cs="Arial"/>
          <w:b/>
          <w:szCs w:val="22"/>
        </w:rPr>
        <w:t>Online</w:t>
      </w:r>
    </w:p>
    <w:p w14:paraId="4DF589D5" w14:textId="77777777" w:rsidR="00A06B95" w:rsidRPr="00B2172B" w:rsidRDefault="00A06B95" w:rsidP="00A06B95">
      <w:pPr>
        <w:spacing w:after="0"/>
        <w:jc w:val="center"/>
        <w:rPr>
          <w:rFonts w:ascii="Arial" w:hAnsi="Arial" w:cs="Arial"/>
          <w:b/>
          <w:szCs w:val="22"/>
        </w:rPr>
      </w:pPr>
      <w:r w:rsidRPr="00B2172B">
        <w:rPr>
          <w:rFonts w:ascii="Arial" w:hAnsi="Arial" w:cs="Arial"/>
          <w:b/>
          <w:szCs w:val="22"/>
        </w:rPr>
        <w:t>13 to 18 December 2021</w:t>
      </w:r>
    </w:p>
    <w:p w14:paraId="31E7D658" w14:textId="09CACEF0" w:rsidR="002459E4" w:rsidRPr="00293C60" w:rsidRDefault="002459E4" w:rsidP="008E3F0F">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E651D2">
        <w:rPr>
          <w:rFonts w:ascii="Arial" w:hAnsi="Arial" w:cs="Arial"/>
          <w:b/>
          <w:sz w:val="22"/>
          <w:szCs w:val="22"/>
          <w:u w:val="single"/>
          <w:lang w:val="en-GB"/>
        </w:rPr>
        <w:t>1</w:t>
      </w:r>
      <w:r w:rsidR="00013075">
        <w:rPr>
          <w:rFonts w:ascii="Arial" w:hAnsi="Arial" w:cs="Arial"/>
          <w:b/>
          <w:sz w:val="22"/>
          <w:szCs w:val="22"/>
          <w:u w:val="single"/>
          <w:lang w:val="en-GB"/>
        </w:rPr>
        <w:t>2</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616C2A4" w14:textId="5A7C5584" w:rsidR="002459E4" w:rsidRDefault="002459E4" w:rsidP="008E3F0F">
      <w:pPr>
        <w:pStyle w:val="Sansinterligne2"/>
        <w:spacing w:after="1200"/>
        <w:contextualSpacing/>
        <w:jc w:val="center"/>
        <w:rPr>
          <w:rFonts w:ascii="Arial" w:hAnsi="Arial" w:cs="Arial"/>
          <w:b/>
          <w:sz w:val="22"/>
          <w:szCs w:val="22"/>
          <w:lang w:val="en-GB"/>
        </w:rPr>
      </w:pPr>
      <w:r w:rsidRPr="00BF1B64">
        <w:rPr>
          <w:rFonts w:ascii="Arial" w:hAnsi="Arial" w:cs="Arial"/>
          <w:b/>
          <w:sz w:val="22"/>
          <w:szCs w:val="22"/>
          <w:lang w:val="en-GB"/>
        </w:rPr>
        <w:t>Intangible Cultural Heritage Fund:</w:t>
      </w:r>
    </w:p>
    <w:p w14:paraId="5235CACB" w14:textId="77777777" w:rsidR="002459E4" w:rsidRPr="00293C60" w:rsidRDefault="002459E4" w:rsidP="002459E4">
      <w:pPr>
        <w:pStyle w:val="Sansinterligne2"/>
        <w:spacing w:after="960"/>
        <w:jc w:val="center"/>
        <w:rPr>
          <w:rFonts w:ascii="Arial" w:hAnsi="Arial" w:cs="Arial"/>
          <w:b/>
          <w:sz w:val="22"/>
          <w:szCs w:val="22"/>
          <w:lang w:val="en-GB"/>
        </w:rPr>
      </w:pPr>
      <w:r w:rsidRPr="00BF1B64">
        <w:rPr>
          <w:rFonts w:ascii="Arial" w:hAnsi="Arial" w:cs="Arial"/>
          <w:b/>
          <w:sz w:val="22"/>
          <w:szCs w:val="22"/>
          <w:lang w:val="en-GB"/>
        </w:rPr>
        <w:t>voluntary supplementary contributions and other issues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3F682C" w:rsidRPr="00F3686A" w14:paraId="2B92B843" w14:textId="77777777" w:rsidTr="008E3F0F">
        <w:trPr>
          <w:jc w:val="center"/>
        </w:trPr>
        <w:tc>
          <w:tcPr>
            <w:tcW w:w="5670" w:type="dxa"/>
            <w:vAlign w:val="center"/>
          </w:tcPr>
          <w:p w14:paraId="469A4BF6" w14:textId="77777777" w:rsidR="003F682C" w:rsidRPr="00293C60" w:rsidRDefault="003F682C" w:rsidP="008E3F0F">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5802C12" w14:textId="73F16040" w:rsidR="002459E4" w:rsidRDefault="002459E4" w:rsidP="002459E4">
            <w:pPr>
              <w:pStyle w:val="Sansinterligne2"/>
              <w:spacing w:before="200" w:after="200"/>
              <w:jc w:val="both"/>
              <w:rPr>
                <w:rFonts w:ascii="Arial" w:hAnsi="Arial" w:cs="Arial"/>
                <w:sz w:val="22"/>
                <w:szCs w:val="22"/>
                <w:lang w:val="en-GB"/>
              </w:rPr>
            </w:pPr>
            <w:r w:rsidRPr="009426E5">
              <w:rPr>
                <w:rFonts w:ascii="Arial" w:hAnsi="Arial" w:cs="Arial"/>
                <w:sz w:val="22"/>
                <w:szCs w:val="22"/>
                <w:lang w:val="en-GB"/>
              </w:rPr>
              <w:t xml:space="preserve">In accordance with Article 25.5 of the Convention, the Committee may accept contributions to the </w:t>
            </w:r>
            <w:r w:rsidRPr="002316D6">
              <w:rPr>
                <w:rFonts w:ascii="Arial" w:hAnsi="Arial" w:cs="Arial"/>
                <w:sz w:val="22"/>
                <w:szCs w:val="22"/>
                <w:lang w:val="en-GB"/>
              </w:rPr>
              <w:t>Intangible Cultural Heritage Fund</w:t>
            </w:r>
            <w:r w:rsidRPr="009426E5">
              <w:rPr>
                <w:rFonts w:ascii="Arial" w:hAnsi="Arial" w:cs="Arial"/>
                <w:sz w:val="22"/>
                <w:szCs w:val="22"/>
                <w:lang w:val="en-GB"/>
              </w:rPr>
              <w:t xml:space="preserve"> for specific purposes relating to specific projects, provided that those projects have been </w:t>
            </w:r>
            <w:r w:rsidRPr="00CB68FC">
              <w:rPr>
                <w:rFonts w:ascii="Arial" w:hAnsi="Arial" w:cs="Arial"/>
                <w:sz w:val="22"/>
                <w:szCs w:val="22"/>
                <w:lang w:val="en-GB"/>
              </w:rPr>
              <w:t>approved by the Committee. The present document</w:t>
            </w:r>
            <w:r>
              <w:rPr>
                <w:rFonts w:ascii="Arial" w:hAnsi="Arial" w:cs="Arial"/>
                <w:sz w:val="22"/>
                <w:szCs w:val="22"/>
                <w:lang w:val="en-GB"/>
              </w:rPr>
              <w:t>:</w:t>
            </w:r>
            <w:r w:rsidRPr="00CB68FC">
              <w:rPr>
                <w:rFonts w:ascii="Arial" w:hAnsi="Arial" w:cs="Arial"/>
                <w:sz w:val="22"/>
                <w:szCs w:val="22"/>
                <w:lang w:val="en-GB"/>
              </w:rPr>
              <w:t xml:space="preserve"> (1) reports on such contributions</w:t>
            </w:r>
            <w:r>
              <w:rPr>
                <w:rFonts w:ascii="Arial" w:hAnsi="Arial" w:cs="Arial"/>
                <w:sz w:val="22"/>
                <w:szCs w:val="22"/>
                <w:lang w:val="en-GB"/>
              </w:rPr>
              <w:t xml:space="preserve"> and other types of voluntary contributions</w:t>
            </w:r>
            <w:r w:rsidRPr="00CB68FC">
              <w:rPr>
                <w:rFonts w:ascii="Arial" w:hAnsi="Arial" w:cs="Arial"/>
                <w:sz w:val="22"/>
                <w:szCs w:val="22"/>
                <w:lang w:val="en-GB"/>
              </w:rPr>
              <w:t xml:space="preserve"> received </w:t>
            </w:r>
            <w:r w:rsidR="001149B2" w:rsidRPr="001149B2">
              <w:rPr>
                <w:rFonts w:ascii="Arial" w:hAnsi="Arial" w:cs="Arial"/>
                <w:sz w:val="22"/>
                <w:szCs w:val="22"/>
                <w:lang w:val="en-GB"/>
              </w:rPr>
              <w:t>since the Committee’s fourteenth session in December 2019; and (2) presents two funding priorities for the period 2022-2025.</w:t>
            </w:r>
          </w:p>
          <w:p w14:paraId="2860FB3A" w14:textId="459FDE1B" w:rsidR="003F682C" w:rsidRPr="004B472F" w:rsidRDefault="002459E4" w:rsidP="002459E4">
            <w:pPr>
              <w:pStyle w:val="Sansinterligne2"/>
              <w:spacing w:before="200" w:after="200"/>
              <w:jc w:val="both"/>
              <w:rPr>
                <w:rFonts w:ascii="Arial" w:hAnsi="Arial" w:cs="Arial"/>
                <w:sz w:val="22"/>
                <w:szCs w:val="22"/>
                <w:lang w:val="en-GB"/>
              </w:rPr>
            </w:pPr>
            <w:r w:rsidRPr="00293C60">
              <w:rPr>
                <w:rFonts w:ascii="Arial" w:hAnsi="Arial" w:cs="Arial"/>
                <w:b/>
                <w:sz w:val="22"/>
                <w:szCs w:val="22"/>
                <w:lang w:val="en-GB"/>
              </w:rPr>
              <w:t xml:space="preserve">Decision required: </w:t>
            </w:r>
            <w:r w:rsidRPr="003433FF">
              <w:rPr>
                <w:rFonts w:ascii="Arial" w:hAnsi="Arial" w:cs="Arial"/>
                <w:bCs/>
                <w:sz w:val="22"/>
                <w:szCs w:val="22"/>
                <w:lang w:val="en-GB"/>
              </w:rPr>
              <w:t xml:space="preserve">paragraph </w:t>
            </w:r>
            <w:r w:rsidR="00343E91" w:rsidRPr="003433FF">
              <w:rPr>
                <w:rFonts w:ascii="Arial" w:hAnsi="Arial" w:cs="Arial"/>
                <w:bCs/>
                <w:sz w:val="22"/>
                <w:szCs w:val="22"/>
                <w:lang w:val="en-GB"/>
              </w:rPr>
              <w:t>23</w:t>
            </w:r>
          </w:p>
        </w:tc>
      </w:tr>
    </w:tbl>
    <w:p w14:paraId="2B9874AD" w14:textId="44F4AD1E" w:rsidR="002459E4" w:rsidRPr="00BF1B64" w:rsidRDefault="00851458" w:rsidP="002459E4">
      <w:pPr>
        <w:pStyle w:val="COMPara"/>
        <w:numPr>
          <w:ilvl w:val="0"/>
          <w:numId w:val="10"/>
        </w:numPr>
        <w:ind w:left="567" w:hanging="567"/>
        <w:jc w:val="both"/>
      </w:pPr>
      <w:r w:rsidRPr="004E056C">
        <w:br w:type="page"/>
      </w:r>
      <w:r w:rsidR="002459E4" w:rsidRPr="00BF1B64">
        <w:rPr>
          <w:lang w:val="en-US"/>
        </w:rPr>
        <w:lastRenderedPageBreak/>
        <w:t xml:space="preserve">Chapter VI of the Convention, concerning the Fund for the Safeguarding of the Intangible Cultural Heritage (hereafter, </w:t>
      </w:r>
      <w:r w:rsidR="002459E4">
        <w:rPr>
          <w:lang w:val="en-US"/>
        </w:rPr>
        <w:t>‘</w:t>
      </w:r>
      <w:r w:rsidR="002459E4" w:rsidRPr="00BF1B64">
        <w:rPr>
          <w:lang w:val="en-US"/>
        </w:rPr>
        <w:t>the Fund</w:t>
      </w:r>
      <w:r w:rsidR="002459E4">
        <w:rPr>
          <w:lang w:val="en-US"/>
        </w:rPr>
        <w:t>’</w:t>
      </w:r>
      <w:r w:rsidR="002459E4" w:rsidRPr="00BF1B64">
        <w:rPr>
          <w:lang w:val="en-US"/>
        </w:rPr>
        <w:t xml:space="preserve">), </w:t>
      </w:r>
      <w:r w:rsidR="002459E4">
        <w:rPr>
          <w:lang w:val="en-US"/>
        </w:rPr>
        <w:t>establishes</w:t>
      </w:r>
      <w:r w:rsidR="002459E4" w:rsidRPr="00BF1B64">
        <w:rPr>
          <w:lang w:val="en-US"/>
        </w:rPr>
        <w:t xml:space="preserve"> that States Parties may wish to </w:t>
      </w:r>
      <w:r w:rsidR="00DD1CA7">
        <w:rPr>
          <w:lang w:val="en-US"/>
        </w:rPr>
        <w:t xml:space="preserve">make </w:t>
      </w:r>
      <w:r w:rsidR="002459E4" w:rsidRPr="00BF1B64">
        <w:rPr>
          <w:lang w:val="en-US"/>
        </w:rPr>
        <w:t>voluntary supplementary contributions (Article 27) in addition to their assessed contributions (Article 26). Such contributions may be made in favor of specific projects, ‘provided that those projects have been approved by the Committee’, according to Article 25.5.</w:t>
      </w:r>
    </w:p>
    <w:p w14:paraId="33F47B8A" w14:textId="54471081" w:rsidR="00004349" w:rsidRPr="006B2F24" w:rsidRDefault="004C486D" w:rsidP="008E3F0F">
      <w:pPr>
        <w:pStyle w:val="COMPara"/>
        <w:numPr>
          <w:ilvl w:val="0"/>
          <w:numId w:val="8"/>
        </w:numPr>
        <w:ind w:left="567" w:hanging="567"/>
        <w:jc w:val="both"/>
      </w:pPr>
      <w:r w:rsidRPr="006B2F24">
        <w:rPr>
          <w:rFonts w:asciiTheme="minorBidi" w:hAnsiTheme="minorBidi" w:cstheme="minorBidi"/>
        </w:rPr>
        <w:t>Due to the impact of the ongoing COVID-19 pandemic on the organi</w:t>
      </w:r>
      <w:r w:rsidR="008243CA">
        <w:rPr>
          <w:rFonts w:asciiTheme="minorBidi" w:hAnsiTheme="minorBidi" w:cstheme="minorBidi"/>
        </w:rPr>
        <w:t>z</w:t>
      </w:r>
      <w:r w:rsidRPr="006B2F24">
        <w:rPr>
          <w:rFonts w:asciiTheme="minorBidi" w:hAnsiTheme="minorBidi" w:cstheme="minorBidi"/>
        </w:rPr>
        <w:t xml:space="preserve">ation of the fifteenth session of the Committee as a fully online meeting in December 2020, </w:t>
      </w:r>
      <w:r w:rsidR="006B2F24" w:rsidRPr="006B2F24">
        <w:rPr>
          <w:rFonts w:asciiTheme="minorBidi" w:hAnsiTheme="minorBidi" w:cstheme="minorBidi"/>
        </w:rPr>
        <w:t>the Committee adopted an agenda with fewer items and no item was dedicated to voluntary supplementary contrib</w:t>
      </w:r>
      <w:r w:rsidR="006B2F24">
        <w:rPr>
          <w:rFonts w:asciiTheme="minorBidi" w:hAnsiTheme="minorBidi" w:cstheme="minorBidi"/>
        </w:rPr>
        <w:t>u</w:t>
      </w:r>
      <w:r w:rsidR="006B2F24" w:rsidRPr="006B2F24">
        <w:rPr>
          <w:rFonts w:asciiTheme="minorBidi" w:hAnsiTheme="minorBidi" w:cstheme="minorBidi"/>
        </w:rPr>
        <w:t xml:space="preserve">tions. Therefore, </w:t>
      </w:r>
      <w:r w:rsidR="00004349" w:rsidRPr="006B2F24">
        <w:t xml:space="preserve">the </w:t>
      </w:r>
      <w:r w:rsidR="00DD1CA7">
        <w:t>Committee</w:t>
      </w:r>
      <w:r w:rsidR="00004349" w:rsidRPr="006B2F24">
        <w:t xml:space="preserve"> </w:t>
      </w:r>
      <w:r w:rsidR="00DD1CA7" w:rsidRPr="006B2F24">
        <w:rPr>
          <w:rFonts w:asciiTheme="minorBidi" w:hAnsiTheme="minorBidi" w:cstheme="minorBidi"/>
        </w:rPr>
        <w:t>at the present session</w:t>
      </w:r>
      <w:r w:rsidR="00DD1CA7">
        <w:rPr>
          <w:rFonts w:asciiTheme="minorBidi" w:hAnsiTheme="minorBidi" w:cstheme="minorBidi"/>
        </w:rPr>
        <w:t xml:space="preserve"> is presented with</w:t>
      </w:r>
      <w:r w:rsidR="00DD1CA7" w:rsidRPr="006B2F24">
        <w:t xml:space="preserve"> </w:t>
      </w:r>
      <w:r w:rsidR="00DD1CA7">
        <w:t>a</w:t>
      </w:r>
      <w:r w:rsidR="00004349" w:rsidRPr="006B2F24">
        <w:t xml:space="preserve"> report on the progress made in the implementation of any voluntary supplementary contributions it has received since the </w:t>
      </w:r>
      <w:r w:rsidR="006B2F24">
        <w:t>fourteenth</w:t>
      </w:r>
      <w:r w:rsidR="00004349" w:rsidRPr="006B2F24">
        <w:t xml:space="preserve"> session</w:t>
      </w:r>
      <w:r w:rsidR="0033258E">
        <w:t xml:space="preserve"> in 2019</w:t>
      </w:r>
      <w:r w:rsidR="00004349" w:rsidRPr="006B2F24">
        <w:t xml:space="preserve"> (Decision </w:t>
      </w:r>
      <w:hyperlink r:id="rId8" w:history="1">
        <w:r w:rsidR="00004349" w:rsidRPr="006B2F24">
          <w:rPr>
            <w:rStyle w:val="Hyperlink"/>
          </w:rPr>
          <w:t>1</w:t>
        </w:r>
        <w:r w:rsidR="006B2F24" w:rsidRPr="006B2F24">
          <w:rPr>
            <w:rStyle w:val="Hyperlink"/>
          </w:rPr>
          <w:t>4</w:t>
        </w:r>
        <w:r w:rsidR="00004349" w:rsidRPr="006B2F24">
          <w:rPr>
            <w:rStyle w:val="Hyperlink"/>
          </w:rPr>
          <w:t>.COM 6</w:t>
        </w:r>
      </w:hyperlink>
      <w:r w:rsidR="00004349" w:rsidRPr="006B2F24">
        <w:t>).</w:t>
      </w:r>
      <w:r w:rsidR="00004349" w:rsidRPr="006B2F24">
        <w:rPr>
          <w:bCs/>
        </w:rPr>
        <w:t xml:space="preserve"> Furthermore, t</w:t>
      </w:r>
      <w:r w:rsidR="00004349" w:rsidRPr="006B2F24">
        <w:t>he Committee took note that States make use of different forms of support to the Convention, financial and in-kind, and not only of voluntary supplementary contributions to the Fund (</w:t>
      </w:r>
      <w:r w:rsidR="00004349" w:rsidRPr="00D56786">
        <w:t>Decision </w:t>
      </w:r>
      <w:hyperlink r:id="rId9" w:history="1">
        <w:r w:rsidR="00004349" w:rsidRPr="00D56786">
          <w:rPr>
            <w:rStyle w:val="Hyperlink"/>
          </w:rPr>
          <w:t>7.COM 20.1</w:t>
        </w:r>
      </w:hyperlink>
      <w:r w:rsidR="00004349" w:rsidRPr="006B2F24">
        <w:t xml:space="preserve">). </w:t>
      </w:r>
      <w:r w:rsidR="000C24A3">
        <w:t>T</w:t>
      </w:r>
      <w:r w:rsidR="00004349" w:rsidRPr="006B2F24">
        <w:t xml:space="preserve">he Secretariat </w:t>
      </w:r>
      <w:r w:rsidR="000C24A3">
        <w:t xml:space="preserve">is therefore requested to </w:t>
      </w:r>
      <w:r w:rsidR="00004349" w:rsidRPr="006B2F24">
        <w:t xml:space="preserve">report at each session of the Committee on all forms of contributions received since the previous session. Accordingly, the list of contributions in support of the 2003 Convention received between the </w:t>
      </w:r>
      <w:r w:rsidR="006B2F24">
        <w:t>fourteenth</w:t>
      </w:r>
      <w:r w:rsidR="00004349" w:rsidRPr="006B2F24">
        <w:t xml:space="preserve"> session of the Committee </w:t>
      </w:r>
      <w:r w:rsidR="00004349" w:rsidRPr="00B01D72">
        <w:t xml:space="preserve">and </w:t>
      </w:r>
      <w:r w:rsidR="002A719E" w:rsidRPr="00B01D72">
        <w:t>June</w:t>
      </w:r>
      <w:r w:rsidR="00AC4C3F" w:rsidRPr="00B01D72">
        <w:t xml:space="preserve"> </w:t>
      </w:r>
      <w:r w:rsidR="00004349" w:rsidRPr="00B01D72">
        <w:t>20</w:t>
      </w:r>
      <w:r w:rsidR="006B2F24" w:rsidRPr="00B01D72">
        <w:t>21</w:t>
      </w:r>
      <w:r w:rsidR="00004349" w:rsidRPr="006B2F24">
        <w:t xml:space="preserve"> is annexed to the present document.</w:t>
      </w:r>
    </w:p>
    <w:p w14:paraId="12C0DB68" w14:textId="53B59078" w:rsidR="002459E4" w:rsidRPr="00BF1B64" w:rsidRDefault="002459E4" w:rsidP="002459E4">
      <w:pPr>
        <w:numPr>
          <w:ilvl w:val="0"/>
          <w:numId w:val="8"/>
        </w:numPr>
        <w:ind w:left="567" w:hanging="567"/>
        <w:jc w:val="both"/>
        <w:rPr>
          <w:rFonts w:ascii="Arial" w:hAnsi="Arial" w:cs="Arial"/>
          <w:snapToGrid w:val="0"/>
          <w:szCs w:val="22"/>
          <w:lang w:eastAsia="en-US"/>
        </w:rPr>
      </w:pPr>
      <w:r w:rsidRPr="00BF1B64">
        <w:rPr>
          <w:rFonts w:ascii="Arial" w:hAnsi="Arial" w:cs="Arial"/>
          <w:snapToGrid w:val="0"/>
          <w:szCs w:val="22"/>
          <w:lang w:val="en-US" w:eastAsia="en-US"/>
        </w:rPr>
        <w:t>A</w:t>
      </w:r>
      <w:r w:rsidRPr="00BF1B64">
        <w:rPr>
          <w:rFonts w:ascii="Arial" w:hAnsi="Arial" w:cs="Arial"/>
          <w:snapToGrid w:val="0"/>
          <w:szCs w:val="22"/>
          <w:lang w:eastAsia="en-US"/>
        </w:rPr>
        <w:t>t its twelfth session, the Committee approved two funding priorities for the period 2018</w:t>
      </w:r>
      <w:r>
        <w:rPr>
          <w:rFonts w:ascii="Arial" w:hAnsi="Arial" w:cs="Arial"/>
          <w:snapToGrid w:val="0"/>
          <w:szCs w:val="22"/>
          <w:lang w:eastAsia="en-US"/>
        </w:rPr>
        <w:t>–</w:t>
      </w:r>
      <w:r w:rsidRPr="00BF1B64">
        <w:rPr>
          <w:rFonts w:ascii="Arial" w:hAnsi="Arial" w:cs="Arial"/>
          <w:snapToGrid w:val="0"/>
          <w:szCs w:val="22"/>
          <w:lang w:eastAsia="en-US"/>
        </w:rPr>
        <w:t>2021: (1) ‘Strengthening capacities to safeguard intangible cultural heritage and contribute to sustainable development’ to continue efforts to extend the reach and effectiveness of the global capacity</w:t>
      </w:r>
      <w:r w:rsidRPr="00BF1B64">
        <w:rPr>
          <w:rFonts w:ascii="Arial" w:hAnsi="Arial" w:cs="Arial"/>
          <w:snapToGrid w:val="0"/>
          <w:szCs w:val="22"/>
          <w:lang w:eastAsia="en-US"/>
        </w:rPr>
        <w:noBreakHyphen/>
        <w:t>building strategy</w:t>
      </w:r>
      <w:r>
        <w:rPr>
          <w:rFonts w:ascii="Arial" w:hAnsi="Arial" w:cs="Arial"/>
          <w:snapToGrid w:val="0"/>
          <w:szCs w:val="22"/>
          <w:lang w:eastAsia="en-US"/>
        </w:rPr>
        <w:t>;</w:t>
      </w:r>
      <w:r w:rsidRPr="00BF1B64">
        <w:rPr>
          <w:rFonts w:ascii="Arial" w:hAnsi="Arial" w:cs="Arial"/>
          <w:snapToGrid w:val="0"/>
          <w:szCs w:val="22"/>
          <w:lang w:eastAsia="en-US"/>
        </w:rPr>
        <w:t xml:space="preserve"> and (2) ‘Safeguarding intangible cultural heritage in formal and non-formal education’, </w:t>
      </w:r>
      <w:r>
        <w:rPr>
          <w:rFonts w:ascii="Arial" w:hAnsi="Arial" w:cs="Arial"/>
          <w:snapToGrid w:val="0"/>
          <w:szCs w:val="22"/>
          <w:lang w:eastAsia="en-US"/>
        </w:rPr>
        <w:t>an</w:t>
      </w:r>
      <w:r w:rsidRPr="00BF1B64">
        <w:rPr>
          <w:rFonts w:ascii="Arial" w:hAnsi="Arial" w:cs="Arial"/>
          <w:snapToGrid w:val="0"/>
          <w:szCs w:val="22"/>
          <w:lang w:eastAsia="en-US"/>
        </w:rPr>
        <w:t xml:space="preserve"> initiative established in response to Article 2 of the Convention that defines transmission through formal and non-formal education as a safeguarding measure (</w:t>
      </w:r>
      <w:r w:rsidRPr="00D56786">
        <w:rPr>
          <w:rFonts w:ascii="Arial" w:hAnsi="Arial" w:cs="Arial"/>
          <w:snapToGrid w:val="0"/>
          <w:szCs w:val="22"/>
          <w:lang w:eastAsia="en-US"/>
        </w:rPr>
        <w:t>Decision </w:t>
      </w:r>
      <w:hyperlink r:id="rId10" w:history="1">
        <w:r w:rsidRPr="00D56786">
          <w:rPr>
            <w:rStyle w:val="Hyperlink"/>
            <w:rFonts w:ascii="Arial" w:hAnsi="Arial" w:cs="Arial"/>
            <w:snapToGrid w:val="0"/>
            <w:szCs w:val="22"/>
            <w:lang w:eastAsia="en-US"/>
          </w:rPr>
          <w:t>12.COM 6</w:t>
        </w:r>
      </w:hyperlink>
      <w:r w:rsidRPr="00BF1B64">
        <w:rPr>
          <w:rFonts w:ascii="Arial" w:hAnsi="Arial" w:cs="Arial"/>
          <w:snapToGrid w:val="0"/>
          <w:szCs w:val="22"/>
          <w:lang w:eastAsia="en-US"/>
        </w:rPr>
        <w:t>). The resource mobilization targets set for the two funding priorities were US$5 million and US$2 million, respectively, for the period 2018</w:t>
      </w:r>
      <w:r>
        <w:rPr>
          <w:rFonts w:ascii="Arial" w:hAnsi="Arial" w:cs="Arial"/>
          <w:snapToGrid w:val="0"/>
          <w:szCs w:val="22"/>
          <w:lang w:eastAsia="en-US"/>
        </w:rPr>
        <w:t>–</w:t>
      </w:r>
      <w:r w:rsidRPr="00BF1B64">
        <w:rPr>
          <w:rFonts w:ascii="Arial" w:hAnsi="Arial" w:cs="Arial"/>
          <w:snapToGrid w:val="0"/>
          <w:szCs w:val="22"/>
          <w:lang w:eastAsia="en-US"/>
        </w:rPr>
        <w:t>2021.</w:t>
      </w:r>
    </w:p>
    <w:p w14:paraId="25C45F5E" w14:textId="77777777" w:rsidR="002459E4" w:rsidRPr="000D60A4" w:rsidRDefault="002459E4" w:rsidP="00114729">
      <w:pPr>
        <w:pStyle w:val="ListParagraph"/>
        <w:numPr>
          <w:ilvl w:val="0"/>
          <w:numId w:val="15"/>
        </w:numPr>
        <w:spacing w:before="240"/>
        <w:ind w:left="562" w:hanging="562"/>
        <w:contextualSpacing/>
        <w:rPr>
          <w:b/>
        </w:rPr>
      </w:pPr>
      <w:r w:rsidRPr="000D60A4">
        <w:rPr>
          <w:b/>
        </w:rPr>
        <w:t>State of affairs</w:t>
      </w:r>
    </w:p>
    <w:p w14:paraId="659FC1C2" w14:textId="68D35EF4" w:rsidR="0066569B" w:rsidRPr="008243CA" w:rsidRDefault="00FE5624" w:rsidP="002459E4">
      <w:pPr>
        <w:numPr>
          <w:ilvl w:val="0"/>
          <w:numId w:val="8"/>
        </w:numPr>
        <w:ind w:left="567" w:hanging="567"/>
        <w:jc w:val="both"/>
        <w:rPr>
          <w:rFonts w:ascii="Arial" w:hAnsi="Arial" w:cs="Arial"/>
          <w:snapToGrid w:val="0"/>
          <w:szCs w:val="22"/>
          <w:lang w:eastAsia="en-US"/>
        </w:rPr>
      </w:pPr>
      <w:r w:rsidRPr="002D2681">
        <w:rPr>
          <w:rFonts w:ascii="Arial" w:hAnsi="Arial" w:cs="Arial"/>
          <w:snapToGrid w:val="0"/>
          <w:szCs w:val="22"/>
          <w:lang w:eastAsia="en-US"/>
        </w:rPr>
        <w:t>During the 2018–2021 quadrennium</w:t>
      </w:r>
      <w:r w:rsidR="002D2681" w:rsidRPr="002D2681">
        <w:rPr>
          <w:rFonts w:ascii="Arial" w:hAnsi="Arial" w:cs="Arial"/>
          <w:snapToGrid w:val="0"/>
          <w:szCs w:val="22"/>
          <w:lang w:eastAsia="en-US"/>
        </w:rPr>
        <w:t xml:space="preserve"> (up to 30 June 2021)</w:t>
      </w:r>
      <w:r w:rsidRPr="002D2681">
        <w:rPr>
          <w:rFonts w:ascii="Arial" w:hAnsi="Arial" w:cs="Arial"/>
          <w:snapToGrid w:val="0"/>
          <w:szCs w:val="22"/>
          <w:lang w:eastAsia="en-US"/>
        </w:rPr>
        <w:t xml:space="preserve">, </w:t>
      </w:r>
      <w:r w:rsidR="0066569B" w:rsidRPr="002D2681">
        <w:rPr>
          <w:rFonts w:ascii="Arial" w:hAnsi="Arial" w:cs="Arial"/>
          <w:snapToGrid w:val="0"/>
          <w:szCs w:val="22"/>
          <w:lang w:eastAsia="en-US"/>
        </w:rPr>
        <w:t>a total of eighteen voluntary supplementary contributions were received for</w:t>
      </w:r>
      <w:r w:rsidR="0066569B" w:rsidRPr="008243CA">
        <w:rPr>
          <w:rFonts w:ascii="Arial" w:hAnsi="Arial" w:cs="Arial"/>
          <w:snapToGrid w:val="0"/>
          <w:szCs w:val="22"/>
          <w:lang w:eastAsia="en-US"/>
        </w:rPr>
        <w:t xml:space="preserve"> a total amount of US$1,276,661 </w:t>
      </w:r>
      <w:r w:rsidR="0033258E">
        <w:rPr>
          <w:rFonts w:ascii="Arial" w:hAnsi="Arial" w:cs="Arial"/>
          <w:snapToGrid w:val="0"/>
          <w:szCs w:val="22"/>
          <w:lang w:eastAsia="en-US"/>
        </w:rPr>
        <w:t>with</w:t>
      </w:r>
      <w:r w:rsidR="0066569B" w:rsidRPr="008243CA">
        <w:rPr>
          <w:rFonts w:ascii="Arial" w:hAnsi="Arial" w:cs="Arial"/>
          <w:snapToGrid w:val="0"/>
          <w:szCs w:val="22"/>
          <w:lang w:eastAsia="en-US"/>
        </w:rPr>
        <w:t xml:space="preserve"> the following distribution</w:t>
      </w:r>
      <w:r w:rsidR="0033258E">
        <w:rPr>
          <w:rFonts w:ascii="Arial" w:hAnsi="Arial" w:cs="Arial"/>
          <w:snapToGrid w:val="0"/>
          <w:szCs w:val="22"/>
          <w:lang w:eastAsia="en-US"/>
        </w:rPr>
        <w:t xml:space="preserve"> across funding priorities and initiatives</w:t>
      </w:r>
      <w:r w:rsidR="0066569B" w:rsidRPr="008243CA">
        <w:rPr>
          <w:rFonts w:ascii="Arial" w:hAnsi="Arial" w:cs="Arial"/>
          <w:snapToGrid w:val="0"/>
          <w:szCs w:val="22"/>
          <w:lang w:eastAsia="en-US"/>
        </w:rPr>
        <w:t>:</w:t>
      </w:r>
    </w:p>
    <w:p w14:paraId="224D6226" w14:textId="7D5E2F54" w:rsidR="0066569B" w:rsidRDefault="00B21F2F" w:rsidP="00B21F2F">
      <w:pPr>
        <w:ind w:left="567"/>
        <w:jc w:val="center"/>
        <w:rPr>
          <w:rFonts w:ascii="Arial" w:hAnsi="Arial" w:cs="Arial"/>
          <w:snapToGrid w:val="0"/>
          <w:szCs w:val="22"/>
          <w:highlight w:val="yellow"/>
          <w:lang w:eastAsia="en-US"/>
        </w:rPr>
      </w:pPr>
      <w:r>
        <w:rPr>
          <w:noProof/>
        </w:rPr>
        <w:drawing>
          <wp:inline distT="0" distB="0" distL="0" distR="0" wp14:anchorId="214AAFA4" wp14:editId="23A73CC0">
            <wp:extent cx="4881563" cy="2909888"/>
            <wp:effectExtent l="0" t="0" r="14605" b="5080"/>
            <wp:docPr id="2" name="Chart 2">
              <a:extLst xmlns:a="http://schemas.openxmlformats.org/drawingml/2006/main">
                <a:ext uri="{FF2B5EF4-FFF2-40B4-BE49-F238E27FC236}">
                  <a16:creationId xmlns:a16="http://schemas.microsoft.com/office/drawing/2014/main" id="{61983945-DD8F-4E6D-AE21-15BF62688E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42B3DE" w14:textId="7346E665" w:rsidR="002459E4" w:rsidRPr="004C4449" w:rsidRDefault="00B21F2F" w:rsidP="00125CDA">
      <w:pPr>
        <w:numPr>
          <w:ilvl w:val="0"/>
          <w:numId w:val="8"/>
        </w:numPr>
        <w:ind w:left="567" w:hanging="567"/>
        <w:jc w:val="both"/>
        <w:rPr>
          <w:rFonts w:ascii="Arial" w:hAnsi="Arial" w:cs="Arial"/>
          <w:snapToGrid w:val="0"/>
          <w:szCs w:val="22"/>
          <w:lang w:eastAsia="en-US"/>
        </w:rPr>
      </w:pPr>
      <w:r w:rsidRPr="004C4449">
        <w:rPr>
          <w:rFonts w:ascii="Arial" w:hAnsi="Arial" w:cs="Arial"/>
          <w:snapToGrid w:val="0"/>
          <w:szCs w:val="22"/>
          <w:lang w:eastAsia="en-US"/>
        </w:rPr>
        <w:t xml:space="preserve">Compared with the previous </w:t>
      </w:r>
      <w:r w:rsidR="00517738" w:rsidRPr="004C4449">
        <w:rPr>
          <w:rFonts w:ascii="Arial" w:hAnsi="Arial" w:cs="Arial"/>
          <w:snapToGrid w:val="0"/>
          <w:szCs w:val="22"/>
          <w:lang w:eastAsia="en-US"/>
        </w:rPr>
        <w:t>four-year period</w:t>
      </w:r>
      <w:r w:rsidRPr="004C4449">
        <w:rPr>
          <w:rFonts w:ascii="Arial" w:hAnsi="Arial" w:cs="Arial"/>
          <w:snapToGrid w:val="0"/>
          <w:szCs w:val="22"/>
          <w:lang w:eastAsia="en-US"/>
        </w:rPr>
        <w:t xml:space="preserve"> 201</w:t>
      </w:r>
      <w:r w:rsidR="00F00C28">
        <w:rPr>
          <w:rFonts w:ascii="Arial" w:hAnsi="Arial" w:cs="Arial"/>
          <w:snapToGrid w:val="0"/>
          <w:szCs w:val="22"/>
          <w:lang w:eastAsia="en-US"/>
        </w:rPr>
        <w:t>4</w:t>
      </w:r>
      <w:r w:rsidRPr="004C4449">
        <w:rPr>
          <w:rFonts w:ascii="Arial" w:hAnsi="Arial" w:cs="Arial"/>
          <w:snapToGrid w:val="0"/>
          <w:szCs w:val="22"/>
          <w:lang w:eastAsia="en-US"/>
        </w:rPr>
        <w:t>–2017</w:t>
      </w:r>
      <w:r w:rsidR="00163737" w:rsidRPr="004C4449">
        <w:rPr>
          <w:rFonts w:ascii="Arial" w:hAnsi="Arial" w:cs="Arial"/>
          <w:snapToGrid w:val="0"/>
          <w:szCs w:val="22"/>
          <w:lang w:eastAsia="en-US"/>
        </w:rPr>
        <w:t xml:space="preserve">, the volume of voluntary </w:t>
      </w:r>
      <w:r w:rsidR="00517738" w:rsidRPr="004C4449">
        <w:rPr>
          <w:rFonts w:ascii="Arial" w:hAnsi="Arial" w:cs="Arial"/>
          <w:snapToGrid w:val="0"/>
          <w:szCs w:val="22"/>
          <w:lang w:eastAsia="en-US"/>
        </w:rPr>
        <w:t xml:space="preserve">supplementary </w:t>
      </w:r>
      <w:r w:rsidR="00163737" w:rsidRPr="004C4449">
        <w:rPr>
          <w:rFonts w:ascii="Arial" w:hAnsi="Arial" w:cs="Arial"/>
          <w:snapToGrid w:val="0"/>
          <w:szCs w:val="22"/>
          <w:lang w:eastAsia="en-US"/>
        </w:rPr>
        <w:t>contributions</w:t>
      </w:r>
      <w:r w:rsidR="00517738" w:rsidRPr="004C4449">
        <w:rPr>
          <w:rFonts w:ascii="Arial" w:hAnsi="Arial" w:cs="Arial"/>
          <w:snapToGrid w:val="0"/>
          <w:szCs w:val="22"/>
          <w:lang w:eastAsia="en-US"/>
        </w:rPr>
        <w:t xml:space="preserve"> from January 2018 to June 2021</w:t>
      </w:r>
      <w:r w:rsidR="00163737" w:rsidRPr="004C4449">
        <w:rPr>
          <w:rFonts w:ascii="Arial" w:hAnsi="Arial" w:cs="Arial"/>
          <w:snapToGrid w:val="0"/>
          <w:szCs w:val="22"/>
          <w:lang w:eastAsia="en-US"/>
        </w:rPr>
        <w:t xml:space="preserve"> has been divided </w:t>
      </w:r>
      <w:r w:rsidR="00621C83" w:rsidRPr="004C4449">
        <w:rPr>
          <w:rFonts w:ascii="Arial" w:hAnsi="Arial" w:cs="Arial"/>
          <w:snapToGrid w:val="0"/>
          <w:szCs w:val="22"/>
          <w:lang w:eastAsia="en-US"/>
        </w:rPr>
        <w:t xml:space="preserve">approximately </w:t>
      </w:r>
      <w:r w:rsidR="00163737" w:rsidRPr="004C4449">
        <w:rPr>
          <w:rFonts w:ascii="Arial" w:hAnsi="Arial" w:cs="Arial"/>
          <w:snapToGrid w:val="0"/>
          <w:szCs w:val="22"/>
          <w:lang w:eastAsia="en-US"/>
        </w:rPr>
        <w:t xml:space="preserve">by two. </w:t>
      </w:r>
      <w:r w:rsidR="002459E4" w:rsidRPr="004C4449">
        <w:rPr>
          <w:rFonts w:ascii="Arial" w:hAnsi="Arial" w:cs="Arial"/>
          <w:snapToGrid w:val="0"/>
          <w:szCs w:val="22"/>
          <w:lang w:eastAsia="en-US"/>
        </w:rPr>
        <w:t xml:space="preserve">In recent years, </w:t>
      </w:r>
      <w:r w:rsidR="009B4723" w:rsidRPr="004C4449">
        <w:rPr>
          <w:rFonts w:ascii="Arial" w:hAnsi="Arial" w:cs="Arial"/>
          <w:snapToGrid w:val="0"/>
          <w:szCs w:val="22"/>
          <w:lang w:eastAsia="en-US"/>
        </w:rPr>
        <w:t xml:space="preserve">it was considered that one of the main causes for the </w:t>
      </w:r>
      <w:r w:rsidR="00852BEC" w:rsidRPr="004C4449">
        <w:rPr>
          <w:rFonts w:ascii="Arial" w:hAnsi="Arial" w:cs="Arial"/>
          <w:snapToGrid w:val="0"/>
          <w:szCs w:val="22"/>
          <w:lang w:eastAsia="en-US"/>
        </w:rPr>
        <w:t>decreasing</w:t>
      </w:r>
      <w:r w:rsidR="009B4723" w:rsidRPr="004C4449">
        <w:rPr>
          <w:rFonts w:ascii="Arial" w:hAnsi="Arial" w:cs="Arial"/>
          <w:snapToGrid w:val="0"/>
          <w:szCs w:val="22"/>
          <w:lang w:eastAsia="en-US"/>
        </w:rPr>
        <w:t xml:space="preserve"> level of voluntary contributions </w:t>
      </w:r>
      <w:r w:rsidR="0033258E">
        <w:rPr>
          <w:rFonts w:ascii="Arial" w:hAnsi="Arial" w:cs="Arial"/>
          <w:snapToGrid w:val="0"/>
          <w:szCs w:val="22"/>
          <w:lang w:eastAsia="en-US"/>
        </w:rPr>
        <w:t>wa</w:t>
      </w:r>
      <w:r w:rsidR="009B4723" w:rsidRPr="004C4449">
        <w:rPr>
          <w:rFonts w:ascii="Arial" w:hAnsi="Arial" w:cs="Arial"/>
          <w:snapToGrid w:val="0"/>
          <w:szCs w:val="22"/>
          <w:lang w:eastAsia="en-US"/>
        </w:rPr>
        <w:t xml:space="preserve">s </w:t>
      </w:r>
      <w:r w:rsidR="002459E4" w:rsidRPr="004C4449">
        <w:rPr>
          <w:rFonts w:ascii="Arial" w:hAnsi="Arial" w:cs="Arial"/>
          <w:snapToGrid w:val="0"/>
          <w:szCs w:val="22"/>
          <w:lang w:eastAsia="en-US"/>
        </w:rPr>
        <w:t>the growing amount of funding available in the Fund</w:t>
      </w:r>
      <w:r w:rsidR="009B4723" w:rsidRPr="004C4449">
        <w:rPr>
          <w:rFonts w:ascii="Arial" w:hAnsi="Arial" w:cs="Arial"/>
          <w:snapToGrid w:val="0"/>
          <w:szCs w:val="22"/>
          <w:lang w:eastAsia="en-US"/>
        </w:rPr>
        <w:t>, which States Parties c</w:t>
      </w:r>
      <w:r w:rsidR="00852BEC" w:rsidRPr="004C4449">
        <w:rPr>
          <w:rFonts w:ascii="Arial" w:hAnsi="Arial" w:cs="Arial"/>
          <w:snapToGrid w:val="0"/>
          <w:szCs w:val="22"/>
          <w:lang w:eastAsia="en-US"/>
        </w:rPr>
        <w:t>an</w:t>
      </w:r>
      <w:r w:rsidR="009B4723" w:rsidRPr="004C4449">
        <w:rPr>
          <w:rFonts w:ascii="Arial" w:hAnsi="Arial" w:cs="Arial"/>
          <w:snapToGrid w:val="0"/>
          <w:szCs w:val="22"/>
          <w:lang w:eastAsia="en-US"/>
        </w:rPr>
        <w:t xml:space="preserve"> access through the International Assistance mechanisms. </w:t>
      </w:r>
      <w:r w:rsidR="00621C83">
        <w:rPr>
          <w:rFonts w:ascii="Arial" w:hAnsi="Arial" w:cs="Arial"/>
          <w:snapToGrid w:val="0"/>
          <w:szCs w:val="22"/>
          <w:lang w:eastAsia="en-US"/>
        </w:rPr>
        <w:t>For t</w:t>
      </w:r>
      <w:r w:rsidR="009B4723" w:rsidRPr="004C4449">
        <w:rPr>
          <w:rFonts w:ascii="Arial" w:hAnsi="Arial" w:cs="Arial"/>
          <w:snapToGrid w:val="0"/>
          <w:szCs w:val="22"/>
          <w:lang w:eastAsia="en-US"/>
        </w:rPr>
        <w:t>his reason</w:t>
      </w:r>
      <w:r w:rsidR="00621C83">
        <w:rPr>
          <w:rFonts w:ascii="Arial" w:hAnsi="Arial" w:cs="Arial"/>
          <w:snapToGrid w:val="0"/>
          <w:szCs w:val="22"/>
          <w:lang w:eastAsia="en-US"/>
        </w:rPr>
        <w:t>,</w:t>
      </w:r>
      <w:r w:rsidR="009B4723" w:rsidRPr="004C4449">
        <w:rPr>
          <w:rFonts w:ascii="Arial" w:hAnsi="Arial" w:cs="Arial"/>
          <w:snapToGrid w:val="0"/>
          <w:szCs w:val="22"/>
          <w:lang w:eastAsia="en-US"/>
        </w:rPr>
        <w:t xml:space="preserve"> the Secretariat </w:t>
      </w:r>
      <w:r w:rsidR="00621C83">
        <w:rPr>
          <w:rFonts w:ascii="Arial" w:hAnsi="Arial" w:cs="Arial"/>
          <w:snapToGrid w:val="0"/>
          <w:szCs w:val="22"/>
          <w:lang w:eastAsia="en-US"/>
        </w:rPr>
        <w:t xml:space="preserve">has </w:t>
      </w:r>
      <w:r w:rsidR="009B4723" w:rsidRPr="004C4449">
        <w:rPr>
          <w:rFonts w:ascii="Arial" w:hAnsi="Arial" w:cs="Arial"/>
          <w:snapToGrid w:val="0"/>
          <w:szCs w:val="22"/>
          <w:lang w:eastAsia="en-US"/>
        </w:rPr>
        <w:t xml:space="preserve">devoted much effort – in particular since 2016 – to intensifying the </w:t>
      </w:r>
      <w:r w:rsidR="009B4723" w:rsidRPr="004C4449">
        <w:rPr>
          <w:rFonts w:ascii="Arial" w:hAnsi="Arial" w:cs="Arial"/>
          <w:snapToGrid w:val="0"/>
          <w:szCs w:val="22"/>
          <w:lang w:eastAsia="en-US"/>
        </w:rPr>
        <w:lastRenderedPageBreak/>
        <w:t>implementation of the International Assistance mechanisms of the Fund</w:t>
      </w:r>
      <w:r w:rsidR="00852BEC" w:rsidRPr="004C4449">
        <w:rPr>
          <w:rFonts w:ascii="Arial" w:hAnsi="Arial" w:cs="Arial"/>
          <w:snapToGrid w:val="0"/>
          <w:szCs w:val="22"/>
          <w:lang w:eastAsia="en-US"/>
        </w:rPr>
        <w:t xml:space="preserve"> (see </w:t>
      </w:r>
      <w:r w:rsidR="00616B3E">
        <w:rPr>
          <w:rFonts w:ascii="Arial" w:hAnsi="Arial" w:cs="Arial"/>
          <w:snapToGrid w:val="0"/>
          <w:szCs w:val="22"/>
          <w:lang w:eastAsia="en-US"/>
        </w:rPr>
        <w:t>d</w:t>
      </w:r>
      <w:r w:rsidR="00852BEC" w:rsidRPr="004C4449">
        <w:rPr>
          <w:rFonts w:ascii="Arial" w:hAnsi="Arial" w:cs="Arial"/>
          <w:snapToGrid w:val="0"/>
          <w:szCs w:val="22"/>
          <w:lang w:eastAsia="en-US"/>
        </w:rPr>
        <w:t xml:space="preserve">ocument </w:t>
      </w:r>
      <w:hyperlink r:id="rId12" w:history="1">
        <w:r w:rsidR="00852BEC" w:rsidRPr="004C4449">
          <w:rPr>
            <w:rStyle w:val="Hyperlink"/>
            <w:rFonts w:ascii="Arial" w:hAnsi="Arial" w:cs="Arial"/>
            <w:snapToGrid w:val="0"/>
            <w:szCs w:val="22"/>
            <w:lang w:eastAsia="en-US"/>
          </w:rPr>
          <w:t>LHE/19/14.COM/7</w:t>
        </w:r>
      </w:hyperlink>
      <w:r w:rsidR="00852BEC" w:rsidRPr="004C4449">
        <w:rPr>
          <w:rFonts w:ascii="Arial" w:hAnsi="Arial" w:cs="Arial"/>
          <w:snapToGrid w:val="0"/>
          <w:szCs w:val="22"/>
          <w:lang w:eastAsia="en-US"/>
        </w:rPr>
        <w:t xml:space="preserve">) and to enhancing the monitoring of projects funded by the Intangible Cultural Heritage </w:t>
      </w:r>
      <w:r w:rsidR="002D2681">
        <w:rPr>
          <w:rFonts w:ascii="Arial" w:hAnsi="Arial" w:cs="Arial"/>
          <w:snapToGrid w:val="0"/>
          <w:szCs w:val="22"/>
          <w:lang w:eastAsia="en-US"/>
        </w:rPr>
        <w:t xml:space="preserve">Fund </w:t>
      </w:r>
      <w:r w:rsidR="00852BEC" w:rsidRPr="004C4449">
        <w:rPr>
          <w:rFonts w:ascii="Arial" w:hAnsi="Arial" w:cs="Arial"/>
          <w:snapToGrid w:val="0"/>
          <w:szCs w:val="22"/>
          <w:lang w:eastAsia="en-US"/>
        </w:rPr>
        <w:t>with the creation of a dedicated Safeguarding</w:t>
      </w:r>
      <w:r w:rsidR="002D2681">
        <w:rPr>
          <w:rFonts w:ascii="Arial" w:hAnsi="Arial" w:cs="Arial"/>
          <w:snapToGrid w:val="0"/>
          <w:szCs w:val="22"/>
          <w:lang w:eastAsia="en-US"/>
        </w:rPr>
        <w:t xml:space="preserve"> Implementation and</w:t>
      </w:r>
      <w:r w:rsidR="00852BEC" w:rsidRPr="004C4449">
        <w:rPr>
          <w:rFonts w:ascii="Arial" w:hAnsi="Arial" w:cs="Arial"/>
          <w:snapToGrid w:val="0"/>
          <w:szCs w:val="22"/>
          <w:lang w:eastAsia="en-US"/>
        </w:rPr>
        <w:t xml:space="preserve"> Monitoring Team (see </w:t>
      </w:r>
      <w:r w:rsidR="00497789">
        <w:rPr>
          <w:rFonts w:ascii="Arial" w:hAnsi="Arial" w:cs="Arial"/>
          <w:snapToGrid w:val="0"/>
          <w:szCs w:val="22"/>
          <w:lang w:eastAsia="en-US"/>
        </w:rPr>
        <w:t xml:space="preserve">document </w:t>
      </w:r>
      <w:hyperlink r:id="rId13" w:history="1">
        <w:r w:rsidR="00497789" w:rsidRPr="00497789">
          <w:rPr>
            <w:rStyle w:val="Hyperlink"/>
            <w:rFonts w:ascii="Arial" w:hAnsi="Arial" w:cs="Arial"/>
            <w:snapToGrid w:val="0"/>
            <w:szCs w:val="22"/>
            <w:lang w:eastAsia="en-US"/>
          </w:rPr>
          <w:t>LHE/20/8.GA/7 Rev.</w:t>
        </w:r>
      </w:hyperlink>
      <w:r w:rsidR="00852BEC" w:rsidRPr="004C4449">
        <w:rPr>
          <w:rFonts w:ascii="Arial" w:hAnsi="Arial" w:cs="Arial"/>
          <w:snapToGrid w:val="0"/>
          <w:szCs w:val="22"/>
          <w:lang w:eastAsia="en-US"/>
        </w:rPr>
        <w:t xml:space="preserve">). While the particular circumstances due to the ongoing COVID-19 pandemic make it difficult to draw </w:t>
      </w:r>
      <w:r w:rsidR="001C21F6" w:rsidRPr="004C4449">
        <w:rPr>
          <w:rFonts w:ascii="Arial" w:hAnsi="Arial" w:cs="Arial"/>
          <w:snapToGrid w:val="0"/>
          <w:szCs w:val="22"/>
          <w:lang w:eastAsia="en-US"/>
        </w:rPr>
        <w:t>conclusion</w:t>
      </w:r>
      <w:r w:rsidR="00852BEC" w:rsidRPr="004C4449">
        <w:rPr>
          <w:rFonts w:ascii="Arial" w:hAnsi="Arial" w:cs="Arial"/>
          <w:snapToGrid w:val="0"/>
          <w:szCs w:val="22"/>
          <w:lang w:eastAsia="en-US"/>
        </w:rPr>
        <w:t xml:space="preserve">s </w:t>
      </w:r>
      <w:r w:rsidR="00621C83" w:rsidRPr="004C4449">
        <w:rPr>
          <w:rFonts w:ascii="Arial" w:hAnsi="Arial" w:cs="Arial"/>
          <w:snapToGrid w:val="0"/>
          <w:szCs w:val="22"/>
          <w:lang w:eastAsia="en-US"/>
        </w:rPr>
        <w:t xml:space="preserve">on future trends </w:t>
      </w:r>
      <w:r w:rsidR="00852BEC" w:rsidRPr="004C4449">
        <w:rPr>
          <w:rFonts w:ascii="Arial" w:hAnsi="Arial" w:cs="Arial"/>
          <w:snapToGrid w:val="0"/>
          <w:szCs w:val="22"/>
          <w:lang w:eastAsia="en-US"/>
        </w:rPr>
        <w:t>from the present biennium, it is clear that</w:t>
      </w:r>
      <w:r w:rsidR="001C21F6" w:rsidRPr="004C4449">
        <w:rPr>
          <w:rFonts w:ascii="Arial" w:hAnsi="Arial" w:cs="Arial"/>
          <w:snapToGrid w:val="0"/>
          <w:szCs w:val="22"/>
          <w:lang w:eastAsia="en-US"/>
        </w:rPr>
        <w:t xml:space="preserve"> the need for voluntary supplementary contributions</w:t>
      </w:r>
      <w:r w:rsidR="00852BEC" w:rsidRPr="004C4449">
        <w:rPr>
          <w:rFonts w:ascii="Arial" w:hAnsi="Arial" w:cs="Arial"/>
          <w:snapToGrid w:val="0"/>
          <w:szCs w:val="22"/>
          <w:lang w:eastAsia="en-US"/>
        </w:rPr>
        <w:t xml:space="preserve"> </w:t>
      </w:r>
      <w:r w:rsidR="001C21F6" w:rsidRPr="004C4449">
        <w:rPr>
          <w:rFonts w:ascii="Arial" w:hAnsi="Arial" w:cs="Arial"/>
          <w:snapToGrid w:val="0"/>
          <w:szCs w:val="22"/>
          <w:lang w:eastAsia="en-US"/>
        </w:rPr>
        <w:t xml:space="preserve">remains, whether to support States Parties that are not yet in a position to </w:t>
      </w:r>
      <w:r w:rsidR="00E25260" w:rsidRPr="004C4449">
        <w:rPr>
          <w:rFonts w:ascii="Arial" w:hAnsi="Arial" w:cs="Arial"/>
          <w:snapToGrid w:val="0"/>
          <w:szCs w:val="22"/>
          <w:lang w:eastAsia="en-US"/>
        </w:rPr>
        <w:t xml:space="preserve">submit International Assistance requests, spearhead innovative projects in new areas such as the integration of intangible cultural heritage into education and/or carry out upstream work at the global level. </w:t>
      </w:r>
      <w:r w:rsidR="002459E4" w:rsidRPr="004C4449">
        <w:rPr>
          <w:rFonts w:ascii="Arial" w:hAnsi="Arial" w:cs="Arial"/>
          <w:snapToGrid w:val="0"/>
          <w:szCs w:val="22"/>
          <w:lang w:eastAsia="en-US"/>
        </w:rPr>
        <w:t xml:space="preserve">Taking this perspective into account, the Secretariat will </w:t>
      </w:r>
      <w:r w:rsidR="00E25260" w:rsidRPr="004C4449">
        <w:rPr>
          <w:rFonts w:ascii="Arial" w:hAnsi="Arial" w:cs="Arial"/>
          <w:snapToGrid w:val="0"/>
          <w:szCs w:val="22"/>
          <w:lang w:eastAsia="en-US"/>
        </w:rPr>
        <w:t>continue</w:t>
      </w:r>
      <w:r w:rsidR="002459E4" w:rsidRPr="004C4449">
        <w:rPr>
          <w:rFonts w:ascii="Arial" w:hAnsi="Arial" w:cs="Arial"/>
          <w:snapToGrid w:val="0"/>
          <w:szCs w:val="22"/>
          <w:lang w:eastAsia="en-US"/>
        </w:rPr>
        <w:t xml:space="preserve"> its efforts to raise funds for the two funding priorities as well as to enhance its human resources.</w:t>
      </w:r>
    </w:p>
    <w:p w14:paraId="11FB3B4B" w14:textId="77777777" w:rsidR="002459E4" w:rsidRPr="004C4449" w:rsidRDefault="002459E4" w:rsidP="002459E4">
      <w:pPr>
        <w:keepNext/>
        <w:keepLines/>
        <w:tabs>
          <w:tab w:val="left" w:pos="567"/>
        </w:tabs>
        <w:snapToGrid w:val="0"/>
        <w:spacing w:before="240"/>
        <w:ind w:left="567"/>
        <w:jc w:val="both"/>
        <w:rPr>
          <w:rFonts w:ascii="Arial" w:hAnsi="Arial" w:cs="Arial"/>
          <w:snapToGrid w:val="0"/>
          <w:color w:val="000000"/>
          <w:szCs w:val="22"/>
          <w:lang w:eastAsia="en-US"/>
        </w:rPr>
      </w:pPr>
      <w:r w:rsidRPr="004C4449">
        <w:rPr>
          <w:rFonts w:ascii="Arial" w:hAnsi="Arial" w:cs="Arial"/>
          <w:b/>
          <w:snapToGrid w:val="0"/>
          <w:szCs w:val="22"/>
          <w:lang w:eastAsia="en-US"/>
        </w:rPr>
        <w:t>Funding priority 1: Capacity-building programme</w:t>
      </w:r>
    </w:p>
    <w:p w14:paraId="51EB05D4" w14:textId="1A8B147F" w:rsidR="00EC3E60" w:rsidRPr="002D4B4C" w:rsidRDefault="002459E4" w:rsidP="002459E4">
      <w:pPr>
        <w:numPr>
          <w:ilvl w:val="0"/>
          <w:numId w:val="8"/>
        </w:numPr>
        <w:ind w:left="567" w:hanging="567"/>
        <w:jc w:val="both"/>
      </w:pPr>
      <w:r w:rsidRPr="004C4449">
        <w:rPr>
          <w:rFonts w:ascii="Arial" w:hAnsi="Arial" w:cs="Arial"/>
          <w:snapToGrid w:val="0"/>
          <w:szCs w:val="22"/>
          <w:lang w:eastAsia="en-US"/>
        </w:rPr>
        <w:t>The current biennium (</w:t>
      </w:r>
      <w:r w:rsidR="00EE1D07" w:rsidRPr="004C4449">
        <w:rPr>
          <w:rFonts w:ascii="Arial" w:hAnsi="Arial" w:cs="Arial"/>
          <w:snapToGrid w:val="0"/>
          <w:szCs w:val="22"/>
          <w:lang w:eastAsia="en-US"/>
        </w:rPr>
        <w:t>40</w:t>
      </w:r>
      <w:r w:rsidRPr="004C4449">
        <w:rPr>
          <w:rFonts w:ascii="Arial" w:hAnsi="Arial" w:cs="Arial"/>
          <w:snapToGrid w:val="0"/>
          <w:szCs w:val="22"/>
          <w:lang w:eastAsia="en-US"/>
        </w:rPr>
        <w:t> C/5) is marked by a</w:t>
      </w:r>
      <w:r w:rsidR="00EE1D07" w:rsidRPr="004C4449">
        <w:rPr>
          <w:rFonts w:ascii="Arial" w:hAnsi="Arial" w:cs="Arial"/>
          <w:snapToGrid w:val="0"/>
          <w:szCs w:val="22"/>
          <w:lang w:eastAsia="en-US"/>
        </w:rPr>
        <w:t xml:space="preserve">n increase in </w:t>
      </w:r>
      <w:r w:rsidR="00E7507E">
        <w:rPr>
          <w:rFonts w:ascii="Arial" w:hAnsi="Arial" w:cs="Arial"/>
          <w:snapToGrid w:val="0"/>
          <w:szCs w:val="22"/>
          <w:lang w:eastAsia="en-US"/>
        </w:rPr>
        <w:t>voluntary supplementary</w:t>
      </w:r>
      <w:r w:rsidR="00E7507E" w:rsidRPr="004C4449">
        <w:rPr>
          <w:rFonts w:ascii="Arial" w:hAnsi="Arial" w:cs="Arial"/>
          <w:snapToGrid w:val="0"/>
          <w:szCs w:val="22"/>
          <w:lang w:eastAsia="en-US"/>
        </w:rPr>
        <w:t xml:space="preserve"> </w:t>
      </w:r>
      <w:r w:rsidRPr="004C4449">
        <w:rPr>
          <w:rFonts w:ascii="Arial" w:hAnsi="Arial" w:cs="Arial"/>
          <w:snapToGrid w:val="0"/>
          <w:szCs w:val="22"/>
          <w:lang w:eastAsia="en-US"/>
        </w:rPr>
        <w:t>contributions</w:t>
      </w:r>
      <w:r w:rsidRPr="00FC0F6B">
        <w:rPr>
          <w:rFonts w:ascii="Arial" w:hAnsi="Arial" w:cs="Arial"/>
          <w:snapToGrid w:val="0"/>
          <w:szCs w:val="22"/>
          <w:lang w:eastAsia="en-US"/>
        </w:rPr>
        <w:t xml:space="preserve"> supporting the global capacity-building programme</w:t>
      </w:r>
      <w:r w:rsidR="00EE1D07">
        <w:rPr>
          <w:rFonts w:ascii="Arial" w:hAnsi="Arial" w:cs="Arial"/>
          <w:snapToGrid w:val="0"/>
          <w:szCs w:val="22"/>
          <w:lang w:eastAsia="en-US"/>
        </w:rPr>
        <w:t xml:space="preserve"> after a 2018</w:t>
      </w:r>
      <w:r w:rsidR="001F401D">
        <w:rPr>
          <w:rFonts w:ascii="Arial" w:hAnsi="Arial" w:cs="Arial"/>
          <w:snapToGrid w:val="0"/>
          <w:szCs w:val="22"/>
          <w:lang w:eastAsia="en-US"/>
        </w:rPr>
        <w:t>–</w:t>
      </w:r>
      <w:r w:rsidR="00EE1D07">
        <w:rPr>
          <w:rFonts w:ascii="Arial" w:hAnsi="Arial" w:cs="Arial"/>
          <w:snapToGrid w:val="0"/>
          <w:szCs w:val="22"/>
          <w:lang w:eastAsia="en-US"/>
        </w:rPr>
        <w:t>2019</w:t>
      </w:r>
      <w:r w:rsidR="001F401D">
        <w:rPr>
          <w:rFonts w:ascii="Arial" w:hAnsi="Arial" w:cs="Arial"/>
          <w:snapToGrid w:val="0"/>
          <w:szCs w:val="22"/>
          <w:lang w:eastAsia="en-US"/>
        </w:rPr>
        <w:t xml:space="preserve"> </w:t>
      </w:r>
      <w:r w:rsidR="00EE1D07">
        <w:rPr>
          <w:rFonts w:ascii="Arial" w:hAnsi="Arial" w:cs="Arial"/>
          <w:snapToGrid w:val="0"/>
          <w:szCs w:val="22"/>
          <w:lang w:eastAsia="en-US"/>
        </w:rPr>
        <w:t xml:space="preserve">period during which no such contribution </w:t>
      </w:r>
      <w:r w:rsidR="00C37AF4">
        <w:rPr>
          <w:rFonts w:ascii="Arial" w:hAnsi="Arial" w:cs="Arial"/>
          <w:snapToGrid w:val="0"/>
          <w:szCs w:val="22"/>
          <w:lang w:eastAsia="en-US"/>
        </w:rPr>
        <w:t>w</w:t>
      </w:r>
      <w:r w:rsidR="00EE1D07">
        <w:rPr>
          <w:rFonts w:ascii="Arial" w:hAnsi="Arial" w:cs="Arial"/>
          <w:snapToGrid w:val="0"/>
          <w:szCs w:val="22"/>
          <w:lang w:eastAsia="en-US"/>
        </w:rPr>
        <w:t xml:space="preserve">as received. Since the fourteenth session of the Committee in 2019, four voluntary contributions were received, from </w:t>
      </w:r>
      <w:bookmarkStart w:id="0" w:name="_Hlk82614611"/>
      <w:r w:rsidR="00EE1D07">
        <w:rPr>
          <w:rFonts w:ascii="Arial" w:hAnsi="Arial" w:cs="Arial"/>
          <w:snapToGrid w:val="0"/>
          <w:szCs w:val="22"/>
          <w:lang w:eastAsia="en-US"/>
        </w:rPr>
        <w:t>Azerbaijan</w:t>
      </w:r>
      <w:r w:rsidR="00857509">
        <w:rPr>
          <w:rFonts w:ascii="Arial" w:hAnsi="Arial" w:cs="Arial"/>
          <w:snapToGrid w:val="0"/>
          <w:szCs w:val="22"/>
          <w:lang w:eastAsia="en-US"/>
        </w:rPr>
        <w:t xml:space="preserve"> (US$100,000)</w:t>
      </w:r>
      <w:r w:rsidR="00EE1D07">
        <w:rPr>
          <w:rFonts w:ascii="Arial" w:hAnsi="Arial" w:cs="Arial"/>
          <w:snapToGrid w:val="0"/>
          <w:szCs w:val="22"/>
          <w:lang w:eastAsia="en-US"/>
        </w:rPr>
        <w:t>, France</w:t>
      </w:r>
      <w:r w:rsidR="00857509">
        <w:rPr>
          <w:rFonts w:ascii="Arial" w:hAnsi="Arial" w:cs="Arial"/>
          <w:snapToGrid w:val="0"/>
          <w:szCs w:val="22"/>
          <w:lang w:eastAsia="en-US"/>
        </w:rPr>
        <w:t xml:space="preserve"> (US$271,445)</w:t>
      </w:r>
      <w:r w:rsidR="00EE1D07">
        <w:rPr>
          <w:rFonts w:ascii="Arial" w:hAnsi="Arial" w:cs="Arial"/>
          <w:snapToGrid w:val="0"/>
          <w:szCs w:val="22"/>
          <w:lang w:eastAsia="en-US"/>
        </w:rPr>
        <w:t>, Kuwait</w:t>
      </w:r>
      <w:r w:rsidR="00857509">
        <w:rPr>
          <w:rFonts w:ascii="Arial" w:hAnsi="Arial" w:cs="Arial"/>
          <w:snapToGrid w:val="0"/>
          <w:szCs w:val="22"/>
          <w:lang w:eastAsia="en-US"/>
        </w:rPr>
        <w:t xml:space="preserve"> (US$65,000)</w:t>
      </w:r>
      <w:r w:rsidR="00EE1D07">
        <w:rPr>
          <w:rFonts w:ascii="Arial" w:hAnsi="Arial" w:cs="Arial"/>
          <w:snapToGrid w:val="0"/>
          <w:szCs w:val="22"/>
          <w:lang w:eastAsia="en-US"/>
        </w:rPr>
        <w:t xml:space="preserve"> and Switzerland</w:t>
      </w:r>
      <w:bookmarkEnd w:id="0"/>
      <w:r w:rsidR="00857509">
        <w:rPr>
          <w:rFonts w:ascii="Arial" w:hAnsi="Arial" w:cs="Arial"/>
          <w:snapToGrid w:val="0"/>
          <w:szCs w:val="22"/>
          <w:lang w:eastAsia="en-US"/>
        </w:rPr>
        <w:t xml:space="preserve"> (US$100,000)</w:t>
      </w:r>
      <w:r w:rsidR="00EE1D07">
        <w:rPr>
          <w:rFonts w:ascii="Arial" w:hAnsi="Arial" w:cs="Arial"/>
          <w:snapToGrid w:val="0"/>
          <w:szCs w:val="22"/>
          <w:lang w:eastAsia="en-US"/>
        </w:rPr>
        <w:t>.</w:t>
      </w:r>
      <w:r w:rsidR="00FA0F1D">
        <w:rPr>
          <w:rFonts w:ascii="Arial" w:hAnsi="Arial" w:cs="Arial"/>
          <w:snapToGrid w:val="0"/>
          <w:szCs w:val="22"/>
          <w:lang w:eastAsia="en-US"/>
        </w:rPr>
        <w:t xml:space="preserve"> </w:t>
      </w:r>
      <w:r w:rsidR="00B635F8">
        <w:rPr>
          <w:rFonts w:ascii="Arial" w:hAnsi="Arial" w:cs="Arial"/>
          <w:snapToGrid w:val="0"/>
          <w:szCs w:val="22"/>
          <w:lang w:eastAsia="en-US"/>
        </w:rPr>
        <w:t>These contributions enabled</w:t>
      </w:r>
      <w:r w:rsidR="00FA0F1D">
        <w:rPr>
          <w:rFonts w:ascii="Arial" w:hAnsi="Arial" w:cs="Arial"/>
          <w:snapToGrid w:val="0"/>
          <w:szCs w:val="22"/>
          <w:lang w:eastAsia="en-US"/>
        </w:rPr>
        <w:t xml:space="preserve"> the ongoing implementation of capacity-building projects at the national level in Africa and the Caribbean, as well as initiatives specifically targeting capacity-building for the safeguarding of living heritage in emergencies.</w:t>
      </w:r>
      <w:r w:rsidR="00EE1D07">
        <w:rPr>
          <w:rFonts w:ascii="Arial" w:hAnsi="Arial" w:cs="Arial"/>
          <w:snapToGrid w:val="0"/>
          <w:szCs w:val="22"/>
          <w:lang w:eastAsia="en-US"/>
        </w:rPr>
        <w:t xml:space="preserve"> These </w:t>
      </w:r>
      <w:r w:rsidR="009B77A0">
        <w:rPr>
          <w:rFonts w:ascii="Arial" w:hAnsi="Arial" w:cs="Arial"/>
          <w:snapToGrid w:val="0"/>
          <w:szCs w:val="22"/>
          <w:lang w:eastAsia="en-US"/>
        </w:rPr>
        <w:t xml:space="preserve">four </w:t>
      </w:r>
      <w:r w:rsidR="00EE1D07">
        <w:rPr>
          <w:rFonts w:ascii="Arial" w:hAnsi="Arial" w:cs="Arial"/>
          <w:snapToGrid w:val="0"/>
          <w:szCs w:val="22"/>
          <w:lang w:eastAsia="en-US"/>
        </w:rPr>
        <w:t xml:space="preserve">contributions amount to </w:t>
      </w:r>
      <w:r w:rsidR="00EC3E60">
        <w:rPr>
          <w:rFonts w:ascii="Arial" w:hAnsi="Arial" w:cs="Arial"/>
          <w:snapToGrid w:val="0"/>
          <w:szCs w:val="22"/>
          <w:lang w:eastAsia="en-US"/>
        </w:rPr>
        <w:t xml:space="preserve">a total of US$536,445 </w:t>
      </w:r>
      <w:r w:rsidR="00EC3E60" w:rsidRPr="002D4B4C">
        <w:rPr>
          <w:rFonts w:ascii="Arial" w:hAnsi="Arial" w:cs="Arial"/>
          <w:snapToGrid w:val="0"/>
          <w:szCs w:val="22"/>
          <w:lang w:eastAsia="en-US"/>
        </w:rPr>
        <w:t>corresponding to 11</w:t>
      </w:r>
      <w:r w:rsidR="0052029F" w:rsidRPr="002D4B4C">
        <w:rPr>
          <w:rFonts w:ascii="Arial" w:hAnsi="Arial" w:cs="Arial"/>
          <w:snapToGrid w:val="0"/>
          <w:szCs w:val="22"/>
          <w:lang w:eastAsia="en-US"/>
        </w:rPr>
        <w:t xml:space="preserve"> per cent</w:t>
      </w:r>
      <w:r w:rsidR="00EC3E60" w:rsidRPr="002D4B4C">
        <w:rPr>
          <w:rFonts w:ascii="Arial" w:hAnsi="Arial" w:cs="Arial"/>
          <w:snapToGrid w:val="0"/>
          <w:szCs w:val="22"/>
          <w:lang w:eastAsia="en-US"/>
        </w:rPr>
        <w:t xml:space="preserve"> of the </w:t>
      </w:r>
      <w:r w:rsidR="00A759E1" w:rsidRPr="002D4B4C">
        <w:rPr>
          <w:rFonts w:ascii="Arial" w:hAnsi="Arial" w:cs="Arial"/>
          <w:color w:val="000000"/>
          <w:szCs w:val="22"/>
        </w:rPr>
        <w:t>mobilization</w:t>
      </w:r>
      <w:r w:rsidR="00EC3E60" w:rsidRPr="002D4B4C">
        <w:rPr>
          <w:rFonts w:ascii="Arial" w:hAnsi="Arial" w:cs="Arial"/>
          <w:color w:val="000000"/>
          <w:szCs w:val="22"/>
        </w:rPr>
        <w:t xml:space="preserve"> target of US$5 million </w:t>
      </w:r>
      <w:r w:rsidR="00A759E1" w:rsidRPr="002D4B4C">
        <w:rPr>
          <w:rFonts w:ascii="Arial" w:hAnsi="Arial" w:cs="Arial"/>
          <w:color w:val="000000"/>
          <w:szCs w:val="22"/>
        </w:rPr>
        <w:t xml:space="preserve">set </w:t>
      </w:r>
      <w:r w:rsidR="00EC3E60" w:rsidRPr="002D4B4C">
        <w:rPr>
          <w:rFonts w:ascii="Arial" w:hAnsi="Arial" w:cs="Arial"/>
          <w:color w:val="000000"/>
          <w:szCs w:val="22"/>
        </w:rPr>
        <w:t>for the 2018–2021</w:t>
      </w:r>
      <w:r w:rsidR="001F401D" w:rsidRPr="002D4B4C">
        <w:rPr>
          <w:rFonts w:ascii="Arial" w:hAnsi="Arial" w:cs="Arial"/>
          <w:color w:val="000000"/>
          <w:szCs w:val="22"/>
        </w:rPr>
        <w:t xml:space="preserve"> </w:t>
      </w:r>
      <w:r w:rsidR="00EC3E60" w:rsidRPr="002D4B4C">
        <w:rPr>
          <w:rFonts w:ascii="Arial" w:hAnsi="Arial" w:cs="Arial"/>
          <w:color w:val="000000"/>
          <w:szCs w:val="22"/>
        </w:rPr>
        <w:t>quadrennium (</w:t>
      </w:r>
      <w:r w:rsidR="00EC3E60" w:rsidRPr="002D4B4C">
        <w:rPr>
          <w:rFonts w:ascii="Arial" w:hAnsi="Arial" w:cs="Arial"/>
          <w:szCs w:val="22"/>
        </w:rPr>
        <w:t xml:space="preserve">Decision </w:t>
      </w:r>
      <w:hyperlink r:id="rId14" w:history="1">
        <w:r w:rsidR="00EC3E60" w:rsidRPr="002D4B4C">
          <w:rPr>
            <w:rStyle w:val="Hyperlink"/>
            <w:rFonts w:ascii="Arial" w:hAnsi="Arial" w:cs="Arial"/>
            <w:szCs w:val="22"/>
          </w:rPr>
          <w:t>12.COM 6</w:t>
        </w:r>
      </w:hyperlink>
      <w:r w:rsidR="00EC3E60" w:rsidRPr="002D4B4C">
        <w:rPr>
          <w:rFonts w:ascii="Arial" w:hAnsi="Arial" w:cs="Arial"/>
          <w:color w:val="000000"/>
          <w:szCs w:val="22"/>
        </w:rPr>
        <w:t>).</w:t>
      </w:r>
    </w:p>
    <w:p w14:paraId="09680521" w14:textId="0F68E3C4" w:rsidR="002459E4" w:rsidRDefault="002459E4" w:rsidP="002459E4">
      <w:pPr>
        <w:keepNext/>
        <w:tabs>
          <w:tab w:val="left" w:pos="567"/>
        </w:tabs>
        <w:snapToGrid w:val="0"/>
        <w:spacing w:before="240"/>
        <w:ind w:left="567"/>
        <w:jc w:val="both"/>
        <w:rPr>
          <w:rFonts w:ascii="Arial" w:hAnsi="Arial" w:cs="Arial"/>
          <w:snapToGrid w:val="0"/>
          <w:szCs w:val="22"/>
          <w:lang w:eastAsia="en-US"/>
        </w:rPr>
      </w:pPr>
      <w:r>
        <w:rPr>
          <w:rFonts w:ascii="Arial" w:hAnsi="Arial" w:cs="Arial"/>
          <w:b/>
          <w:snapToGrid w:val="0"/>
          <w:szCs w:val="22"/>
          <w:lang w:eastAsia="en-US"/>
        </w:rPr>
        <w:t xml:space="preserve">Funding priority 2: </w:t>
      </w:r>
      <w:r w:rsidRPr="00BF1B64">
        <w:rPr>
          <w:rFonts w:ascii="Arial" w:hAnsi="Arial" w:cs="Arial"/>
          <w:b/>
          <w:snapToGrid w:val="0"/>
          <w:szCs w:val="22"/>
          <w:lang w:eastAsia="en-US"/>
        </w:rPr>
        <w:t>Intangible cultural heritage in education</w:t>
      </w:r>
    </w:p>
    <w:p w14:paraId="0FF79940" w14:textId="250806F3" w:rsidR="0092367F" w:rsidRPr="0092367F" w:rsidRDefault="002459E4" w:rsidP="008E3F0F">
      <w:pPr>
        <w:numPr>
          <w:ilvl w:val="0"/>
          <w:numId w:val="8"/>
        </w:numPr>
        <w:ind w:left="567" w:hanging="567"/>
        <w:jc w:val="both"/>
        <w:rPr>
          <w:rFonts w:ascii="Arial" w:hAnsi="Arial" w:cs="Arial"/>
          <w:snapToGrid w:val="0"/>
          <w:szCs w:val="22"/>
          <w:lang w:eastAsia="en-US"/>
        </w:rPr>
      </w:pPr>
      <w:r w:rsidRPr="00CF5253">
        <w:rPr>
          <w:rFonts w:ascii="Arial" w:hAnsi="Arial" w:cs="Arial"/>
          <w:szCs w:val="22"/>
          <w:lang w:val="en-US"/>
        </w:rPr>
        <w:t>Under the funding priority ‘Safeguarding intangible cultural heritage in formal and non-formal education’, the Secretariat has</w:t>
      </w:r>
      <w:r w:rsidR="00655EED" w:rsidRPr="00CF5253">
        <w:rPr>
          <w:rFonts w:ascii="Arial" w:hAnsi="Arial" w:cs="Arial"/>
          <w:szCs w:val="22"/>
          <w:lang w:val="en-US"/>
        </w:rPr>
        <w:t xml:space="preserve"> continued</w:t>
      </w:r>
      <w:r w:rsidRPr="00CF5253">
        <w:rPr>
          <w:rFonts w:ascii="Arial" w:hAnsi="Arial" w:cs="Arial"/>
          <w:szCs w:val="22"/>
          <w:lang w:val="en-US"/>
        </w:rPr>
        <w:t xml:space="preserve"> </w:t>
      </w:r>
      <w:r w:rsidR="00655EED" w:rsidRPr="00CF5253">
        <w:rPr>
          <w:rFonts w:ascii="Arial" w:hAnsi="Arial" w:cs="Arial"/>
          <w:szCs w:val="22"/>
          <w:lang w:val="en-US"/>
        </w:rPr>
        <w:t xml:space="preserve">both </w:t>
      </w:r>
      <w:r w:rsidRPr="00CF5253">
        <w:rPr>
          <w:rFonts w:ascii="Arial" w:hAnsi="Arial" w:cs="Arial"/>
          <w:szCs w:val="22"/>
          <w:lang w:val="en-US"/>
        </w:rPr>
        <w:t xml:space="preserve">its </w:t>
      </w:r>
      <w:r w:rsidR="00655EED" w:rsidRPr="00CF5253">
        <w:rPr>
          <w:rFonts w:ascii="Arial" w:hAnsi="Arial" w:cs="Arial"/>
          <w:szCs w:val="22"/>
          <w:lang w:val="en-US"/>
        </w:rPr>
        <w:t xml:space="preserve">upstream and </w:t>
      </w:r>
      <w:r w:rsidR="00655EED" w:rsidRPr="00D45AD6">
        <w:rPr>
          <w:rFonts w:ascii="Arial" w:hAnsi="Arial" w:cs="Arial"/>
          <w:szCs w:val="22"/>
          <w:lang w:val="en-US"/>
        </w:rPr>
        <w:t>operational</w:t>
      </w:r>
      <w:r w:rsidRPr="00D45AD6">
        <w:rPr>
          <w:rFonts w:ascii="Arial" w:hAnsi="Arial" w:cs="Arial"/>
          <w:szCs w:val="22"/>
          <w:lang w:val="en-US"/>
        </w:rPr>
        <w:t xml:space="preserve"> efforts at the global and national levels (see the Report of the Secretariat </w:t>
      </w:r>
      <w:r w:rsidR="00655EED" w:rsidRPr="00D45AD6">
        <w:rPr>
          <w:rFonts w:ascii="Arial" w:hAnsi="Arial" w:cs="Arial"/>
          <w:szCs w:val="22"/>
          <w:lang w:val="en-US"/>
        </w:rPr>
        <w:t xml:space="preserve">in document </w:t>
      </w:r>
      <w:hyperlink r:id="rId15" w:history="1">
        <w:r w:rsidR="00655EED" w:rsidRPr="00D45AD6">
          <w:rPr>
            <w:rStyle w:val="Hyperlink"/>
            <w:rFonts w:ascii="Arial" w:hAnsi="Arial" w:cs="Arial"/>
            <w:szCs w:val="22"/>
            <w:lang w:val="en-US"/>
          </w:rPr>
          <w:t>LHE/21/16.COM/5.b</w:t>
        </w:r>
      </w:hyperlink>
      <w:r w:rsidR="00655EED" w:rsidRPr="00D45AD6">
        <w:rPr>
          <w:rFonts w:ascii="Arial" w:hAnsi="Arial" w:cs="Arial"/>
          <w:szCs w:val="22"/>
          <w:lang w:val="en-US"/>
        </w:rPr>
        <w:t xml:space="preserve"> and</w:t>
      </w:r>
      <w:r w:rsidR="00655EED" w:rsidRPr="00CF5253">
        <w:rPr>
          <w:rFonts w:ascii="Arial" w:hAnsi="Arial" w:cs="Arial"/>
          <w:szCs w:val="22"/>
          <w:lang w:val="en-US"/>
        </w:rPr>
        <w:t xml:space="preserve"> Implementation report of the spending plan for the ‘other functions of the Committee’ in document </w:t>
      </w:r>
      <w:hyperlink r:id="rId16" w:history="1">
        <w:r w:rsidR="00655EED" w:rsidRPr="00827A96">
          <w:rPr>
            <w:rStyle w:val="Hyperlink"/>
            <w:rFonts w:ascii="Arial" w:hAnsi="Arial" w:cs="Arial"/>
            <w:szCs w:val="22"/>
            <w:lang w:val="en-US"/>
          </w:rPr>
          <w:t>LHE/21/16.COM/INF.</w:t>
        </w:r>
        <w:r w:rsidR="008E57E4" w:rsidRPr="00827A96">
          <w:rPr>
            <w:rStyle w:val="Hyperlink"/>
            <w:rFonts w:ascii="Arial" w:hAnsi="Arial" w:cs="Arial"/>
            <w:szCs w:val="22"/>
            <w:lang w:val="en-US"/>
          </w:rPr>
          <w:t>1</w:t>
        </w:r>
        <w:r w:rsidR="006E75DB" w:rsidRPr="00827A96">
          <w:rPr>
            <w:rStyle w:val="Hyperlink"/>
            <w:rFonts w:ascii="Arial" w:hAnsi="Arial" w:cs="Arial"/>
            <w:szCs w:val="22"/>
            <w:lang w:val="en-US"/>
          </w:rPr>
          <w:t>3</w:t>
        </w:r>
        <w:r w:rsidR="00655EED" w:rsidRPr="00827A96">
          <w:rPr>
            <w:rStyle w:val="Hyperlink"/>
            <w:rFonts w:ascii="Arial" w:hAnsi="Arial" w:cs="Arial"/>
            <w:szCs w:val="22"/>
            <w:lang w:val="en-US"/>
          </w:rPr>
          <w:t>.2</w:t>
        </w:r>
      </w:hyperlink>
      <w:r w:rsidR="00CF5253" w:rsidRPr="00827A96">
        <w:rPr>
          <w:rFonts w:ascii="Arial" w:hAnsi="Arial" w:cs="Arial"/>
          <w:szCs w:val="22"/>
          <w:lang w:val="en-US"/>
        </w:rPr>
        <w:t xml:space="preserve"> for further</w:t>
      </w:r>
      <w:r w:rsidR="00CF5253" w:rsidRPr="00CF5253">
        <w:rPr>
          <w:rFonts w:ascii="Arial" w:hAnsi="Arial" w:cs="Arial"/>
          <w:szCs w:val="22"/>
          <w:lang w:val="en-US"/>
        </w:rPr>
        <w:t xml:space="preserve"> details on ongoing and completed activities</w:t>
      </w:r>
      <w:r w:rsidR="00655EED" w:rsidRPr="00CF5253">
        <w:rPr>
          <w:rFonts w:ascii="Arial" w:hAnsi="Arial" w:cs="Arial"/>
          <w:szCs w:val="22"/>
          <w:lang w:val="en-US"/>
        </w:rPr>
        <w:t xml:space="preserve">) </w:t>
      </w:r>
      <w:r w:rsidR="004620E1">
        <w:rPr>
          <w:rFonts w:ascii="Arial" w:hAnsi="Arial" w:cs="Arial"/>
          <w:szCs w:val="22"/>
          <w:lang w:val="en-US"/>
        </w:rPr>
        <w:t>in collaboration</w:t>
      </w:r>
      <w:r w:rsidR="00655EED" w:rsidRPr="00CF5253">
        <w:rPr>
          <w:rFonts w:ascii="Arial" w:hAnsi="Arial" w:cs="Arial"/>
          <w:szCs w:val="22"/>
          <w:lang w:val="en-US"/>
        </w:rPr>
        <w:t xml:space="preserve"> with UNESCO’s Education Sector at Headquarters and with Field Offices.</w:t>
      </w:r>
    </w:p>
    <w:p w14:paraId="132E4B92" w14:textId="3FFF51F9" w:rsidR="00CF5253" w:rsidRPr="0092367F" w:rsidRDefault="002A5504" w:rsidP="0092367F">
      <w:pPr>
        <w:numPr>
          <w:ilvl w:val="0"/>
          <w:numId w:val="8"/>
        </w:numPr>
        <w:ind w:left="567" w:hanging="567"/>
        <w:jc w:val="both"/>
        <w:rPr>
          <w:rFonts w:ascii="Arial" w:hAnsi="Arial" w:cs="Arial"/>
          <w:snapToGrid w:val="0"/>
          <w:szCs w:val="22"/>
          <w:lang w:eastAsia="en-US"/>
        </w:rPr>
      </w:pPr>
      <w:r w:rsidRPr="00CF5253">
        <w:rPr>
          <w:rFonts w:ascii="Arial" w:hAnsi="Arial" w:cs="Arial"/>
          <w:szCs w:val="22"/>
          <w:lang w:val="en-US"/>
        </w:rPr>
        <w:t xml:space="preserve">Since the fourteenth session of the Committee in December 2019, </w:t>
      </w:r>
      <w:r w:rsidR="00CF5253" w:rsidRPr="00CF5253">
        <w:rPr>
          <w:rFonts w:ascii="Arial" w:hAnsi="Arial" w:cs="Arial"/>
          <w:szCs w:val="22"/>
          <w:lang w:val="en-US"/>
        </w:rPr>
        <w:t>two</w:t>
      </w:r>
      <w:r w:rsidRPr="00CF5253">
        <w:rPr>
          <w:rFonts w:ascii="Arial" w:hAnsi="Arial" w:cs="Arial"/>
          <w:szCs w:val="22"/>
          <w:lang w:val="en-US"/>
        </w:rPr>
        <w:t xml:space="preserve"> voluntary contribution</w:t>
      </w:r>
      <w:r w:rsidR="00CF5253" w:rsidRPr="00CF5253">
        <w:rPr>
          <w:rFonts w:ascii="Arial" w:hAnsi="Arial" w:cs="Arial"/>
          <w:szCs w:val="22"/>
          <w:lang w:val="en-US"/>
        </w:rPr>
        <w:t>s</w:t>
      </w:r>
      <w:r w:rsidRPr="00CF5253">
        <w:rPr>
          <w:rFonts w:ascii="Arial" w:hAnsi="Arial" w:cs="Arial"/>
          <w:szCs w:val="22"/>
          <w:lang w:val="en-US"/>
        </w:rPr>
        <w:t xml:space="preserve"> </w:t>
      </w:r>
      <w:r w:rsidR="00CF5253" w:rsidRPr="00CF5253">
        <w:rPr>
          <w:rFonts w:ascii="Arial" w:hAnsi="Arial" w:cs="Arial"/>
          <w:szCs w:val="22"/>
          <w:lang w:val="en-US"/>
        </w:rPr>
        <w:t>amounting to</w:t>
      </w:r>
      <w:r w:rsidR="00CF5253" w:rsidRPr="00CF5253">
        <w:rPr>
          <w:rFonts w:ascii="Arial" w:hAnsi="Arial" w:cs="Arial"/>
          <w:snapToGrid w:val="0"/>
          <w:szCs w:val="22"/>
          <w:lang w:eastAsia="en-US"/>
        </w:rPr>
        <w:t xml:space="preserve"> US$291,</w:t>
      </w:r>
      <w:r w:rsidR="00DB45D0">
        <w:rPr>
          <w:rFonts w:ascii="Arial" w:hAnsi="Arial" w:cs="Arial"/>
          <w:snapToGrid w:val="0"/>
          <w:szCs w:val="22"/>
          <w:lang w:eastAsia="en-US"/>
        </w:rPr>
        <w:t xml:space="preserve">111 </w:t>
      </w:r>
      <w:r w:rsidRPr="00CF5253">
        <w:rPr>
          <w:rFonts w:ascii="Arial" w:hAnsi="Arial" w:cs="Arial"/>
          <w:szCs w:val="22"/>
          <w:lang w:val="en-US"/>
        </w:rPr>
        <w:t>w</w:t>
      </w:r>
      <w:r w:rsidR="00CF5253" w:rsidRPr="00CF5253">
        <w:rPr>
          <w:rFonts w:ascii="Arial" w:hAnsi="Arial" w:cs="Arial"/>
          <w:szCs w:val="22"/>
          <w:lang w:val="en-US"/>
        </w:rPr>
        <w:t>ere</w:t>
      </w:r>
      <w:r w:rsidRPr="00CF5253">
        <w:rPr>
          <w:rFonts w:ascii="Arial" w:hAnsi="Arial" w:cs="Arial"/>
          <w:szCs w:val="22"/>
          <w:lang w:val="en-US"/>
        </w:rPr>
        <w:t xml:space="preserve"> received</w:t>
      </w:r>
      <w:r w:rsidR="00C508CD" w:rsidRPr="00CF5253">
        <w:rPr>
          <w:rFonts w:ascii="Arial" w:hAnsi="Arial" w:cs="Arial"/>
          <w:szCs w:val="22"/>
          <w:lang w:val="en-US"/>
        </w:rPr>
        <w:t xml:space="preserve"> </w:t>
      </w:r>
      <w:r w:rsidR="00CF5253" w:rsidRPr="00CF5253">
        <w:rPr>
          <w:rFonts w:ascii="Arial" w:hAnsi="Arial" w:cs="Arial"/>
          <w:szCs w:val="22"/>
          <w:lang w:val="en-US"/>
        </w:rPr>
        <w:t xml:space="preserve">from the Netherlands and </w:t>
      </w:r>
      <w:r w:rsidRPr="00CF5253">
        <w:rPr>
          <w:rFonts w:ascii="Arial" w:hAnsi="Arial" w:cs="Arial"/>
          <w:szCs w:val="22"/>
          <w:lang w:val="en-US"/>
        </w:rPr>
        <w:t xml:space="preserve">the International Information and Networking Centre for Intangible Cultural Heritage in the Asia-Pacific Region (ICHCAP) </w:t>
      </w:r>
      <w:r w:rsidR="00E9048F" w:rsidRPr="00CF5253">
        <w:rPr>
          <w:rFonts w:ascii="Arial" w:hAnsi="Arial" w:cs="Arial"/>
          <w:szCs w:val="22"/>
          <w:lang w:val="en-US"/>
        </w:rPr>
        <w:t xml:space="preserve">– a </w:t>
      </w:r>
      <w:r w:rsidR="007B1BE3">
        <w:rPr>
          <w:rFonts w:ascii="Arial" w:hAnsi="Arial" w:cs="Arial"/>
          <w:szCs w:val="22"/>
          <w:lang w:val="en-US"/>
        </w:rPr>
        <w:t>C</w:t>
      </w:r>
      <w:r w:rsidR="00621C83" w:rsidRPr="00CF5253">
        <w:rPr>
          <w:rFonts w:ascii="Arial" w:hAnsi="Arial" w:cs="Arial"/>
          <w:szCs w:val="22"/>
          <w:lang w:val="en-US"/>
        </w:rPr>
        <w:t xml:space="preserve">ategory </w:t>
      </w:r>
      <w:r w:rsidR="00E9048F" w:rsidRPr="00CF5253">
        <w:rPr>
          <w:rFonts w:ascii="Arial" w:hAnsi="Arial" w:cs="Arial"/>
          <w:szCs w:val="22"/>
          <w:lang w:val="en-US"/>
        </w:rPr>
        <w:t xml:space="preserve">2 </w:t>
      </w:r>
      <w:r w:rsidR="007B1BE3">
        <w:rPr>
          <w:rFonts w:ascii="Arial" w:hAnsi="Arial" w:cs="Arial"/>
          <w:szCs w:val="22"/>
          <w:lang w:val="en-US"/>
        </w:rPr>
        <w:t>C</w:t>
      </w:r>
      <w:r w:rsidR="00621C83" w:rsidRPr="00CF5253">
        <w:rPr>
          <w:rFonts w:ascii="Arial" w:hAnsi="Arial" w:cs="Arial"/>
          <w:szCs w:val="22"/>
          <w:lang w:val="en-US"/>
        </w:rPr>
        <w:t xml:space="preserve">entre </w:t>
      </w:r>
      <w:r w:rsidR="00E9048F" w:rsidRPr="00CF5253">
        <w:rPr>
          <w:rFonts w:ascii="Arial" w:hAnsi="Arial" w:cs="Arial"/>
          <w:szCs w:val="22"/>
          <w:lang w:val="en-US"/>
        </w:rPr>
        <w:t xml:space="preserve">under the auspices of UNESCO – </w:t>
      </w:r>
      <w:r w:rsidRPr="00CF5253">
        <w:rPr>
          <w:rFonts w:ascii="Arial" w:hAnsi="Arial" w:cs="Arial"/>
          <w:szCs w:val="22"/>
          <w:lang w:val="en-US"/>
        </w:rPr>
        <w:t>for</w:t>
      </w:r>
      <w:r w:rsidR="00E9048F" w:rsidRPr="00CF5253">
        <w:rPr>
          <w:rFonts w:ascii="Arial" w:hAnsi="Arial" w:cs="Arial"/>
          <w:szCs w:val="22"/>
          <w:lang w:val="en-US"/>
        </w:rPr>
        <w:t xml:space="preserve"> </w:t>
      </w:r>
      <w:r w:rsidRPr="00CF5253">
        <w:rPr>
          <w:rFonts w:ascii="Arial" w:hAnsi="Arial" w:cs="Arial"/>
          <w:szCs w:val="22"/>
          <w:lang w:val="en-US"/>
        </w:rPr>
        <w:t xml:space="preserve">the implementation of </w:t>
      </w:r>
      <w:r w:rsidR="00CF5253" w:rsidRPr="00CF5253">
        <w:rPr>
          <w:rFonts w:ascii="Arial" w:hAnsi="Arial" w:cs="Arial"/>
          <w:szCs w:val="22"/>
          <w:lang w:val="en-US"/>
        </w:rPr>
        <w:t>four</w:t>
      </w:r>
      <w:r w:rsidRPr="00CF5253">
        <w:rPr>
          <w:rFonts w:ascii="Arial" w:hAnsi="Arial" w:cs="Arial"/>
          <w:szCs w:val="22"/>
          <w:lang w:val="en-US"/>
        </w:rPr>
        <w:t xml:space="preserve"> operational projects in Africa</w:t>
      </w:r>
      <w:r w:rsidR="00CF5253" w:rsidRPr="00CF5253">
        <w:rPr>
          <w:rFonts w:ascii="Arial" w:hAnsi="Arial" w:cs="Arial"/>
          <w:szCs w:val="22"/>
          <w:lang w:val="en-US"/>
        </w:rPr>
        <w:t xml:space="preserve">, </w:t>
      </w:r>
      <w:r w:rsidR="00C508CD" w:rsidRPr="00CF5253">
        <w:rPr>
          <w:rFonts w:ascii="Arial" w:hAnsi="Arial" w:cs="Arial"/>
          <w:szCs w:val="22"/>
          <w:lang w:val="en-US"/>
        </w:rPr>
        <w:t>Asia</w:t>
      </w:r>
      <w:r w:rsidR="00CF5253" w:rsidRPr="00CF5253">
        <w:rPr>
          <w:rFonts w:ascii="Arial" w:hAnsi="Arial" w:cs="Arial"/>
          <w:szCs w:val="22"/>
          <w:lang w:val="en-US"/>
        </w:rPr>
        <w:t xml:space="preserve"> and the Pacific, and Latin America and the Caribbean</w:t>
      </w:r>
      <w:r w:rsidRPr="00CF5253">
        <w:rPr>
          <w:rFonts w:ascii="Arial" w:hAnsi="Arial" w:cs="Arial"/>
          <w:szCs w:val="22"/>
          <w:lang w:val="en-US"/>
        </w:rPr>
        <w:t>.</w:t>
      </w:r>
      <w:r w:rsidR="0092367F">
        <w:rPr>
          <w:rFonts w:ascii="Arial" w:hAnsi="Arial" w:cs="Arial"/>
          <w:szCs w:val="22"/>
          <w:lang w:val="en-US"/>
        </w:rPr>
        <w:t xml:space="preserve"> </w:t>
      </w:r>
      <w:r w:rsidR="00C508CD" w:rsidRPr="0092367F">
        <w:rPr>
          <w:rFonts w:ascii="Arial" w:hAnsi="Arial" w:cs="Arial"/>
          <w:snapToGrid w:val="0"/>
          <w:szCs w:val="22"/>
          <w:lang w:eastAsia="en-US"/>
        </w:rPr>
        <w:t xml:space="preserve">Over the 2018-2021 quadrennium during which this funding priority was initiated (Decision </w:t>
      </w:r>
      <w:hyperlink r:id="rId17" w:history="1">
        <w:r w:rsidR="00C508CD" w:rsidRPr="0092367F">
          <w:rPr>
            <w:rStyle w:val="Hyperlink"/>
            <w:rFonts w:ascii="Arial" w:hAnsi="Arial" w:cs="Arial"/>
            <w:snapToGrid w:val="0"/>
            <w:szCs w:val="22"/>
            <w:lang w:eastAsia="en-US"/>
          </w:rPr>
          <w:t xml:space="preserve">12.COM </w:t>
        </w:r>
        <w:r w:rsidR="00EC3E60" w:rsidRPr="0092367F">
          <w:rPr>
            <w:rStyle w:val="Hyperlink"/>
            <w:rFonts w:ascii="Arial" w:hAnsi="Arial" w:cs="Arial"/>
            <w:snapToGrid w:val="0"/>
            <w:szCs w:val="22"/>
            <w:lang w:eastAsia="en-US"/>
          </w:rPr>
          <w:t>6</w:t>
        </w:r>
      </w:hyperlink>
      <w:r w:rsidR="00C508CD" w:rsidRPr="0092367F">
        <w:rPr>
          <w:rFonts w:ascii="Arial" w:hAnsi="Arial" w:cs="Arial"/>
          <w:snapToGrid w:val="0"/>
          <w:szCs w:val="22"/>
          <w:lang w:eastAsia="en-US"/>
        </w:rPr>
        <w:t xml:space="preserve">), </w:t>
      </w:r>
      <w:r w:rsidR="0092367F" w:rsidRPr="0092367F">
        <w:rPr>
          <w:rFonts w:ascii="Arial" w:hAnsi="Arial" w:cs="Arial"/>
          <w:snapToGrid w:val="0"/>
          <w:szCs w:val="22"/>
          <w:lang w:eastAsia="en-US"/>
        </w:rPr>
        <w:t xml:space="preserve">these </w:t>
      </w:r>
      <w:r w:rsidR="00621C83">
        <w:rPr>
          <w:rFonts w:ascii="Arial" w:hAnsi="Arial" w:cs="Arial"/>
          <w:snapToGrid w:val="0"/>
          <w:szCs w:val="22"/>
          <w:lang w:eastAsia="en-US"/>
        </w:rPr>
        <w:t xml:space="preserve">two </w:t>
      </w:r>
      <w:r w:rsidR="0092367F" w:rsidRPr="0092367F">
        <w:rPr>
          <w:rFonts w:ascii="Arial" w:hAnsi="Arial" w:cs="Arial"/>
          <w:snapToGrid w:val="0"/>
          <w:szCs w:val="22"/>
          <w:lang w:eastAsia="en-US"/>
        </w:rPr>
        <w:t xml:space="preserve">abovementioned </w:t>
      </w:r>
      <w:r w:rsidR="00C508CD" w:rsidRPr="0092367F">
        <w:rPr>
          <w:rFonts w:ascii="Arial" w:hAnsi="Arial" w:cs="Arial"/>
          <w:snapToGrid w:val="0"/>
          <w:szCs w:val="22"/>
          <w:lang w:eastAsia="en-US"/>
        </w:rPr>
        <w:t xml:space="preserve">voluntary contributions correspond to </w:t>
      </w:r>
      <w:r w:rsidR="00FE2D86" w:rsidRPr="0092367F">
        <w:rPr>
          <w:rFonts w:ascii="Arial" w:hAnsi="Arial" w:cs="Arial"/>
          <w:snapToGrid w:val="0"/>
          <w:szCs w:val="22"/>
          <w:lang w:eastAsia="en-US"/>
        </w:rPr>
        <w:t>15</w:t>
      </w:r>
      <w:r w:rsidR="0052029F" w:rsidRPr="0092367F">
        <w:rPr>
          <w:rFonts w:ascii="Arial" w:hAnsi="Arial" w:cs="Arial"/>
          <w:snapToGrid w:val="0"/>
          <w:szCs w:val="22"/>
          <w:lang w:eastAsia="en-US"/>
        </w:rPr>
        <w:t xml:space="preserve"> per cent</w:t>
      </w:r>
      <w:r w:rsidR="00FE2D86" w:rsidRPr="0092367F">
        <w:rPr>
          <w:rFonts w:ascii="Arial" w:hAnsi="Arial" w:cs="Arial"/>
          <w:snapToGrid w:val="0"/>
          <w:szCs w:val="22"/>
          <w:lang w:eastAsia="en-US"/>
        </w:rPr>
        <w:t xml:space="preserve"> of the US$2 million</w:t>
      </w:r>
      <w:r w:rsidR="00CF5253" w:rsidRPr="0092367F">
        <w:rPr>
          <w:rFonts w:ascii="Arial" w:hAnsi="Arial" w:cs="Arial"/>
          <w:snapToGrid w:val="0"/>
          <w:szCs w:val="22"/>
          <w:lang w:eastAsia="en-US"/>
        </w:rPr>
        <w:t xml:space="preserve"> mobilization</w:t>
      </w:r>
      <w:r w:rsidR="00FE2D86" w:rsidRPr="0092367F">
        <w:rPr>
          <w:rFonts w:ascii="Arial" w:hAnsi="Arial" w:cs="Arial"/>
          <w:snapToGrid w:val="0"/>
          <w:szCs w:val="22"/>
          <w:lang w:eastAsia="en-US"/>
        </w:rPr>
        <w:t xml:space="preserve"> target that </w:t>
      </w:r>
      <w:r w:rsidR="00621C83">
        <w:rPr>
          <w:rFonts w:ascii="Arial" w:hAnsi="Arial" w:cs="Arial"/>
          <w:snapToGrid w:val="0"/>
          <w:szCs w:val="22"/>
          <w:lang w:eastAsia="en-US"/>
        </w:rPr>
        <w:t>was</w:t>
      </w:r>
      <w:r w:rsidR="00FE2D86" w:rsidRPr="0092367F">
        <w:rPr>
          <w:rFonts w:ascii="Arial" w:hAnsi="Arial" w:cs="Arial"/>
          <w:snapToGrid w:val="0"/>
          <w:szCs w:val="22"/>
          <w:lang w:eastAsia="en-US"/>
        </w:rPr>
        <w:t xml:space="preserve"> set for this purpose.</w:t>
      </w:r>
    </w:p>
    <w:p w14:paraId="6A6D6448" w14:textId="7A18706C" w:rsidR="002459E4" w:rsidRDefault="002459E4" w:rsidP="00EE1D07">
      <w:pPr>
        <w:keepNext/>
        <w:tabs>
          <w:tab w:val="left" w:pos="567"/>
        </w:tabs>
        <w:snapToGrid w:val="0"/>
        <w:spacing w:before="240"/>
        <w:ind w:left="567"/>
        <w:jc w:val="both"/>
        <w:rPr>
          <w:rFonts w:ascii="Arial" w:hAnsi="Arial" w:cs="Arial"/>
          <w:snapToGrid w:val="0"/>
          <w:szCs w:val="22"/>
          <w:lang w:eastAsia="en-US"/>
        </w:rPr>
      </w:pPr>
      <w:r w:rsidRPr="00BF1B64">
        <w:rPr>
          <w:rFonts w:ascii="Arial" w:hAnsi="Arial" w:cs="Arial"/>
          <w:b/>
          <w:snapToGrid w:val="0"/>
          <w:szCs w:val="22"/>
          <w:lang w:eastAsia="en-US"/>
        </w:rPr>
        <w:t>Strengthening the human resources of the Secretariat</w:t>
      </w:r>
      <w:r w:rsidRPr="00BF1B64">
        <w:rPr>
          <w:rFonts w:ascii="Arial" w:hAnsi="Arial" w:cs="Arial"/>
          <w:snapToGrid w:val="0"/>
          <w:szCs w:val="22"/>
          <w:lang w:eastAsia="en-US"/>
        </w:rPr>
        <w:t xml:space="preserve"> </w:t>
      </w:r>
    </w:p>
    <w:p w14:paraId="4EB89A8B" w14:textId="4CC129DA" w:rsidR="00EF6997" w:rsidRPr="00394DB7" w:rsidRDefault="00EF6997" w:rsidP="008E3F0F">
      <w:pPr>
        <w:keepLines/>
        <w:numPr>
          <w:ilvl w:val="0"/>
          <w:numId w:val="8"/>
        </w:numPr>
        <w:ind w:left="567" w:hanging="567"/>
        <w:jc w:val="both"/>
        <w:rPr>
          <w:rFonts w:ascii="Arial" w:hAnsi="Arial" w:cs="Arial"/>
          <w:snapToGrid w:val="0"/>
          <w:szCs w:val="22"/>
          <w:lang w:eastAsia="en-US"/>
        </w:rPr>
      </w:pPr>
      <w:r w:rsidRPr="00394DB7">
        <w:rPr>
          <w:rFonts w:ascii="Arial" w:hAnsi="Arial" w:cs="Arial"/>
          <w:snapToGrid w:val="0"/>
          <w:szCs w:val="22"/>
          <w:lang w:eastAsia="en-US"/>
        </w:rPr>
        <w:t xml:space="preserve">The Sub-fund to enhance the human resources of the Secretariat was created by the General Assembly in June 2010 </w:t>
      </w:r>
      <w:r w:rsidR="00394DB7" w:rsidRPr="00394DB7">
        <w:rPr>
          <w:rFonts w:ascii="Arial" w:hAnsi="Arial" w:cs="Arial"/>
          <w:snapToGrid w:val="0"/>
          <w:szCs w:val="22"/>
          <w:lang w:eastAsia="en-US"/>
        </w:rPr>
        <w:t>(</w:t>
      </w:r>
      <w:r w:rsidR="00394DB7" w:rsidRPr="00D56786">
        <w:rPr>
          <w:rFonts w:ascii="Arial" w:hAnsi="Arial" w:cs="Arial"/>
          <w:snapToGrid w:val="0"/>
          <w:szCs w:val="22"/>
          <w:lang w:eastAsia="en-US"/>
        </w:rPr>
        <w:t xml:space="preserve">Resolution </w:t>
      </w:r>
      <w:hyperlink r:id="rId18" w:history="1">
        <w:r w:rsidR="00394DB7" w:rsidRPr="00D56786">
          <w:rPr>
            <w:rStyle w:val="Hyperlink"/>
            <w:rFonts w:ascii="Arial" w:hAnsi="Arial" w:cs="Arial"/>
            <w:snapToGrid w:val="0"/>
            <w:szCs w:val="22"/>
            <w:lang w:eastAsia="en-US"/>
          </w:rPr>
          <w:t>3.GA 9</w:t>
        </w:r>
      </w:hyperlink>
      <w:r w:rsidR="00394DB7" w:rsidRPr="00394DB7">
        <w:rPr>
          <w:rFonts w:ascii="Arial" w:hAnsi="Arial" w:cs="Arial"/>
          <w:snapToGrid w:val="0"/>
          <w:szCs w:val="22"/>
          <w:lang w:eastAsia="en-US"/>
        </w:rPr>
        <w:t>) to support the Secretariat on a lasting basis</w:t>
      </w:r>
      <w:r w:rsidR="00394DB7">
        <w:rPr>
          <w:rFonts w:ascii="Arial" w:hAnsi="Arial" w:cs="Arial"/>
          <w:snapToGrid w:val="0"/>
          <w:szCs w:val="22"/>
          <w:lang w:eastAsia="en-US"/>
        </w:rPr>
        <w:t xml:space="preserve"> </w:t>
      </w:r>
      <w:r w:rsidR="00394DB7" w:rsidRPr="00394DB7">
        <w:rPr>
          <w:rFonts w:ascii="Arial" w:hAnsi="Arial" w:cs="Arial"/>
          <w:snapToGrid w:val="0"/>
          <w:szCs w:val="22"/>
          <w:lang w:eastAsia="en-US"/>
        </w:rPr>
        <w:t>and allow it to respond to the needs expressed by States Parties</w:t>
      </w:r>
      <w:r w:rsidR="00394DB7">
        <w:rPr>
          <w:rFonts w:ascii="Arial" w:hAnsi="Arial" w:cs="Arial"/>
          <w:snapToGrid w:val="0"/>
          <w:szCs w:val="22"/>
          <w:lang w:eastAsia="en-US"/>
        </w:rPr>
        <w:t xml:space="preserve">. </w:t>
      </w:r>
      <w:r w:rsidR="00521E5F">
        <w:rPr>
          <w:rFonts w:ascii="Arial" w:hAnsi="Arial" w:cs="Arial"/>
          <w:snapToGrid w:val="0"/>
          <w:szCs w:val="22"/>
          <w:lang w:eastAsia="en-US"/>
        </w:rPr>
        <w:t>T</w:t>
      </w:r>
      <w:r w:rsidR="00762ACA">
        <w:rPr>
          <w:rFonts w:ascii="Arial" w:hAnsi="Arial" w:cs="Arial"/>
          <w:snapToGrid w:val="0"/>
          <w:szCs w:val="22"/>
          <w:lang w:eastAsia="en-US"/>
        </w:rPr>
        <w:t xml:space="preserve">he annual target </w:t>
      </w:r>
      <w:r w:rsidR="00521E5F">
        <w:rPr>
          <w:rFonts w:ascii="Arial" w:hAnsi="Arial" w:cs="Arial"/>
          <w:snapToGrid w:val="0"/>
          <w:szCs w:val="22"/>
          <w:lang w:eastAsia="en-US"/>
        </w:rPr>
        <w:t xml:space="preserve">of the Sub-fund </w:t>
      </w:r>
      <w:r w:rsidR="00762ACA">
        <w:rPr>
          <w:rFonts w:ascii="Arial" w:hAnsi="Arial" w:cs="Arial"/>
          <w:snapToGrid w:val="0"/>
          <w:szCs w:val="22"/>
          <w:lang w:eastAsia="en-US"/>
        </w:rPr>
        <w:t>initially set at</w:t>
      </w:r>
      <w:r w:rsidR="00394DB7" w:rsidRPr="00394DB7">
        <w:rPr>
          <w:rFonts w:ascii="Arial" w:hAnsi="Arial" w:cs="Arial"/>
          <w:snapToGrid w:val="0"/>
          <w:szCs w:val="22"/>
          <w:lang w:eastAsia="en-US"/>
        </w:rPr>
        <w:t xml:space="preserve"> approximately US$1</w:t>
      </w:r>
      <w:r w:rsidR="00B6280A">
        <w:rPr>
          <w:rFonts w:ascii="Arial" w:hAnsi="Arial" w:cs="Arial"/>
          <w:snapToGrid w:val="0"/>
          <w:szCs w:val="22"/>
          <w:lang w:eastAsia="en-US"/>
        </w:rPr>
        <w:t>.</w:t>
      </w:r>
      <w:r w:rsidR="00394DB7" w:rsidRPr="00394DB7">
        <w:rPr>
          <w:rFonts w:ascii="Arial" w:hAnsi="Arial" w:cs="Arial"/>
          <w:snapToGrid w:val="0"/>
          <w:szCs w:val="22"/>
          <w:lang w:eastAsia="en-US"/>
        </w:rPr>
        <w:t>1</w:t>
      </w:r>
      <w:r w:rsidR="00B6280A">
        <w:rPr>
          <w:rFonts w:ascii="Arial" w:hAnsi="Arial" w:cs="Arial"/>
          <w:snapToGrid w:val="0"/>
          <w:szCs w:val="22"/>
          <w:lang w:eastAsia="en-US"/>
        </w:rPr>
        <w:t xml:space="preserve"> million</w:t>
      </w:r>
      <w:r w:rsidR="00762ACA">
        <w:rPr>
          <w:rFonts w:ascii="Arial" w:hAnsi="Arial" w:cs="Arial"/>
          <w:snapToGrid w:val="0"/>
          <w:szCs w:val="22"/>
          <w:lang w:eastAsia="en-US"/>
        </w:rPr>
        <w:t xml:space="preserve"> in 2010</w:t>
      </w:r>
      <w:r w:rsidR="00521E5F">
        <w:rPr>
          <w:rFonts w:ascii="Arial" w:hAnsi="Arial" w:cs="Arial"/>
          <w:snapToGrid w:val="0"/>
          <w:szCs w:val="22"/>
          <w:lang w:eastAsia="en-US"/>
        </w:rPr>
        <w:t xml:space="preserve"> was reassessed by</w:t>
      </w:r>
      <w:r w:rsidR="00762ACA">
        <w:rPr>
          <w:rFonts w:ascii="Arial" w:hAnsi="Arial" w:cs="Arial"/>
          <w:snapToGrid w:val="0"/>
          <w:szCs w:val="22"/>
          <w:lang w:eastAsia="en-US"/>
        </w:rPr>
        <w:t xml:space="preserve"> the </w:t>
      </w:r>
      <w:r w:rsidR="00394DB7">
        <w:rPr>
          <w:rFonts w:ascii="Arial" w:hAnsi="Arial" w:cs="Arial"/>
          <w:snapToGrid w:val="0"/>
          <w:szCs w:val="22"/>
          <w:lang w:eastAsia="en-US"/>
        </w:rPr>
        <w:t xml:space="preserve">eighth session </w:t>
      </w:r>
      <w:r w:rsidR="00762ACA">
        <w:rPr>
          <w:rFonts w:ascii="Arial" w:hAnsi="Arial" w:cs="Arial"/>
          <w:snapToGrid w:val="0"/>
          <w:szCs w:val="22"/>
          <w:lang w:eastAsia="en-US"/>
        </w:rPr>
        <w:t xml:space="preserve">of the General Assembly </w:t>
      </w:r>
      <w:r w:rsidR="00521E5F">
        <w:rPr>
          <w:rFonts w:ascii="Arial" w:hAnsi="Arial" w:cs="Arial"/>
          <w:snapToGrid w:val="0"/>
          <w:szCs w:val="22"/>
          <w:lang w:eastAsia="en-US"/>
        </w:rPr>
        <w:t xml:space="preserve">in 2020 to be at </w:t>
      </w:r>
      <w:r w:rsidR="00621C83">
        <w:rPr>
          <w:rFonts w:ascii="Arial" w:hAnsi="Arial" w:cs="Arial"/>
          <w:snapToGrid w:val="0"/>
          <w:szCs w:val="22"/>
          <w:lang w:eastAsia="en-US"/>
        </w:rPr>
        <w:t xml:space="preserve">a </w:t>
      </w:r>
      <w:r w:rsidR="00521E5F">
        <w:rPr>
          <w:rFonts w:ascii="Arial" w:hAnsi="Arial" w:cs="Arial"/>
          <w:snapToGrid w:val="0"/>
          <w:szCs w:val="22"/>
          <w:lang w:eastAsia="en-US"/>
        </w:rPr>
        <w:t>similar level</w:t>
      </w:r>
      <w:r w:rsidR="00394DB7">
        <w:rPr>
          <w:rFonts w:ascii="Arial" w:hAnsi="Arial" w:cs="Arial"/>
          <w:snapToGrid w:val="0"/>
          <w:szCs w:val="22"/>
          <w:lang w:eastAsia="en-US"/>
        </w:rPr>
        <w:t xml:space="preserve"> </w:t>
      </w:r>
      <w:r w:rsidR="00521E5F">
        <w:rPr>
          <w:rFonts w:ascii="Arial" w:hAnsi="Arial" w:cs="Arial"/>
          <w:snapToGrid w:val="0"/>
          <w:szCs w:val="22"/>
          <w:lang w:eastAsia="en-US"/>
        </w:rPr>
        <w:t xml:space="preserve">and set </w:t>
      </w:r>
      <w:r w:rsidR="00394DB7">
        <w:rPr>
          <w:rFonts w:ascii="Arial" w:hAnsi="Arial" w:cs="Arial"/>
          <w:snapToGrid w:val="0"/>
          <w:szCs w:val="22"/>
          <w:lang w:eastAsia="en-US"/>
        </w:rPr>
        <w:t xml:space="preserve">at </w:t>
      </w:r>
      <w:r w:rsidR="00394DB7" w:rsidRPr="00394DB7">
        <w:rPr>
          <w:rFonts w:ascii="Arial" w:hAnsi="Arial" w:cs="Arial"/>
          <w:snapToGrid w:val="0"/>
          <w:szCs w:val="22"/>
          <w:lang w:eastAsia="en-US"/>
        </w:rPr>
        <w:t>US$950,000 per year</w:t>
      </w:r>
      <w:r w:rsidR="00D57B82">
        <w:rPr>
          <w:rFonts w:ascii="Arial" w:hAnsi="Arial" w:cs="Arial"/>
          <w:snapToGrid w:val="0"/>
          <w:szCs w:val="22"/>
          <w:lang w:eastAsia="en-US"/>
        </w:rPr>
        <w:t xml:space="preserve"> (</w:t>
      </w:r>
      <w:r w:rsidR="00D57B82" w:rsidRPr="00D56786">
        <w:rPr>
          <w:rFonts w:ascii="Arial" w:hAnsi="Arial" w:cs="Arial"/>
          <w:snapToGrid w:val="0"/>
          <w:szCs w:val="22"/>
          <w:lang w:eastAsia="en-US"/>
        </w:rPr>
        <w:t xml:space="preserve">Resolution </w:t>
      </w:r>
      <w:hyperlink r:id="rId19" w:history="1">
        <w:r w:rsidR="00D57B82" w:rsidRPr="00D56786">
          <w:rPr>
            <w:rStyle w:val="Hyperlink"/>
            <w:rFonts w:ascii="Arial" w:hAnsi="Arial" w:cs="Arial"/>
            <w:snapToGrid w:val="0"/>
            <w:szCs w:val="22"/>
            <w:lang w:eastAsia="en-US"/>
          </w:rPr>
          <w:t>8</w:t>
        </w:r>
        <w:r w:rsidR="00394DB7" w:rsidRPr="00D56786">
          <w:rPr>
            <w:rStyle w:val="Hyperlink"/>
            <w:rFonts w:ascii="Arial" w:hAnsi="Arial" w:cs="Arial"/>
            <w:snapToGrid w:val="0"/>
            <w:szCs w:val="22"/>
            <w:lang w:eastAsia="en-US"/>
          </w:rPr>
          <w:t>.</w:t>
        </w:r>
        <w:r w:rsidR="00D57B82" w:rsidRPr="00D56786">
          <w:rPr>
            <w:rStyle w:val="Hyperlink"/>
            <w:rFonts w:ascii="Arial" w:hAnsi="Arial" w:cs="Arial"/>
            <w:snapToGrid w:val="0"/>
            <w:szCs w:val="22"/>
            <w:lang w:eastAsia="en-US"/>
          </w:rPr>
          <w:t>GA 7</w:t>
        </w:r>
      </w:hyperlink>
      <w:r w:rsidR="00D57B82">
        <w:rPr>
          <w:rFonts w:ascii="Arial" w:hAnsi="Arial" w:cs="Arial"/>
          <w:snapToGrid w:val="0"/>
          <w:szCs w:val="22"/>
          <w:lang w:eastAsia="en-US"/>
        </w:rPr>
        <w:t>).</w:t>
      </w:r>
    </w:p>
    <w:p w14:paraId="7A0A05DF" w14:textId="39D9F77F" w:rsidR="00B6280A" w:rsidRDefault="00EF6997" w:rsidP="008E3F0F">
      <w:pPr>
        <w:keepLines/>
        <w:numPr>
          <w:ilvl w:val="0"/>
          <w:numId w:val="8"/>
        </w:numPr>
        <w:ind w:left="567" w:hanging="567"/>
        <w:jc w:val="both"/>
        <w:rPr>
          <w:rFonts w:ascii="Arial" w:hAnsi="Arial" w:cs="Arial"/>
          <w:snapToGrid w:val="0"/>
          <w:szCs w:val="22"/>
          <w:lang w:eastAsia="en-US"/>
        </w:rPr>
      </w:pPr>
      <w:r w:rsidRPr="00477C91">
        <w:rPr>
          <w:rFonts w:ascii="Arial" w:hAnsi="Arial" w:cs="Arial"/>
          <w:snapToGrid w:val="0"/>
          <w:szCs w:val="22"/>
          <w:lang w:eastAsia="en-US"/>
        </w:rPr>
        <w:lastRenderedPageBreak/>
        <w:t xml:space="preserve">Since </w:t>
      </w:r>
      <w:r w:rsidR="00762ACA">
        <w:rPr>
          <w:rFonts w:ascii="Arial" w:hAnsi="Arial" w:cs="Arial"/>
          <w:snapToGrid w:val="0"/>
          <w:szCs w:val="22"/>
          <w:lang w:eastAsia="en-US"/>
        </w:rPr>
        <w:t>the fourteenth session of the Committee in 2019</w:t>
      </w:r>
      <w:r w:rsidRPr="00477C91">
        <w:rPr>
          <w:rFonts w:ascii="Arial" w:hAnsi="Arial" w:cs="Arial"/>
          <w:snapToGrid w:val="0"/>
          <w:szCs w:val="22"/>
          <w:lang w:eastAsia="en-US"/>
        </w:rPr>
        <w:t xml:space="preserve">, </w:t>
      </w:r>
      <w:r w:rsidR="00477C91" w:rsidRPr="00477C91">
        <w:rPr>
          <w:rFonts w:ascii="Arial" w:hAnsi="Arial" w:cs="Arial"/>
          <w:snapToGrid w:val="0"/>
          <w:szCs w:val="22"/>
          <w:lang w:eastAsia="en-US"/>
        </w:rPr>
        <w:t>five voluntary contributions were received</w:t>
      </w:r>
      <w:r w:rsidR="00C9572E" w:rsidRPr="00C9572E">
        <w:rPr>
          <w:rFonts w:ascii="Arial" w:hAnsi="Arial" w:cs="Arial"/>
          <w:snapToGrid w:val="0"/>
          <w:szCs w:val="22"/>
          <w:lang w:eastAsia="en-US"/>
        </w:rPr>
        <w:t xml:space="preserve"> </w:t>
      </w:r>
      <w:r w:rsidR="00C9572E" w:rsidRPr="00477C91">
        <w:rPr>
          <w:rFonts w:ascii="Arial" w:hAnsi="Arial" w:cs="Arial"/>
          <w:snapToGrid w:val="0"/>
          <w:szCs w:val="22"/>
          <w:lang w:eastAsia="en-US"/>
        </w:rPr>
        <w:t xml:space="preserve">from Lithuania, Monaco, Palestine, </w:t>
      </w:r>
      <w:r w:rsidR="00004DFA" w:rsidRPr="00477C91">
        <w:rPr>
          <w:rFonts w:ascii="Arial" w:hAnsi="Arial" w:cs="Arial"/>
          <w:snapToGrid w:val="0"/>
          <w:szCs w:val="22"/>
          <w:lang w:eastAsia="en-US"/>
        </w:rPr>
        <w:t>Slovakia,</w:t>
      </w:r>
      <w:r w:rsidR="00C9572E" w:rsidRPr="00477C91">
        <w:rPr>
          <w:rFonts w:ascii="Arial" w:hAnsi="Arial" w:cs="Arial"/>
          <w:snapToGrid w:val="0"/>
          <w:szCs w:val="22"/>
          <w:lang w:eastAsia="en-US"/>
        </w:rPr>
        <w:t xml:space="preserve"> and the</w:t>
      </w:r>
      <w:r w:rsidR="00C9572E" w:rsidRPr="00477C91">
        <w:t xml:space="preserve"> </w:t>
      </w:r>
      <w:r w:rsidR="00C9572E" w:rsidRPr="00477C91">
        <w:rPr>
          <w:rFonts w:ascii="Arial" w:hAnsi="Arial" w:cs="Arial"/>
          <w:snapToGrid w:val="0"/>
          <w:szCs w:val="22"/>
          <w:lang w:eastAsia="en-US"/>
        </w:rPr>
        <w:t>Fondazione Museo del Violino Antonio Stradivari</w:t>
      </w:r>
      <w:r w:rsidR="00477C91" w:rsidRPr="00477C91">
        <w:rPr>
          <w:rFonts w:ascii="Arial" w:hAnsi="Arial" w:cs="Arial"/>
          <w:snapToGrid w:val="0"/>
          <w:szCs w:val="22"/>
          <w:lang w:eastAsia="en-US"/>
        </w:rPr>
        <w:t xml:space="preserve"> </w:t>
      </w:r>
      <w:r w:rsidR="00B73BE7">
        <w:rPr>
          <w:rFonts w:ascii="Arial" w:hAnsi="Arial" w:cs="Arial"/>
          <w:snapToGrid w:val="0"/>
          <w:szCs w:val="22"/>
          <w:lang w:eastAsia="en-US"/>
        </w:rPr>
        <w:t xml:space="preserve">(Italy) </w:t>
      </w:r>
      <w:r w:rsidR="00477C91" w:rsidRPr="00477C91">
        <w:rPr>
          <w:rFonts w:ascii="Arial" w:hAnsi="Arial" w:cs="Arial"/>
          <w:snapToGrid w:val="0"/>
          <w:szCs w:val="22"/>
          <w:lang w:eastAsia="en-US"/>
        </w:rPr>
        <w:t>for a combined amount of US$40,823</w:t>
      </w:r>
      <w:r w:rsidR="00477C91">
        <w:rPr>
          <w:rFonts w:ascii="Arial" w:hAnsi="Arial" w:cs="Arial"/>
          <w:snapToGrid w:val="0"/>
          <w:szCs w:val="22"/>
          <w:lang w:eastAsia="en-US"/>
        </w:rPr>
        <w:t xml:space="preserve">. </w:t>
      </w:r>
      <w:r w:rsidR="00981866">
        <w:rPr>
          <w:rFonts w:ascii="Arial" w:hAnsi="Arial" w:cs="Arial"/>
          <w:snapToGrid w:val="0"/>
          <w:szCs w:val="22"/>
          <w:lang w:eastAsia="en-US"/>
        </w:rPr>
        <w:t>Taking into consideration the six voluntary contributions received in 2018 and 2019, a total amount of US$181,867 was received between January 2018 and June 2021, which corresponds to 4 per cent of the target endorsed by the General Assembly for the entire 2018 – 2021 quadrennium</w:t>
      </w:r>
      <w:r w:rsidR="00D57B82">
        <w:rPr>
          <w:rFonts w:ascii="Arial" w:hAnsi="Arial" w:cs="Arial"/>
          <w:snapToGrid w:val="0"/>
          <w:szCs w:val="22"/>
          <w:lang w:eastAsia="en-US"/>
        </w:rPr>
        <w:t xml:space="preserve">. In addition to voluntary contributions, </w:t>
      </w:r>
      <w:r w:rsidR="00E6302A">
        <w:rPr>
          <w:rFonts w:ascii="Arial" w:hAnsi="Arial" w:cs="Arial"/>
          <w:snapToGrid w:val="0"/>
          <w:szCs w:val="22"/>
          <w:lang w:eastAsia="en-US"/>
        </w:rPr>
        <w:t xml:space="preserve">two </w:t>
      </w:r>
      <w:r w:rsidR="00D57B82">
        <w:rPr>
          <w:rFonts w:ascii="Arial" w:hAnsi="Arial" w:cs="Arial"/>
          <w:snapToGrid w:val="0"/>
          <w:szCs w:val="22"/>
          <w:lang w:eastAsia="en-US"/>
        </w:rPr>
        <w:t>in-kind contribution</w:t>
      </w:r>
      <w:r w:rsidR="00E6302A">
        <w:rPr>
          <w:rFonts w:ascii="Arial" w:hAnsi="Arial" w:cs="Arial"/>
          <w:snapToGrid w:val="0"/>
          <w:szCs w:val="22"/>
          <w:lang w:eastAsia="en-US"/>
        </w:rPr>
        <w:t>s</w:t>
      </w:r>
      <w:r w:rsidR="00D57B82">
        <w:rPr>
          <w:rFonts w:ascii="Arial" w:hAnsi="Arial" w:cs="Arial"/>
          <w:snapToGrid w:val="0"/>
          <w:szCs w:val="22"/>
          <w:lang w:eastAsia="en-US"/>
        </w:rPr>
        <w:t xml:space="preserve"> – in the form of a staff secondment</w:t>
      </w:r>
      <w:r w:rsidR="00062E9A">
        <w:rPr>
          <w:rFonts w:ascii="Arial" w:hAnsi="Arial" w:cs="Arial"/>
          <w:snapToGrid w:val="0"/>
          <w:szCs w:val="22"/>
          <w:lang w:eastAsia="en-US"/>
        </w:rPr>
        <w:t xml:space="preserve"> </w:t>
      </w:r>
      <w:r w:rsidR="00762ACA">
        <w:rPr>
          <w:rFonts w:ascii="Arial" w:hAnsi="Arial" w:cs="Arial"/>
          <w:snapToGrid w:val="0"/>
          <w:szCs w:val="22"/>
          <w:lang w:eastAsia="en-US"/>
        </w:rPr>
        <w:t xml:space="preserve">since </w:t>
      </w:r>
      <w:r w:rsidR="00822CD9">
        <w:rPr>
          <w:rFonts w:ascii="Arial" w:hAnsi="Arial" w:cs="Arial"/>
          <w:snapToGrid w:val="0"/>
          <w:szCs w:val="22"/>
          <w:lang w:eastAsia="en-US"/>
        </w:rPr>
        <w:t>May 2021</w:t>
      </w:r>
      <w:r w:rsidR="00E6302A">
        <w:rPr>
          <w:rFonts w:ascii="Arial" w:hAnsi="Arial" w:cs="Arial"/>
          <w:snapToGrid w:val="0"/>
          <w:szCs w:val="22"/>
          <w:lang w:eastAsia="en-US"/>
        </w:rPr>
        <w:t xml:space="preserve"> and a sponsored traineeship since</w:t>
      </w:r>
      <w:r w:rsidR="00762ACA">
        <w:rPr>
          <w:rFonts w:ascii="Arial" w:hAnsi="Arial" w:cs="Arial"/>
          <w:snapToGrid w:val="0"/>
          <w:szCs w:val="22"/>
          <w:lang w:eastAsia="en-US"/>
        </w:rPr>
        <w:t xml:space="preserve"> </w:t>
      </w:r>
      <w:r w:rsidR="00017C0B">
        <w:rPr>
          <w:rFonts w:ascii="Arial" w:hAnsi="Arial" w:cs="Arial"/>
          <w:snapToGrid w:val="0"/>
          <w:szCs w:val="22"/>
          <w:lang w:eastAsia="en-US"/>
        </w:rPr>
        <w:t xml:space="preserve">March </w:t>
      </w:r>
      <w:r w:rsidR="00E6302A">
        <w:rPr>
          <w:rFonts w:ascii="Arial" w:hAnsi="Arial" w:cs="Arial"/>
          <w:snapToGrid w:val="0"/>
          <w:szCs w:val="22"/>
          <w:lang w:eastAsia="en-US"/>
        </w:rPr>
        <w:t xml:space="preserve">2021 </w:t>
      </w:r>
      <w:r w:rsidR="00D57B82">
        <w:rPr>
          <w:rFonts w:ascii="Arial" w:hAnsi="Arial" w:cs="Arial"/>
          <w:snapToGrid w:val="0"/>
          <w:szCs w:val="22"/>
          <w:lang w:eastAsia="en-US"/>
        </w:rPr>
        <w:t xml:space="preserve">– </w:t>
      </w:r>
      <w:r w:rsidR="00E6302A">
        <w:rPr>
          <w:rFonts w:ascii="Arial" w:hAnsi="Arial" w:cs="Arial"/>
          <w:snapToGrid w:val="0"/>
          <w:szCs w:val="22"/>
          <w:lang w:eastAsia="en-US"/>
        </w:rPr>
        <w:t xml:space="preserve">were </w:t>
      </w:r>
      <w:r w:rsidR="00D57B82">
        <w:rPr>
          <w:rFonts w:ascii="Arial" w:hAnsi="Arial" w:cs="Arial"/>
          <w:snapToGrid w:val="0"/>
          <w:szCs w:val="22"/>
          <w:lang w:eastAsia="en-US"/>
        </w:rPr>
        <w:t>received from China.</w:t>
      </w:r>
    </w:p>
    <w:p w14:paraId="08248773" w14:textId="5BF72812" w:rsidR="002809C1" w:rsidRDefault="002809C1" w:rsidP="00B14DF9">
      <w:pPr>
        <w:numPr>
          <w:ilvl w:val="0"/>
          <w:numId w:val="8"/>
        </w:numPr>
        <w:ind w:left="567" w:hanging="567"/>
        <w:jc w:val="both"/>
        <w:rPr>
          <w:rFonts w:ascii="Arial" w:hAnsi="Arial" w:cs="Arial"/>
          <w:snapToGrid w:val="0"/>
          <w:szCs w:val="22"/>
          <w:lang w:eastAsia="en-US"/>
        </w:rPr>
      </w:pPr>
      <w:r w:rsidRPr="00505236">
        <w:rPr>
          <w:rFonts w:ascii="Arial" w:hAnsi="Arial" w:cs="Arial"/>
          <w:snapToGrid w:val="0"/>
          <w:szCs w:val="22"/>
          <w:lang w:eastAsia="en-US"/>
        </w:rPr>
        <w:t>In recent years, the Convention simultaneously experienced</w:t>
      </w:r>
      <w:r w:rsidR="00505236">
        <w:rPr>
          <w:rFonts w:ascii="Arial" w:hAnsi="Arial" w:cs="Arial"/>
          <w:snapToGrid w:val="0"/>
          <w:szCs w:val="22"/>
          <w:lang w:eastAsia="en-US"/>
        </w:rPr>
        <w:t xml:space="preserve"> </w:t>
      </w:r>
      <w:r w:rsidRPr="00505236">
        <w:rPr>
          <w:rFonts w:ascii="Arial" w:hAnsi="Arial" w:cs="Arial"/>
          <w:snapToGrid w:val="0"/>
          <w:szCs w:val="22"/>
          <w:lang w:eastAsia="en-US"/>
        </w:rPr>
        <w:t>geographical (18</w:t>
      </w:r>
      <w:r w:rsidR="00147F27" w:rsidRPr="00505236">
        <w:rPr>
          <w:rFonts w:ascii="Arial" w:hAnsi="Arial" w:cs="Arial"/>
          <w:snapToGrid w:val="0"/>
          <w:szCs w:val="22"/>
          <w:lang w:eastAsia="en-US"/>
        </w:rPr>
        <w:t xml:space="preserve">0 States Parties as of 30 June 2021) and thematic expansions, notably with initiatives on ‘safeguarding intangible cultural heritage in formal and non-formal education’, ‘intangible cultural heritage in emergencies’, the recent reform of the periodic reporting mechanism and the reflection launched by the Committee on the listing mechanisms of the Convention. </w:t>
      </w:r>
      <w:r w:rsidR="00505236" w:rsidRPr="00505236">
        <w:rPr>
          <w:rFonts w:ascii="Arial" w:hAnsi="Arial" w:cs="Arial"/>
          <w:snapToGrid w:val="0"/>
          <w:szCs w:val="22"/>
          <w:lang w:eastAsia="en-US"/>
        </w:rPr>
        <w:t>These</w:t>
      </w:r>
      <w:r w:rsidR="00505236">
        <w:rPr>
          <w:rFonts w:ascii="Arial" w:hAnsi="Arial" w:cs="Arial"/>
          <w:snapToGrid w:val="0"/>
          <w:szCs w:val="22"/>
          <w:lang w:eastAsia="en-US"/>
        </w:rPr>
        <w:t xml:space="preserve"> recent</w:t>
      </w:r>
      <w:r w:rsidR="00505236" w:rsidRPr="00505236">
        <w:rPr>
          <w:rFonts w:ascii="Arial" w:hAnsi="Arial" w:cs="Arial"/>
          <w:snapToGrid w:val="0"/>
          <w:szCs w:val="22"/>
          <w:lang w:eastAsia="en-US"/>
        </w:rPr>
        <w:t xml:space="preserve"> developments reflect the continued relevance </w:t>
      </w:r>
      <w:r w:rsidR="00505236">
        <w:rPr>
          <w:rFonts w:ascii="Arial" w:hAnsi="Arial" w:cs="Arial"/>
          <w:snapToGrid w:val="0"/>
          <w:szCs w:val="22"/>
          <w:lang w:eastAsia="en-US"/>
        </w:rPr>
        <w:t>of the Convention</w:t>
      </w:r>
      <w:r w:rsidR="006876DF">
        <w:rPr>
          <w:rFonts w:ascii="Arial" w:hAnsi="Arial" w:cs="Arial"/>
          <w:snapToGrid w:val="0"/>
          <w:szCs w:val="22"/>
          <w:lang w:eastAsia="en-US"/>
        </w:rPr>
        <w:t>; they are positive for the present and future of its implementation. It should however be kept in mind that these initiatives require continuous support from the Secretariat. T</w:t>
      </w:r>
      <w:r w:rsidR="00E10251" w:rsidRPr="006876DF">
        <w:rPr>
          <w:rFonts w:ascii="Arial" w:hAnsi="Arial" w:cs="Arial"/>
          <w:snapToGrid w:val="0"/>
          <w:szCs w:val="22"/>
          <w:lang w:eastAsia="en-US"/>
        </w:rPr>
        <w:t xml:space="preserve">he governing bodies of the Convention may wish to take into consideration </w:t>
      </w:r>
      <w:r w:rsidR="00B14DF9">
        <w:rPr>
          <w:rFonts w:ascii="Arial" w:hAnsi="Arial" w:cs="Arial"/>
          <w:snapToGrid w:val="0"/>
          <w:szCs w:val="22"/>
          <w:lang w:eastAsia="en-US"/>
        </w:rPr>
        <w:t xml:space="preserve">implications in terms of </w:t>
      </w:r>
      <w:r w:rsidR="00E10251" w:rsidRPr="006876DF">
        <w:rPr>
          <w:rFonts w:ascii="Arial" w:hAnsi="Arial" w:cs="Arial"/>
          <w:snapToGrid w:val="0"/>
          <w:szCs w:val="22"/>
          <w:lang w:eastAsia="en-US"/>
        </w:rPr>
        <w:t>human resource</w:t>
      </w:r>
      <w:r w:rsidR="00B14DF9">
        <w:rPr>
          <w:rFonts w:ascii="Arial" w:hAnsi="Arial" w:cs="Arial"/>
          <w:snapToGrid w:val="0"/>
          <w:szCs w:val="22"/>
          <w:lang w:eastAsia="en-US"/>
        </w:rPr>
        <w:t xml:space="preserve">s </w:t>
      </w:r>
      <w:r w:rsidR="00E10251" w:rsidRPr="006876DF">
        <w:rPr>
          <w:rFonts w:ascii="Arial" w:hAnsi="Arial" w:cs="Arial"/>
          <w:snapToGrid w:val="0"/>
          <w:szCs w:val="22"/>
          <w:lang w:eastAsia="en-US"/>
        </w:rPr>
        <w:t xml:space="preserve">to ensure that the Secretariat is equipped to </w:t>
      </w:r>
      <w:r w:rsidR="00B14DF9">
        <w:rPr>
          <w:rFonts w:ascii="Arial" w:hAnsi="Arial" w:cs="Arial"/>
          <w:snapToGrid w:val="0"/>
          <w:szCs w:val="22"/>
          <w:lang w:eastAsia="en-US"/>
        </w:rPr>
        <w:t xml:space="preserve">provide adequate support to these </w:t>
      </w:r>
      <w:r w:rsidR="00B4041C">
        <w:rPr>
          <w:rFonts w:ascii="Arial" w:hAnsi="Arial" w:cs="Arial"/>
          <w:snapToGrid w:val="0"/>
          <w:szCs w:val="22"/>
          <w:lang w:eastAsia="en-US"/>
        </w:rPr>
        <w:t xml:space="preserve">new </w:t>
      </w:r>
      <w:r w:rsidR="00B14DF9">
        <w:rPr>
          <w:rFonts w:ascii="Arial" w:hAnsi="Arial" w:cs="Arial"/>
          <w:snapToGrid w:val="0"/>
          <w:szCs w:val="22"/>
          <w:lang w:eastAsia="en-US"/>
        </w:rPr>
        <w:t>actions</w:t>
      </w:r>
      <w:r w:rsidR="00E10251" w:rsidRPr="006876DF">
        <w:rPr>
          <w:rFonts w:ascii="Arial" w:hAnsi="Arial" w:cs="Arial"/>
          <w:snapToGrid w:val="0"/>
          <w:szCs w:val="22"/>
          <w:lang w:eastAsia="en-US"/>
        </w:rPr>
        <w:t>.</w:t>
      </w:r>
      <w:r w:rsidR="00B4041C">
        <w:rPr>
          <w:rFonts w:ascii="Arial" w:hAnsi="Arial" w:cs="Arial"/>
          <w:snapToGrid w:val="0"/>
          <w:szCs w:val="22"/>
          <w:lang w:eastAsia="en-US"/>
        </w:rPr>
        <w:t xml:space="preserve"> Otherwise, some of these initiatives will need to be put on hold based on priorities identified by the governing bodies.</w:t>
      </w:r>
    </w:p>
    <w:p w14:paraId="3C17E8C9" w14:textId="7AB630A4" w:rsidR="002459E4" w:rsidRPr="000449E6" w:rsidRDefault="002459E4" w:rsidP="00FD0A9A">
      <w:pPr>
        <w:keepNext/>
        <w:tabs>
          <w:tab w:val="left" w:pos="567"/>
        </w:tabs>
        <w:snapToGrid w:val="0"/>
        <w:spacing w:before="240"/>
        <w:ind w:left="567"/>
        <w:jc w:val="both"/>
        <w:rPr>
          <w:rFonts w:ascii="Arial" w:hAnsi="Arial" w:cs="Arial"/>
          <w:snapToGrid w:val="0"/>
          <w:szCs w:val="22"/>
          <w:lang w:eastAsia="en-US"/>
        </w:rPr>
      </w:pPr>
      <w:r w:rsidRPr="00FF3EC6">
        <w:rPr>
          <w:rFonts w:ascii="Arial" w:hAnsi="Arial" w:cs="Arial"/>
          <w:b/>
          <w:snapToGrid w:val="0"/>
          <w:szCs w:val="22"/>
          <w:lang w:eastAsia="en-US"/>
        </w:rPr>
        <w:t>Ongoing</w:t>
      </w:r>
      <w:r w:rsidRPr="00DD0E72">
        <w:rPr>
          <w:rFonts w:ascii="Arial" w:hAnsi="Arial" w:cs="Arial"/>
          <w:b/>
          <w:snapToGrid w:val="0"/>
          <w:szCs w:val="22"/>
          <w:lang w:eastAsia="en-US"/>
        </w:rPr>
        <w:t xml:space="preserve"> activities</w:t>
      </w:r>
      <w:r w:rsidR="00E7507E">
        <w:rPr>
          <w:rFonts w:ascii="Arial" w:hAnsi="Arial" w:cs="Arial"/>
          <w:b/>
          <w:snapToGrid w:val="0"/>
          <w:szCs w:val="22"/>
          <w:lang w:eastAsia="en-US"/>
        </w:rPr>
        <w:t xml:space="preserve"> supported by voluntary supplementary contributions</w:t>
      </w:r>
    </w:p>
    <w:p w14:paraId="7C4A4BF2" w14:textId="491569FA" w:rsidR="002459E4" w:rsidRPr="00BF1B64" w:rsidRDefault="008D20A4" w:rsidP="002459E4">
      <w:pPr>
        <w:numPr>
          <w:ilvl w:val="0"/>
          <w:numId w:val="8"/>
        </w:numPr>
        <w:ind w:left="567" w:hanging="567"/>
        <w:jc w:val="both"/>
        <w:rPr>
          <w:rFonts w:ascii="Arial" w:hAnsi="Arial" w:cs="Arial"/>
          <w:snapToGrid w:val="0"/>
          <w:szCs w:val="22"/>
          <w:lang w:eastAsia="en-US"/>
        </w:rPr>
      </w:pPr>
      <w:r>
        <w:rPr>
          <w:rFonts w:ascii="Arial" w:hAnsi="Arial" w:cs="Arial"/>
          <w:snapToGrid w:val="0"/>
          <w:szCs w:val="22"/>
          <w:lang w:eastAsia="en-US"/>
        </w:rPr>
        <w:t>T</w:t>
      </w:r>
      <w:r w:rsidR="002459E4" w:rsidRPr="00BF1B64">
        <w:rPr>
          <w:rFonts w:ascii="Arial" w:hAnsi="Arial" w:cs="Arial"/>
          <w:snapToGrid w:val="0"/>
          <w:szCs w:val="22"/>
          <w:lang w:eastAsia="en-US"/>
        </w:rPr>
        <w:t xml:space="preserve">he implementation of the following activities, financed with voluntary supplementary contributions, </w:t>
      </w:r>
      <w:r w:rsidR="00125CDA">
        <w:rPr>
          <w:rFonts w:ascii="Arial" w:hAnsi="Arial" w:cs="Arial"/>
          <w:snapToGrid w:val="0"/>
          <w:szCs w:val="22"/>
          <w:lang w:eastAsia="en-US"/>
        </w:rPr>
        <w:t xml:space="preserve">started or </w:t>
      </w:r>
      <w:r w:rsidR="002459E4" w:rsidRPr="00BF1B64">
        <w:rPr>
          <w:rFonts w:ascii="Arial" w:hAnsi="Arial" w:cs="Arial"/>
          <w:snapToGrid w:val="0"/>
          <w:szCs w:val="22"/>
          <w:lang w:eastAsia="en-US"/>
        </w:rPr>
        <w:t>continued during the reporting period</w:t>
      </w:r>
      <w:r w:rsidR="004727D1">
        <w:rPr>
          <w:rFonts w:ascii="Arial" w:hAnsi="Arial" w:cs="Arial"/>
          <w:snapToGrid w:val="0"/>
          <w:szCs w:val="22"/>
          <w:lang w:eastAsia="en-US"/>
        </w:rPr>
        <w:t xml:space="preserve"> (see also </w:t>
      </w:r>
      <w:hyperlink r:id="rId20" w:history="1">
        <w:r w:rsidR="004727D1" w:rsidRPr="00827A96">
          <w:rPr>
            <w:rStyle w:val="Hyperlink"/>
            <w:rFonts w:ascii="Arial" w:hAnsi="Arial" w:cs="Arial"/>
            <w:bCs/>
            <w:iCs/>
            <w:szCs w:val="22"/>
          </w:rPr>
          <w:t>LHE/21/16.COM/INF.13.1</w:t>
        </w:r>
      </w:hyperlink>
      <w:r w:rsidR="004727D1" w:rsidRPr="00827A96">
        <w:rPr>
          <w:rFonts w:ascii="Arial" w:hAnsi="Arial" w:cs="Arial"/>
          <w:snapToGrid w:val="0"/>
          <w:szCs w:val="22"/>
          <w:lang w:eastAsia="en-US"/>
        </w:rPr>
        <w:t>)</w:t>
      </w:r>
      <w:r w:rsidR="00125CDA" w:rsidRPr="00827A96">
        <w:rPr>
          <w:rFonts w:ascii="Arial" w:hAnsi="Arial" w:cs="Arial"/>
          <w:snapToGrid w:val="0"/>
          <w:szCs w:val="22"/>
          <w:lang w:eastAsia="en-US"/>
        </w:rPr>
        <w:t>.</w:t>
      </w:r>
      <w:r w:rsidR="00125CDA">
        <w:rPr>
          <w:rFonts w:ascii="Arial" w:hAnsi="Arial" w:cs="Arial"/>
          <w:snapToGrid w:val="0"/>
          <w:szCs w:val="22"/>
          <w:lang w:eastAsia="en-US"/>
        </w:rPr>
        <w:t xml:space="preserve"> </w:t>
      </w:r>
      <w:r w:rsidR="00B4041C">
        <w:rPr>
          <w:rFonts w:ascii="Arial" w:hAnsi="Arial" w:cs="Arial"/>
          <w:snapToGrid w:val="0"/>
          <w:szCs w:val="22"/>
          <w:lang w:eastAsia="en-US"/>
        </w:rPr>
        <w:t>However, s</w:t>
      </w:r>
      <w:r w:rsidR="00125CDA">
        <w:rPr>
          <w:rFonts w:ascii="Arial" w:hAnsi="Arial" w:cs="Arial"/>
          <w:snapToGrid w:val="0"/>
          <w:szCs w:val="22"/>
          <w:lang w:eastAsia="en-US"/>
        </w:rPr>
        <w:t xml:space="preserve">everal of the following contributions </w:t>
      </w:r>
      <w:r w:rsidR="00B4041C">
        <w:rPr>
          <w:rFonts w:ascii="Arial" w:hAnsi="Arial" w:cs="Arial"/>
          <w:snapToGrid w:val="0"/>
          <w:szCs w:val="22"/>
          <w:lang w:eastAsia="en-US"/>
        </w:rPr>
        <w:t xml:space="preserve">having been </w:t>
      </w:r>
      <w:r w:rsidR="00125CDA">
        <w:rPr>
          <w:rFonts w:ascii="Arial" w:hAnsi="Arial" w:cs="Arial"/>
          <w:snapToGrid w:val="0"/>
          <w:szCs w:val="22"/>
          <w:lang w:eastAsia="en-US"/>
        </w:rPr>
        <w:t>received in 2020 and 202</w:t>
      </w:r>
      <w:r w:rsidR="00B4041C">
        <w:rPr>
          <w:rFonts w:ascii="Arial" w:hAnsi="Arial" w:cs="Arial"/>
          <w:snapToGrid w:val="0"/>
          <w:szCs w:val="22"/>
          <w:lang w:eastAsia="en-US"/>
        </w:rPr>
        <w:t xml:space="preserve">1, the development and launch of the projects concerned </w:t>
      </w:r>
      <w:r w:rsidR="007F6BC4">
        <w:rPr>
          <w:rFonts w:ascii="Arial" w:hAnsi="Arial" w:cs="Arial"/>
          <w:snapToGrid w:val="0"/>
          <w:szCs w:val="22"/>
          <w:lang w:eastAsia="en-US"/>
        </w:rPr>
        <w:t>were</w:t>
      </w:r>
      <w:r w:rsidR="00B4041C">
        <w:rPr>
          <w:rFonts w:ascii="Arial" w:hAnsi="Arial" w:cs="Arial"/>
          <w:snapToGrid w:val="0"/>
          <w:szCs w:val="22"/>
          <w:lang w:eastAsia="en-US"/>
        </w:rPr>
        <w:t xml:space="preserve"> delayed by the COVID-19 pandemic. </w:t>
      </w:r>
      <w:r w:rsidR="007F6BC4">
        <w:rPr>
          <w:rFonts w:ascii="Arial" w:hAnsi="Arial" w:cs="Arial"/>
          <w:snapToGrid w:val="0"/>
          <w:szCs w:val="22"/>
          <w:lang w:eastAsia="en-US"/>
        </w:rPr>
        <w:t>Projects for which no report has been issued yet are expected to operationally start in late 2021 or early 2022.</w:t>
      </w:r>
    </w:p>
    <w:tbl>
      <w:tblPr>
        <w:tblStyle w:val="TableGrid"/>
        <w:tblW w:w="0" w:type="auto"/>
        <w:tblInd w:w="567" w:type="dxa"/>
        <w:tblLook w:val="04A0" w:firstRow="1" w:lastRow="0" w:firstColumn="1" w:lastColumn="0" w:noHBand="0" w:noVBand="1"/>
      </w:tblPr>
      <w:tblGrid>
        <w:gridCol w:w="6317"/>
        <w:gridCol w:w="2754"/>
      </w:tblGrid>
      <w:tr w:rsidR="00E7358D" w:rsidRPr="00544C71" w14:paraId="54151CB3" w14:textId="77777777" w:rsidTr="002520CD">
        <w:trPr>
          <w:cantSplit/>
          <w:trHeight w:val="293"/>
        </w:trPr>
        <w:tc>
          <w:tcPr>
            <w:tcW w:w="6317" w:type="dxa"/>
            <w:tcBorders>
              <w:left w:val="nil"/>
              <w:bottom w:val="single" w:sz="4" w:space="0" w:color="000000"/>
              <w:right w:val="nil"/>
            </w:tcBorders>
          </w:tcPr>
          <w:p w14:paraId="2EDD1D94" w14:textId="1D27FCC3" w:rsidR="00E7358D" w:rsidRPr="00CC4CB8" w:rsidRDefault="00E7358D" w:rsidP="00E7358D">
            <w:pPr>
              <w:spacing w:before="120"/>
              <w:jc w:val="center"/>
              <w:rPr>
                <w:rFonts w:ascii="Arial" w:hAnsi="Arial" w:cs="Arial"/>
                <w:b/>
                <w:i/>
                <w:iCs/>
                <w:snapToGrid w:val="0"/>
                <w:sz w:val="18"/>
                <w:szCs w:val="18"/>
                <w:lang w:eastAsia="en-US"/>
              </w:rPr>
            </w:pPr>
            <w:bookmarkStart w:id="1" w:name="_Hlk87550150"/>
            <w:r w:rsidRPr="00BF1B64">
              <w:rPr>
                <w:rFonts w:ascii="Arial" w:hAnsi="Arial" w:cs="Arial"/>
                <w:b/>
                <w:snapToGrid w:val="0"/>
                <w:szCs w:val="22"/>
                <w:lang w:eastAsia="en-US"/>
              </w:rPr>
              <w:t>Project</w:t>
            </w:r>
          </w:p>
        </w:tc>
        <w:tc>
          <w:tcPr>
            <w:tcW w:w="2754" w:type="dxa"/>
            <w:tcBorders>
              <w:left w:val="nil"/>
              <w:bottom w:val="single" w:sz="4" w:space="0" w:color="000000"/>
              <w:right w:val="nil"/>
            </w:tcBorders>
          </w:tcPr>
          <w:p w14:paraId="73C47DA5" w14:textId="77777777" w:rsidR="00E7358D" w:rsidRPr="00BF1B64" w:rsidRDefault="00E7358D" w:rsidP="008E3F0F">
            <w:pPr>
              <w:spacing w:before="120"/>
              <w:jc w:val="center"/>
              <w:rPr>
                <w:rFonts w:ascii="Arial" w:hAnsi="Arial" w:cs="Arial"/>
                <w:b/>
                <w:snapToGrid w:val="0"/>
                <w:szCs w:val="22"/>
                <w:lang w:eastAsia="en-US"/>
              </w:rPr>
            </w:pPr>
            <w:r w:rsidRPr="00BF1B64">
              <w:rPr>
                <w:rFonts w:ascii="Arial" w:hAnsi="Arial" w:cs="Arial"/>
                <w:b/>
                <w:snapToGrid w:val="0"/>
                <w:szCs w:val="22"/>
                <w:lang w:eastAsia="en-US"/>
              </w:rPr>
              <w:t>Last report issued</w:t>
            </w:r>
          </w:p>
        </w:tc>
      </w:tr>
      <w:tr w:rsidR="002A719E" w:rsidRPr="00557F01" w14:paraId="7F1DD95F" w14:textId="77777777" w:rsidTr="002520CD">
        <w:trPr>
          <w:cantSplit/>
        </w:trPr>
        <w:tc>
          <w:tcPr>
            <w:tcW w:w="6317" w:type="dxa"/>
            <w:tcBorders>
              <w:top w:val="nil"/>
              <w:left w:val="nil"/>
              <w:bottom w:val="nil"/>
              <w:right w:val="nil"/>
            </w:tcBorders>
          </w:tcPr>
          <w:p w14:paraId="5B55C332" w14:textId="1FB2AE44"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Support of the development and implementation of capacity building activities for safeguarding intangible cultural heritage in conflict-related situations, including situations of forced displacement</w:t>
            </w:r>
          </w:p>
        </w:tc>
        <w:tc>
          <w:tcPr>
            <w:tcW w:w="2754" w:type="dxa"/>
            <w:tcBorders>
              <w:top w:val="nil"/>
              <w:left w:val="nil"/>
              <w:bottom w:val="nil"/>
              <w:right w:val="nil"/>
            </w:tcBorders>
          </w:tcPr>
          <w:p w14:paraId="042E4BC8" w14:textId="6FC9A86E" w:rsidR="002A719E" w:rsidRPr="00557F01" w:rsidRDefault="000D279F" w:rsidP="00004DFA">
            <w:pPr>
              <w:spacing w:before="120"/>
              <w:jc w:val="center"/>
              <w:rPr>
                <w:rFonts w:asciiTheme="minorBidi" w:hAnsiTheme="minorBidi" w:cstheme="minorBidi"/>
                <w:snapToGrid w:val="0"/>
                <w:szCs w:val="22"/>
                <w:highlight w:val="yellow"/>
                <w:lang w:eastAsia="en-US"/>
              </w:rPr>
            </w:pPr>
            <w:hyperlink r:id="rId21" w:history="1">
              <w:r w:rsidR="002A719E" w:rsidRPr="004B008B">
                <w:rPr>
                  <w:rStyle w:val="Hyperlink"/>
                  <w:rFonts w:asciiTheme="minorBidi" w:hAnsiTheme="minorBidi" w:cstheme="minorBidi"/>
                  <w:snapToGrid w:val="0"/>
                  <w:szCs w:val="22"/>
                  <w:lang w:eastAsia="en-US"/>
                </w:rPr>
                <w:t>See project page</w:t>
              </w:r>
            </w:hyperlink>
          </w:p>
        </w:tc>
      </w:tr>
      <w:tr w:rsidR="002A719E" w:rsidRPr="00557F01" w14:paraId="2440E571" w14:textId="77777777" w:rsidTr="002520CD">
        <w:trPr>
          <w:cantSplit/>
        </w:trPr>
        <w:tc>
          <w:tcPr>
            <w:tcW w:w="6317" w:type="dxa"/>
            <w:tcBorders>
              <w:top w:val="nil"/>
              <w:left w:val="nil"/>
              <w:bottom w:val="nil"/>
              <w:right w:val="nil"/>
            </w:tcBorders>
          </w:tcPr>
          <w:p w14:paraId="105C95C6" w14:textId="77BB0B5B"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Capacity-building for safeguarding intangible cultural heritage and contributing to sustainable development</w:t>
            </w:r>
          </w:p>
        </w:tc>
        <w:tc>
          <w:tcPr>
            <w:tcW w:w="2754" w:type="dxa"/>
            <w:tcBorders>
              <w:top w:val="nil"/>
              <w:left w:val="nil"/>
              <w:bottom w:val="nil"/>
              <w:right w:val="nil"/>
            </w:tcBorders>
          </w:tcPr>
          <w:p w14:paraId="4AEA941C" w14:textId="1AB4F05B" w:rsidR="002A719E" w:rsidRPr="00557F01" w:rsidRDefault="000D279F" w:rsidP="00004DFA">
            <w:pPr>
              <w:spacing w:before="120"/>
              <w:jc w:val="center"/>
              <w:rPr>
                <w:rFonts w:asciiTheme="minorBidi" w:hAnsiTheme="minorBidi" w:cstheme="minorBidi"/>
                <w:snapToGrid w:val="0"/>
                <w:szCs w:val="22"/>
                <w:highlight w:val="yellow"/>
                <w:lang w:eastAsia="en-US"/>
              </w:rPr>
            </w:pPr>
            <w:hyperlink r:id="rId22" w:history="1">
              <w:r w:rsidR="002A719E" w:rsidRPr="004B008B">
                <w:rPr>
                  <w:rStyle w:val="Hyperlink"/>
                  <w:rFonts w:asciiTheme="minorBidi" w:hAnsiTheme="minorBidi" w:cstheme="minorBidi"/>
                  <w:snapToGrid w:val="0"/>
                  <w:szCs w:val="22"/>
                  <w:lang w:eastAsia="en-US"/>
                </w:rPr>
                <w:t>See project page</w:t>
              </w:r>
            </w:hyperlink>
          </w:p>
        </w:tc>
      </w:tr>
      <w:tr w:rsidR="002A719E" w:rsidRPr="00557F01" w14:paraId="255D8375" w14:textId="77777777" w:rsidTr="002520CD">
        <w:trPr>
          <w:cantSplit/>
        </w:trPr>
        <w:tc>
          <w:tcPr>
            <w:tcW w:w="6317" w:type="dxa"/>
            <w:tcBorders>
              <w:top w:val="nil"/>
              <w:left w:val="nil"/>
              <w:bottom w:val="nil"/>
              <w:right w:val="nil"/>
            </w:tcBorders>
          </w:tcPr>
          <w:p w14:paraId="44A1F703" w14:textId="32D479FC"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Reflection on the listing mechanisms of the 2003 Convention</w:t>
            </w:r>
          </w:p>
        </w:tc>
        <w:tc>
          <w:tcPr>
            <w:tcW w:w="2754" w:type="dxa"/>
            <w:tcBorders>
              <w:top w:val="nil"/>
              <w:left w:val="nil"/>
              <w:bottom w:val="nil"/>
              <w:right w:val="nil"/>
            </w:tcBorders>
          </w:tcPr>
          <w:p w14:paraId="148DF786" w14:textId="702E33F7" w:rsidR="002A719E" w:rsidRPr="00557F01" w:rsidRDefault="002A719E" w:rsidP="00004DFA">
            <w:pPr>
              <w:spacing w:before="120"/>
              <w:jc w:val="center"/>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 xml:space="preserve">See Document </w:t>
            </w:r>
            <w:hyperlink r:id="rId23" w:history="1">
              <w:r w:rsidRPr="00D45AD6">
                <w:rPr>
                  <w:rStyle w:val="Hyperlink"/>
                  <w:rFonts w:asciiTheme="minorBidi" w:hAnsiTheme="minorBidi" w:cstheme="minorBidi"/>
                  <w:snapToGrid w:val="0"/>
                  <w:szCs w:val="22"/>
                  <w:lang w:eastAsia="en-US"/>
                </w:rPr>
                <w:t>LHE/21/16.COM/14</w:t>
              </w:r>
            </w:hyperlink>
          </w:p>
        </w:tc>
      </w:tr>
      <w:tr w:rsidR="002A719E" w:rsidRPr="00557F01" w14:paraId="03D9DE20" w14:textId="77777777" w:rsidTr="002520CD">
        <w:trPr>
          <w:cantSplit/>
        </w:trPr>
        <w:tc>
          <w:tcPr>
            <w:tcW w:w="6317" w:type="dxa"/>
            <w:tcBorders>
              <w:top w:val="nil"/>
              <w:left w:val="nil"/>
              <w:bottom w:val="nil"/>
              <w:right w:val="nil"/>
            </w:tcBorders>
          </w:tcPr>
          <w:p w14:paraId="13AD3089" w14:textId="0D92CA87"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Strengthening capacities at the national and local levels for the safeguarding of intangible cultural heritage in Dominica</w:t>
            </w:r>
          </w:p>
        </w:tc>
        <w:tc>
          <w:tcPr>
            <w:tcW w:w="2754" w:type="dxa"/>
            <w:tcBorders>
              <w:top w:val="nil"/>
              <w:left w:val="nil"/>
              <w:bottom w:val="nil"/>
              <w:right w:val="nil"/>
            </w:tcBorders>
          </w:tcPr>
          <w:p w14:paraId="762BA806" w14:textId="56C4FB3B" w:rsidR="002A719E" w:rsidRPr="00557F01" w:rsidRDefault="000D279F" w:rsidP="00004DFA">
            <w:pPr>
              <w:spacing w:before="120"/>
              <w:jc w:val="center"/>
              <w:rPr>
                <w:rFonts w:asciiTheme="minorBidi" w:hAnsiTheme="minorBidi" w:cstheme="minorBidi"/>
                <w:snapToGrid w:val="0"/>
                <w:szCs w:val="22"/>
                <w:lang w:eastAsia="en-US"/>
              </w:rPr>
            </w:pPr>
            <w:hyperlink r:id="rId24" w:history="1">
              <w:r w:rsidR="002A719E" w:rsidRPr="004B008B">
                <w:rPr>
                  <w:rStyle w:val="Hyperlink"/>
                  <w:rFonts w:asciiTheme="minorBidi" w:hAnsiTheme="minorBidi" w:cstheme="minorBidi"/>
                  <w:snapToGrid w:val="0"/>
                  <w:szCs w:val="22"/>
                  <w:lang w:eastAsia="en-US"/>
                </w:rPr>
                <w:t>See project page</w:t>
              </w:r>
            </w:hyperlink>
          </w:p>
        </w:tc>
      </w:tr>
      <w:tr w:rsidR="002A719E" w:rsidRPr="00557F01" w14:paraId="5C774316" w14:textId="77777777" w:rsidTr="002520CD">
        <w:trPr>
          <w:cantSplit/>
        </w:trPr>
        <w:tc>
          <w:tcPr>
            <w:tcW w:w="6317" w:type="dxa"/>
            <w:tcBorders>
              <w:top w:val="nil"/>
              <w:left w:val="nil"/>
              <w:bottom w:val="nil"/>
              <w:right w:val="nil"/>
            </w:tcBorders>
          </w:tcPr>
          <w:p w14:paraId="0D32D1A6" w14:textId="1743AAB0"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Safeguarding intangible cultural heritage through formal and non-formal education in Latin America and the Caribbean</w:t>
            </w:r>
          </w:p>
        </w:tc>
        <w:tc>
          <w:tcPr>
            <w:tcW w:w="2754" w:type="dxa"/>
            <w:tcBorders>
              <w:top w:val="nil"/>
              <w:left w:val="nil"/>
              <w:bottom w:val="nil"/>
              <w:right w:val="nil"/>
            </w:tcBorders>
          </w:tcPr>
          <w:p w14:paraId="71A184F9" w14:textId="0054E7D5" w:rsidR="002A719E" w:rsidRPr="00557F01" w:rsidRDefault="000D279F" w:rsidP="00004DFA">
            <w:pPr>
              <w:spacing w:before="120"/>
              <w:jc w:val="center"/>
              <w:rPr>
                <w:rFonts w:asciiTheme="minorBidi" w:hAnsiTheme="minorBidi" w:cstheme="minorBidi"/>
                <w:snapToGrid w:val="0"/>
                <w:szCs w:val="22"/>
                <w:lang w:eastAsia="en-US"/>
              </w:rPr>
            </w:pPr>
            <w:hyperlink r:id="rId25" w:history="1">
              <w:r w:rsidR="002A719E" w:rsidRPr="009D64B7">
                <w:rPr>
                  <w:rStyle w:val="Hyperlink"/>
                  <w:rFonts w:ascii="Arial" w:hAnsi="Arial" w:cs="Arial"/>
                  <w:snapToGrid w:val="0"/>
                  <w:szCs w:val="22"/>
                  <w:lang w:eastAsia="en-US"/>
                </w:rPr>
                <w:t>See project page</w:t>
              </w:r>
            </w:hyperlink>
          </w:p>
        </w:tc>
      </w:tr>
      <w:tr w:rsidR="002A719E" w:rsidRPr="00557F01" w14:paraId="26DF97C6" w14:textId="77777777" w:rsidTr="002520CD">
        <w:trPr>
          <w:cantSplit/>
        </w:trPr>
        <w:tc>
          <w:tcPr>
            <w:tcW w:w="6317" w:type="dxa"/>
            <w:tcBorders>
              <w:top w:val="nil"/>
              <w:left w:val="nil"/>
              <w:bottom w:val="nil"/>
              <w:right w:val="nil"/>
            </w:tcBorders>
          </w:tcPr>
          <w:p w14:paraId="3CA057C5" w14:textId="571E8E83"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val="en" w:eastAsia="en-US"/>
              </w:rPr>
              <w:t>Safeguarding intangible cultural heritage through strengthening national capacities in Morocco, Mauritania and Tunisia</w:t>
            </w:r>
          </w:p>
        </w:tc>
        <w:tc>
          <w:tcPr>
            <w:tcW w:w="2754" w:type="dxa"/>
            <w:tcBorders>
              <w:top w:val="nil"/>
              <w:left w:val="nil"/>
              <w:bottom w:val="nil"/>
              <w:right w:val="nil"/>
            </w:tcBorders>
          </w:tcPr>
          <w:p w14:paraId="6E53FB61" w14:textId="302FE4DE" w:rsidR="002A719E" w:rsidRPr="00557F01" w:rsidRDefault="000D279F" w:rsidP="00004DFA">
            <w:pPr>
              <w:spacing w:before="120"/>
              <w:jc w:val="center"/>
              <w:rPr>
                <w:rFonts w:asciiTheme="minorBidi" w:hAnsiTheme="minorBidi" w:cstheme="minorBidi"/>
                <w:snapToGrid w:val="0"/>
                <w:szCs w:val="22"/>
                <w:highlight w:val="yellow"/>
                <w:lang w:eastAsia="en-US"/>
              </w:rPr>
            </w:pPr>
            <w:hyperlink r:id="rId26" w:history="1">
              <w:r w:rsidR="002A719E" w:rsidRPr="009D64B7">
                <w:rPr>
                  <w:rStyle w:val="Hyperlink"/>
                  <w:rFonts w:ascii="Arial" w:hAnsi="Arial" w:cs="Arial"/>
                  <w:snapToGrid w:val="0"/>
                  <w:szCs w:val="22"/>
                  <w:lang w:eastAsia="en-US"/>
                </w:rPr>
                <w:t>See project page</w:t>
              </w:r>
            </w:hyperlink>
          </w:p>
        </w:tc>
      </w:tr>
      <w:tr w:rsidR="002A719E" w:rsidRPr="00340886" w14:paraId="2D2A3260" w14:textId="77777777" w:rsidTr="002520CD">
        <w:trPr>
          <w:cantSplit/>
        </w:trPr>
        <w:tc>
          <w:tcPr>
            <w:tcW w:w="6317" w:type="dxa"/>
            <w:tcBorders>
              <w:top w:val="nil"/>
              <w:left w:val="nil"/>
              <w:bottom w:val="nil"/>
              <w:right w:val="nil"/>
            </w:tcBorders>
          </w:tcPr>
          <w:p w14:paraId="59711914" w14:textId="2F3EE34D"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Improvement of the periodic reporting mechanisms under the 2003 Convention</w:t>
            </w:r>
          </w:p>
        </w:tc>
        <w:tc>
          <w:tcPr>
            <w:tcW w:w="2754" w:type="dxa"/>
            <w:tcBorders>
              <w:top w:val="nil"/>
              <w:left w:val="nil"/>
              <w:bottom w:val="nil"/>
              <w:right w:val="nil"/>
            </w:tcBorders>
          </w:tcPr>
          <w:p w14:paraId="684D8AE9" w14:textId="77777777" w:rsidR="00543E98" w:rsidRDefault="002A719E" w:rsidP="00004DFA">
            <w:pPr>
              <w:spacing w:before="120"/>
              <w:jc w:val="center"/>
              <w:rPr>
                <w:rFonts w:asciiTheme="minorBidi" w:hAnsiTheme="minorBidi" w:cstheme="minorBidi"/>
                <w:snapToGrid w:val="0"/>
                <w:szCs w:val="22"/>
                <w:lang w:val="pt-PT" w:eastAsia="en-US"/>
              </w:rPr>
            </w:pPr>
            <w:r w:rsidRPr="00340886">
              <w:rPr>
                <w:rFonts w:asciiTheme="minorBidi" w:hAnsiTheme="minorBidi" w:cstheme="minorBidi"/>
                <w:snapToGrid w:val="0"/>
                <w:szCs w:val="22"/>
                <w:lang w:val="pt-PT" w:eastAsia="en-US"/>
              </w:rPr>
              <w:t>See Document</w:t>
            </w:r>
            <w:r w:rsidR="00827A96" w:rsidRPr="00340886">
              <w:rPr>
                <w:rFonts w:asciiTheme="minorBidi" w:hAnsiTheme="minorBidi" w:cstheme="minorBidi"/>
                <w:snapToGrid w:val="0"/>
                <w:szCs w:val="22"/>
                <w:lang w:val="pt-PT" w:eastAsia="en-US"/>
              </w:rPr>
              <w:t>s</w:t>
            </w:r>
          </w:p>
          <w:p w14:paraId="265EBB21" w14:textId="0FAC83EB" w:rsidR="002A719E" w:rsidRPr="00340886" w:rsidRDefault="000D279F" w:rsidP="00004DFA">
            <w:pPr>
              <w:spacing w:before="120"/>
              <w:jc w:val="center"/>
              <w:rPr>
                <w:rStyle w:val="Hyperlink"/>
                <w:rFonts w:asciiTheme="minorBidi" w:hAnsiTheme="minorBidi" w:cstheme="minorBidi"/>
                <w:snapToGrid w:val="0"/>
                <w:szCs w:val="22"/>
                <w:lang w:val="pt-PT" w:eastAsia="en-US"/>
              </w:rPr>
            </w:pPr>
            <w:hyperlink r:id="rId27" w:history="1">
              <w:r w:rsidR="002A719E" w:rsidRPr="00340886">
                <w:rPr>
                  <w:rStyle w:val="Hyperlink"/>
                  <w:rFonts w:asciiTheme="minorBidi" w:hAnsiTheme="minorBidi" w:cstheme="minorBidi"/>
                  <w:snapToGrid w:val="0"/>
                  <w:szCs w:val="22"/>
                  <w:lang w:val="pt-PT" w:eastAsia="en-US"/>
                </w:rPr>
                <w:t>LHE/19/14.COM/8</w:t>
              </w:r>
            </w:hyperlink>
          </w:p>
          <w:p w14:paraId="62DC0149" w14:textId="207E6AB3" w:rsidR="002A719E" w:rsidRPr="00340886" w:rsidRDefault="000D279F" w:rsidP="00004DFA">
            <w:pPr>
              <w:spacing w:before="120"/>
              <w:jc w:val="center"/>
              <w:rPr>
                <w:rFonts w:asciiTheme="minorBidi" w:hAnsiTheme="minorBidi" w:cstheme="minorBidi"/>
                <w:snapToGrid w:val="0"/>
                <w:color w:val="0000FF"/>
                <w:szCs w:val="22"/>
                <w:u w:val="single"/>
                <w:lang w:val="pt-PT" w:eastAsia="en-US"/>
              </w:rPr>
            </w:pPr>
            <w:hyperlink r:id="rId28" w:history="1">
              <w:r w:rsidR="002A719E" w:rsidRPr="00340886">
                <w:rPr>
                  <w:rStyle w:val="Hyperlink"/>
                  <w:rFonts w:asciiTheme="minorBidi" w:hAnsiTheme="minorBidi" w:cstheme="minorBidi"/>
                  <w:snapToGrid w:val="0"/>
                  <w:szCs w:val="22"/>
                  <w:lang w:val="pt-PT" w:eastAsia="en-US"/>
                </w:rPr>
                <w:t>LHE/21/16.COM/7.b</w:t>
              </w:r>
            </w:hyperlink>
          </w:p>
        </w:tc>
      </w:tr>
      <w:tr w:rsidR="002A719E" w:rsidRPr="00557F01" w14:paraId="5621797D" w14:textId="77777777" w:rsidTr="002520CD">
        <w:trPr>
          <w:cantSplit/>
        </w:trPr>
        <w:tc>
          <w:tcPr>
            <w:tcW w:w="6317" w:type="dxa"/>
            <w:tcBorders>
              <w:top w:val="nil"/>
              <w:left w:val="nil"/>
              <w:bottom w:val="nil"/>
              <w:right w:val="nil"/>
            </w:tcBorders>
          </w:tcPr>
          <w:p w14:paraId="31E6FF87" w14:textId="70028529"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lastRenderedPageBreak/>
              <w:t>Strengthening capacities for safeguarding intangible cultural heritage in disasters</w:t>
            </w:r>
          </w:p>
        </w:tc>
        <w:tc>
          <w:tcPr>
            <w:tcW w:w="2754" w:type="dxa"/>
            <w:tcBorders>
              <w:top w:val="nil"/>
              <w:left w:val="nil"/>
              <w:bottom w:val="nil"/>
              <w:right w:val="nil"/>
            </w:tcBorders>
          </w:tcPr>
          <w:p w14:paraId="05E5A617" w14:textId="1F766044" w:rsidR="002A719E" w:rsidRPr="00557F01" w:rsidRDefault="000D279F" w:rsidP="00004DFA">
            <w:pPr>
              <w:spacing w:before="120"/>
              <w:jc w:val="center"/>
              <w:rPr>
                <w:rFonts w:asciiTheme="minorBidi" w:hAnsiTheme="minorBidi" w:cstheme="minorBidi"/>
                <w:snapToGrid w:val="0"/>
                <w:szCs w:val="22"/>
                <w:lang w:eastAsia="en-US"/>
              </w:rPr>
            </w:pPr>
            <w:hyperlink r:id="rId29" w:history="1">
              <w:r w:rsidR="002A719E" w:rsidRPr="009D64B7">
                <w:rPr>
                  <w:rStyle w:val="Hyperlink"/>
                  <w:rFonts w:ascii="Arial" w:hAnsi="Arial" w:cs="Arial"/>
                  <w:snapToGrid w:val="0"/>
                  <w:szCs w:val="22"/>
                  <w:lang w:eastAsia="en-US"/>
                </w:rPr>
                <w:t>See project page</w:t>
              </w:r>
            </w:hyperlink>
          </w:p>
        </w:tc>
      </w:tr>
      <w:tr w:rsidR="002A719E" w:rsidRPr="00557F01" w14:paraId="191BE486" w14:textId="77777777" w:rsidTr="002520CD">
        <w:trPr>
          <w:cantSplit/>
        </w:trPr>
        <w:tc>
          <w:tcPr>
            <w:tcW w:w="6317" w:type="dxa"/>
            <w:tcBorders>
              <w:top w:val="nil"/>
              <w:left w:val="nil"/>
              <w:bottom w:val="single" w:sz="4" w:space="0" w:color="auto"/>
              <w:right w:val="nil"/>
            </w:tcBorders>
          </w:tcPr>
          <w:p w14:paraId="5454813F" w14:textId="506F5D1C" w:rsidR="002A719E" w:rsidRPr="00557F01" w:rsidRDefault="002A719E" w:rsidP="00C975DC">
            <w:pPr>
              <w:spacing w:before="120"/>
              <w:jc w:val="both"/>
              <w:rPr>
                <w:rFonts w:asciiTheme="minorBidi" w:hAnsiTheme="minorBidi" w:cstheme="minorBidi"/>
                <w:snapToGrid w:val="0"/>
                <w:szCs w:val="22"/>
                <w:lang w:eastAsia="en-US"/>
              </w:rPr>
            </w:pPr>
            <w:r w:rsidRPr="00557F01">
              <w:rPr>
                <w:rFonts w:asciiTheme="minorBidi" w:hAnsiTheme="minorBidi" w:cstheme="minorBidi"/>
                <w:snapToGrid w:val="0"/>
                <w:szCs w:val="22"/>
                <w:lang w:eastAsia="en-US"/>
              </w:rPr>
              <w:t>Living Heritage and The Sustainable Development Goals: Safeguarding intangible cultural heritage through formal and non-formal education in the Asia and the Pacific Region and in Africa</w:t>
            </w:r>
          </w:p>
        </w:tc>
        <w:tc>
          <w:tcPr>
            <w:tcW w:w="2754" w:type="dxa"/>
            <w:tcBorders>
              <w:top w:val="nil"/>
              <w:left w:val="nil"/>
              <w:bottom w:val="single" w:sz="4" w:space="0" w:color="auto"/>
              <w:right w:val="nil"/>
            </w:tcBorders>
          </w:tcPr>
          <w:p w14:paraId="48EF22EE" w14:textId="149761A6" w:rsidR="002A719E" w:rsidRPr="00557F01" w:rsidRDefault="000D279F" w:rsidP="00004DFA">
            <w:pPr>
              <w:spacing w:before="120"/>
              <w:jc w:val="center"/>
              <w:rPr>
                <w:rFonts w:asciiTheme="minorBidi" w:hAnsiTheme="minorBidi" w:cstheme="minorBidi"/>
                <w:snapToGrid w:val="0"/>
                <w:szCs w:val="22"/>
                <w:lang w:eastAsia="en-US"/>
              </w:rPr>
            </w:pPr>
            <w:hyperlink r:id="rId30" w:history="1">
              <w:r w:rsidR="002A719E" w:rsidRPr="00764F57">
                <w:rPr>
                  <w:rStyle w:val="Hyperlink"/>
                  <w:rFonts w:ascii="Arial" w:hAnsi="Arial" w:cs="Arial"/>
                </w:rPr>
                <w:t>See project page</w:t>
              </w:r>
            </w:hyperlink>
          </w:p>
        </w:tc>
      </w:tr>
    </w:tbl>
    <w:bookmarkEnd w:id="1"/>
    <w:p w14:paraId="68B92FEC" w14:textId="2A138F8B" w:rsidR="00126DEB" w:rsidRDefault="00126DEB" w:rsidP="00126DEB">
      <w:pPr>
        <w:keepNext/>
        <w:tabs>
          <w:tab w:val="left" w:pos="567"/>
        </w:tabs>
        <w:snapToGrid w:val="0"/>
        <w:spacing w:before="240"/>
        <w:ind w:left="567"/>
        <w:jc w:val="both"/>
        <w:rPr>
          <w:rFonts w:ascii="Arial" w:hAnsi="Arial" w:cs="Arial"/>
          <w:b/>
          <w:bCs/>
          <w:snapToGrid w:val="0"/>
          <w:szCs w:val="22"/>
          <w:lang w:eastAsia="en-US"/>
        </w:rPr>
      </w:pPr>
      <w:r w:rsidRPr="00481E7B">
        <w:rPr>
          <w:rFonts w:ascii="Arial" w:hAnsi="Arial" w:cs="Arial"/>
          <w:b/>
          <w:bCs/>
          <w:snapToGrid w:val="0"/>
          <w:szCs w:val="22"/>
          <w:lang w:eastAsia="en-US"/>
        </w:rPr>
        <w:t xml:space="preserve">Other </w:t>
      </w:r>
      <w:r>
        <w:rPr>
          <w:rFonts w:ascii="Arial" w:hAnsi="Arial" w:cs="Arial"/>
          <w:b/>
          <w:bCs/>
          <w:snapToGrid w:val="0"/>
          <w:szCs w:val="22"/>
          <w:lang w:eastAsia="en-US"/>
        </w:rPr>
        <w:t xml:space="preserve">ongoing </w:t>
      </w:r>
      <w:r w:rsidR="00557F01">
        <w:rPr>
          <w:rFonts w:ascii="Arial" w:hAnsi="Arial" w:cs="Arial"/>
          <w:b/>
          <w:bCs/>
          <w:snapToGrid w:val="0"/>
          <w:szCs w:val="22"/>
          <w:lang w:eastAsia="en-US"/>
        </w:rPr>
        <w:t>projects and activities</w:t>
      </w:r>
      <w:r>
        <w:rPr>
          <w:rFonts w:ascii="Arial" w:hAnsi="Arial" w:cs="Arial"/>
          <w:b/>
          <w:bCs/>
          <w:snapToGrid w:val="0"/>
          <w:szCs w:val="22"/>
          <w:lang w:eastAsia="en-US"/>
        </w:rPr>
        <w:t xml:space="preserve"> supported by voluntary contributions</w:t>
      </w:r>
      <w:r w:rsidRPr="00481E7B">
        <w:rPr>
          <w:rFonts w:ascii="Arial" w:hAnsi="Arial" w:cs="Arial"/>
          <w:b/>
          <w:bCs/>
          <w:snapToGrid w:val="0"/>
          <w:szCs w:val="22"/>
          <w:lang w:eastAsia="en-US"/>
        </w:rPr>
        <w:t xml:space="preserve"> </w:t>
      </w:r>
    </w:p>
    <w:p w14:paraId="1C4EFE38" w14:textId="5000D971" w:rsidR="00BD33EA" w:rsidRPr="00D20C78" w:rsidRDefault="008E77C7" w:rsidP="00BD33EA">
      <w:pPr>
        <w:pStyle w:val="1GAPara"/>
        <w:keepLines/>
        <w:jc w:val="both"/>
      </w:pPr>
      <w:r w:rsidRPr="00D20C78">
        <w:t xml:space="preserve">Voluntary </w:t>
      </w:r>
      <w:r w:rsidR="00C20F63" w:rsidRPr="00D20C78">
        <w:t xml:space="preserve">supplementary </w:t>
      </w:r>
      <w:r w:rsidRPr="00D20C78">
        <w:t>contributions channelled through the Fund support projects</w:t>
      </w:r>
      <w:r w:rsidRPr="0051163A">
        <w:t xml:space="preserve"> </w:t>
      </w:r>
      <w:r w:rsidR="00C20F63" w:rsidRPr="0051163A">
        <w:t xml:space="preserve">and activities </w:t>
      </w:r>
      <w:r w:rsidRPr="0051163A">
        <w:t xml:space="preserve">in direct response to requests made by the Committee and in line with </w:t>
      </w:r>
      <w:r w:rsidR="004B008B">
        <w:t xml:space="preserve">the </w:t>
      </w:r>
      <w:r w:rsidRPr="0051163A">
        <w:t xml:space="preserve">priorities it identified. </w:t>
      </w:r>
      <w:r w:rsidR="00C20F63" w:rsidRPr="0051163A">
        <w:t>Complementary to these contributions,</w:t>
      </w:r>
      <w:r w:rsidRPr="0051163A">
        <w:t xml:space="preserve"> </w:t>
      </w:r>
      <w:r w:rsidR="00BD33EA" w:rsidRPr="00D20C78">
        <w:t>UNESCO</w:t>
      </w:r>
      <w:r w:rsidR="00C20F63" w:rsidRPr="0051163A">
        <w:t xml:space="preserve"> also receive</w:t>
      </w:r>
      <w:r w:rsidR="00BD33EA" w:rsidRPr="00D20C78">
        <w:t>d</w:t>
      </w:r>
      <w:r w:rsidR="00C20F63" w:rsidRPr="0051163A">
        <w:t xml:space="preserve"> other forms of </w:t>
      </w:r>
      <w:r w:rsidR="00ED447B" w:rsidRPr="0051163A">
        <w:t xml:space="preserve">more </w:t>
      </w:r>
      <w:r w:rsidR="00C20F63" w:rsidRPr="0051163A">
        <w:t xml:space="preserve">tightly earmarked support for projects aiming at safeguarding living heritage in line with the </w:t>
      </w:r>
      <w:r w:rsidR="00BD33EA" w:rsidRPr="00D20C78">
        <w:t>Expected Result 6 of Major Programme IV, and as such aligned with the Convention</w:t>
      </w:r>
      <w:r w:rsidR="00ED447B" w:rsidRPr="0051163A">
        <w:t xml:space="preserve">. </w:t>
      </w:r>
      <w:r w:rsidR="00BD33EA" w:rsidRPr="00D20C78">
        <w:t>While such contributions are of course welcome and of benefit to safeguarding purposes, nevertheless it should be noted that the tightly earmarked nature of these contributions does not always allow for sufficient flexibility to fully respond to the broad range of needs and requests expressed by communities and Member States.</w:t>
      </w:r>
    </w:p>
    <w:p w14:paraId="1687CC2B" w14:textId="5C94E6A6" w:rsidR="00126DEB" w:rsidRPr="00ED447B" w:rsidRDefault="00126DEB" w:rsidP="0051163A">
      <w:pPr>
        <w:pStyle w:val="1GAPara"/>
        <w:keepLines/>
        <w:jc w:val="both"/>
      </w:pPr>
      <w:r w:rsidRPr="00925A18">
        <w:t>In</w:t>
      </w:r>
      <w:r w:rsidRPr="00ED447B">
        <w:t xml:space="preserve"> order to give a comprehensive overview of the support received by the Convention across different modalities</w:t>
      </w:r>
      <w:r w:rsidR="00E6302A" w:rsidRPr="00ED447B">
        <w:t xml:space="preserve"> and reflect the diversity of projects supported by donors,</w:t>
      </w:r>
      <w:r w:rsidRPr="00ED447B">
        <w:t xml:space="preserve"> this section will </w:t>
      </w:r>
      <w:r w:rsidR="007E3B65" w:rsidRPr="00ED447B">
        <w:t>outline the different</w:t>
      </w:r>
      <w:r w:rsidRPr="00ED447B">
        <w:t xml:space="preserve"> projects that were considered as active</w:t>
      </w:r>
      <w:r w:rsidR="00557F01">
        <w:rPr>
          <w:rStyle w:val="FootnoteReference"/>
        </w:rPr>
        <w:footnoteReference w:id="1"/>
      </w:r>
      <w:r w:rsidRPr="00ED447B">
        <w:t xml:space="preserve"> during the 2018–2021 quadrennium</w:t>
      </w:r>
      <w:r w:rsidR="00495159">
        <w:t>.</w:t>
      </w:r>
      <w:r w:rsidR="007E3B65">
        <w:rPr>
          <w:rStyle w:val="FootnoteReference"/>
        </w:rPr>
        <w:footnoteReference w:id="2"/>
      </w:r>
      <w:r w:rsidR="00495159">
        <w:t xml:space="preserve"> While meaningful budgetary information could not be provided due to the many different implementation periods associated with the projects and activities mentioned, the number and geographical scope of these initiatives testify to the extent of ongoing actions aiming to improve the implementation of the Convention by States Parties and communities and of the generous support provided by a wide range of donors</w:t>
      </w:r>
      <w:r w:rsidR="000C7E48">
        <w:t xml:space="preserve"> to UNESCO’s work at the global, regional and national levels</w:t>
      </w:r>
      <w:r w:rsidR="00495159">
        <w:t>.</w:t>
      </w:r>
    </w:p>
    <w:p w14:paraId="72B0472A" w14:textId="6F898C44" w:rsidR="00126DEB" w:rsidRPr="00481E7B" w:rsidRDefault="00126DEB" w:rsidP="008844EA">
      <w:pPr>
        <w:numPr>
          <w:ilvl w:val="0"/>
          <w:numId w:val="8"/>
        </w:numPr>
        <w:ind w:left="567" w:hanging="567"/>
        <w:jc w:val="both"/>
        <w:rPr>
          <w:rFonts w:asciiTheme="minorBidi" w:hAnsiTheme="minorBidi" w:cstheme="minorBidi"/>
          <w:szCs w:val="22"/>
        </w:rPr>
      </w:pPr>
      <w:r w:rsidRPr="00481E7B">
        <w:rPr>
          <w:rFonts w:asciiTheme="minorBidi" w:hAnsiTheme="minorBidi" w:cstheme="minorBidi"/>
          <w:snapToGrid w:val="0"/>
          <w:color w:val="000000"/>
          <w:szCs w:val="22"/>
          <w:lang w:eastAsia="en-US"/>
        </w:rPr>
        <w:t xml:space="preserve">As a </w:t>
      </w:r>
      <w:r w:rsidRPr="008844EA">
        <w:rPr>
          <w:rFonts w:ascii="Arial" w:hAnsi="Arial" w:cs="Arial"/>
          <w:snapToGrid w:val="0"/>
          <w:szCs w:val="22"/>
          <w:lang w:eastAsia="en-US"/>
        </w:rPr>
        <w:t>longstanding</w:t>
      </w:r>
      <w:r w:rsidRPr="00481E7B">
        <w:rPr>
          <w:rFonts w:asciiTheme="minorBidi" w:hAnsiTheme="minorBidi" w:cstheme="minorBidi"/>
          <w:snapToGrid w:val="0"/>
          <w:color w:val="000000"/>
          <w:szCs w:val="22"/>
          <w:lang w:eastAsia="en-US"/>
        </w:rPr>
        <w:t xml:space="preserve"> programme which heavily relies on UNESCO Field Offices for its implementation</w:t>
      </w:r>
      <w:r w:rsidR="00B01116">
        <w:rPr>
          <w:rFonts w:asciiTheme="minorBidi" w:hAnsiTheme="minorBidi" w:cstheme="minorBidi"/>
          <w:snapToGrid w:val="0"/>
          <w:color w:val="000000"/>
          <w:szCs w:val="22"/>
          <w:lang w:eastAsia="en-US"/>
        </w:rPr>
        <w:t xml:space="preserve"> in complement to upstream activities at the global level</w:t>
      </w:r>
      <w:r w:rsidRPr="00481E7B">
        <w:rPr>
          <w:rFonts w:asciiTheme="minorBidi" w:hAnsiTheme="minorBidi" w:cstheme="minorBidi"/>
          <w:snapToGrid w:val="0"/>
          <w:color w:val="000000"/>
          <w:szCs w:val="22"/>
          <w:lang w:eastAsia="en-US"/>
        </w:rPr>
        <w:t>, the capacity-building programme receive</w:t>
      </w:r>
      <w:r w:rsidR="007E3B65">
        <w:rPr>
          <w:rFonts w:asciiTheme="minorBidi" w:hAnsiTheme="minorBidi" w:cstheme="minorBidi"/>
          <w:snapToGrid w:val="0"/>
          <w:color w:val="000000"/>
          <w:szCs w:val="22"/>
          <w:lang w:eastAsia="en-US"/>
        </w:rPr>
        <w:t>d</w:t>
      </w:r>
      <w:r w:rsidRPr="00481E7B">
        <w:rPr>
          <w:rFonts w:asciiTheme="minorBidi" w:hAnsiTheme="minorBidi" w:cstheme="minorBidi"/>
          <w:snapToGrid w:val="0"/>
          <w:color w:val="000000"/>
          <w:szCs w:val="22"/>
          <w:lang w:eastAsia="en-US"/>
        </w:rPr>
        <w:t xml:space="preserve"> much support through</w:t>
      </w:r>
      <w:r w:rsidR="004B008B">
        <w:rPr>
          <w:rFonts w:asciiTheme="minorBidi" w:hAnsiTheme="minorBidi" w:cstheme="minorBidi"/>
          <w:snapToGrid w:val="0"/>
          <w:color w:val="000000"/>
          <w:szCs w:val="22"/>
          <w:lang w:eastAsia="en-US"/>
        </w:rPr>
        <w:t xml:space="preserve"> the following</w:t>
      </w:r>
      <w:r w:rsidRPr="00481E7B">
        <w:rPr>
          <w:rFonts w:asciiTheme="minorBidi" w:hAnsiTheme="minorBidi" w:cstheme="minorBidi"/>
          <w:snapToGrid w:val="0"/>
          <w:color w:val="000000"/>
          <w:szCs w:val="22"/>
          <w:lang w:eastAsia="en-US"/>
        </w:rPr>
        <w:t>:</w:t>
      </w:r>
    </w:p>
    <w:p w14:paraId="6FA70347" w14:textId="4066D348" w:rsidR="00126DEB" w:rsidRPr="00481E7B" w:rsidRDefault="004B008B" w:rsidP="00E6302A">
      <w:pPr>
        <w:numPr>
          <w:ilvl w:val="1"/>
          <w:numId w:val="15"/>
        </w:numPr>
        <w:ind w:left="1134" w:hanging="567"/>
        <w:jc w:val="both"/>
        <w:rPr>
          <w:rFonts w:asciiTheme="minorBidi" w:hAnsiTheme="minorBidi" w:cstheme="minorBidi"/>
          <w:szCs w:val="22"/>
        </w:rPr>
      </w:pPr>
      <w:r>
        <w:rPr>
          <w:rFonts w:asciiTheme="minorBidi" w:hAnsiTheme="minorBidi" w:cstheme="minorBidi"/>
          <w:snapToGrid w:val="0"/>
          <w:color w:val="000000"/>
          <w:szCs w:val="22"/>
          <w:lang w:eastAsia="en-US"/>
        </w:rPr>
        <w:t>The s</w:t>
      </w:r>
      <w:r w:rsidR="00126DEB" w:rsidRPr="00481E7B">
        <w:rPr>
          <w:rFonts w:asciiTheme="minorBidi" w:hAnsiTheme="minorBidi" w:cstheme="minorBidi"/>
          <w:snapToGrid w:val="0"/>
          <w:color w:val="000000"/>
          <w:szCs w:val="22"/>
          <w:lang w:eastAsia="en-US"/>
        </w:rPr>
        <w:t>elf-benefitting Funds-in-Trust agreements allowed the implementation of three projects thanks to contributions from Brazil (Brasilia Office) and Morocco (Rabat Office);</w:t>
      </w:r>
    </w:p>
    <w:p w14:paraId="75359FB8" w14:textId="46CD5351" w:rsidR="00126DEB" w:rsidRPr="00481E7B" w:rsidRDefault="00126DEB" w:rsidP="00E6302A">
      <w:pPr>
        <w:numPr>
          <w:ilvl w:val="1"/>
          <w:numId w:val="15"/>
        </w:numPr>
        <w:ind w:left="1134" w:hanging="567"/>
        <w:jc w:val="both"/>
        <w:rPr>
          <w:rFonts w:asciiTheme="minorBidi" w:hAnsiTheme="minorBidi" w:cstheme="minorBidi"/>
          <w:szCs w:val="22"/>
        </w:rPr>
      </w:pPr>
      <w:r w:rsidRPr="00481E7B">
        <w:rPr>
          <w:rFonts w:asciiTheme="minorBidi" w:hAnsiTheme="minorBidi" w:cstheme="minorBidi"/>
          <w:snapToGrid w:val="0"/>
          <w:color w:val="000000"/>
          <w:szCs w:val="22"/>
          <w:lang w:eastAsia="en-US"/>
        </w:rPr>
        <w:t>Other Funds-in-Trust agreements established with Flanders, Belgium (Harare Office), Japan (Abuja</w:t>
      </w:r>
      <w:r w:rsidR="00B01116">
        <w:rPr>
          <w:rFonts w:asciiTheme="minorBidi" w:hAnsiTheme="minorBidi" w:cstheme="minorBidi"/>
          <w:snapToGrid w:val="0"/>
          <w:color w:val="000000"/>
          <w:szCs w:val="22"/>
          <w:lang w:eastAsia="en-US"/>
        </w:rPr>
        <w:t>,</w:t>
      </w:r>
      <w:r w:rsidRPr="00481E7B">
        <w:rPr>
          <w:rFonts w:asciiTheme="minorBidi" w:hAnsiTheme="minorBidi" w:cstheme="minorBidi"/>
          <w:snapToGrid w:val="0"/>
          <w:color w:val="000000"/>
          <w:szCs w:val="22"/>
          <w:lang w:eastAsia="en-US"/>
        </w:rPr>
        <w:t xml:space="preserve"> Beirut</w:t>
      </w:r>
      <w:r w:rsidR="00B01116">
        <w:rPr>
          <w:rFonts w:asciiTheme="minorBidi" w:hAnsiTheme="minorBidi" w:cstheme="minorBidi"/>
          <w:snapToGrid w:val="0"/>
          <w:color w:val="000000"/>
          <w:szCs w:val="22"/>
          <w:lang w:eastAsia="en-US"/>
        </w:rPr>
        <w:t xml:space="preserve"> and Harare</w:t>
      </w:r>
      <w:r w:rsidRPr="00481E7B">
        <w:rPr>
          <w:rFonts w:asciiTheme="minorBidi" w:hAnsiTheme="minorBidi" w:cstheme="minorBidi"/>
          <w:snapToGrid w:val="0"/>
          <w:color w:val="000000"/>
          <w:szCs w:val="22"/>
          <w:lang w:eastAsia="en-US"/>
        </w:rPr>
        <w:t xml:space="preserve"> Offices), Switzerland (Islamabad Office), the United Arab Emirates (Cairo, Khartoum, Nairobi and Ramallah Offices)</w:t>
      </w:r>
      <w:r w:rsidR="00B01116">
        <w:rPr>
          <w:rFonts w:asciiTheme="minorBidi" w:hAnsiTheme="minorBidi" w:cstheme="minorBidi"/>
          <w:snapToGrid w:val="0"/>
          <w:color w:val="000000"/>
          <w:szCs w:val="22"/>
          <w:lang w:eastAsia="en-US"/>
        </w:rPr>
        <w:t>,</w:t>
      </w:r>
      <w:r w:rsidRPr="00481E7B">
        <w:rPr>
          <w:rFonts w:asciiTheme="minorBidi" w:hAnsiTheme="minorBidi" w:cstheme="minorBidi"/>
          <w:snapToGrid w:val="0"/>
          <w:color w:val="000000"/>
          <w:szCs w:val="22"/>
          <w:lang w:eastAsia="en-US"/>
        </w:rPr>
        <w:t xml:space="preserve"> the Iris Foundation (Bangkok Office) </w:t>
      </w:r>
      <w:r w:rsidR="00B01116">
        <w:rPr>
          <w:rFonts w:asciiTheme="minorBidi" w:hAnsiTheme="minorBidi" w:cstheme="minorBidi"/>
          <w:snapToGrid w:val="0"/>
          <w:color w:val="000000"/>
          <w:szCs w:val="22"/>
          <w:lang w:eastAsia="en-US"/>
        </w:rPr>
        <w:t xml:space="preserve">and </w:t>
      </w:r>
      <w:r w:rsidR="00B01116" w:rsidRPr="00B01116">
        <w:rPr>
          <w:rFonts w:asciiTheme="minorBidi" w:hAnsiTheme="minorBidi" w:cstheme="minorBidi"/>
          <w:snapToGrid w:val="0"/>
          <w:color w:val="000000"/>
          <w:szCs w:val="22"/>
          <w:lang w:eastAsia="en-US"/>
        </w:rPr>
        <w:t xml:space="preserve">the private sector of the People’s Republic of China </w:t>
      </w:r>
      <w:r w:rsidR="00B01116">
        <w:rPr>
          <w:rFonts w:asciiTheme="minorBidi" w:hAnsiTheme="minorBidi" w:cstheme="minorBidi"/>
          <w:snapToGrid w:val="0"/>
          <w:color w:val="000000"/>
          <w:szCs w:val="22"/>
          <w:lang w:eastAsia="en-US"/>
        </w:rPr>
        <w:t xml:space="preserve">(Headquarters) </w:t>
      </w:r>
      <w:r w:rsidRPr="00481E7B">
        <w:rPr>
          <w:rFonts w:asciiTheme="minorBidi" w:hAnsiTheme="minorBidi" w:cstheme="minorBidi"/>
          <w:snapToGrid w:val="0"/>
          <w:color w:val="000000"/>
          <w:szCs w:val="22"/>
          <w:lang w:eastAsia="en-US"/>
        </w:rPr>
        <w:t xml:space="preserve">supported the implementation of </w:t>
      </w:r>
      <w:r w:rsidR="00B01116">
        <w:rPr>
          <w:rFonts w:asciiTheme="minorBidi" w:hAnsiTheme="minorBidi" w:cstheme="minorBidi"/>
          <w:snapToGrid w:val="0"/>
          <w:color w:val="000000"/>
          <w:szCs w:val="22"/>
          <w:lang w:eastAsia="en-US"/>
        </w:rPr>
        <w:t>eleven</w:t>
      </w:r>
      <w:r w:rsidR="00B01116" w:rsidRPr="00481E7B">
        <w:rPr>
          <w:rFonts w:asciiTheme="minorBidi" w:hAnsiTheme="minorBidi" w:cstheme="minorBidi"/>
          <w:snapToGrid w:val="0"/>
          <w:color w:val="000000"/>
          <w:szCs w:val="22"/>
          <w:lang w:eastAsia="en-US"/>
        </w:rPr>
        <w:t xml:space="preserve"> </w:t>
      </w:r>
      <w:r w:rsidRPr="00481E7B">
        <w:rPr>
          <w:rFonts w:asciiTheme="minorBidi" w:hAnsiTheme="minorBidi" w:cstheme="minorBidi"/>
          <w:snapToGrid w:val="0"/>
          <w:color w:val="000000"/>
          <w:szCs w:val="22"/>
          <w:lang w:eastAsia="en-US"/>
        </w:rPr>
        <w:t>capacity-building projects;</w:t>
      </w:r>
    </w:p>
    <w:p w14:paraId="253D4976" w14:textId="7E22BAE0" w:rsidR="00126DEB" w:rsidRPr="00481E7B" w:rsidRDefault="00126DEB" w:rsidP="008844EA">
      <w:pPr>
        <w:numPr>
          <w:ilvl w:val="1"/>
          <w:numId w:val="15"/>
        </w:numPr>
        <w:ind w:left="1134" w:hanging="567"/>
        <w:jc w:val="both"/>
        <w:rPr>
          <w:rFonts w:asciiTheme="minorBidi" w:hAnsiTheme="minorBidi" w:cstheme="minorBidi"/>
          <w:szCs w:val="22"/>
        </w:rPr>
      </w:pPr>
      <w:r w:rsidRPr="00481E7B">
        <w:rPr>
          <w:rFonts w:asciiTheme="minorBidi" w:hAnsiTheme="minorBidi" w:cstheme="minorBidi"/>
          <w:snapToGrid w:val="0"/>
          <w:color w:val="000000"/>
          <w:szCs w:val="22"/>
          <w:lang w:eastAsia="en-US"/>
        </w:rPr>
        <w:t xml:space="preserve">Additional appropriations to UNESCO’s Regular Programme received from Australia (Lima Office), China (Beijing, Bangkok and Dhaka Offices), the United Arab Emirates (Doha Office), Uruguay (Montevideo Office), the Asia-Pacific Centre of Education for International Understanding </w:t>
      </w:r>
      <w:r w:rsidR="007E3B65">
        <w:rPr>
          <w:rFonts w:asciiTheme="minorBidi" w:hAnsiTheme="minorBidi" w:cstheme="minorBidi"/>
          <w:snapToGrid w:val="0"/>
          <w:color w:val="000000"/>
          <w:szCs w:val="22"/>
          <w:lang w:eastAsia="en-US"/>
        </w:rPr>
        <w:t>-</w:t>
      </w:r>
      <w:r w:rsidRPr="00481E7B">
        <w:rPr>
          <w:rFonts w:asciiTheme="minorBidi" w:hAnsiTheme="minorBidi" w:cstheme="minorBidi"/>
          <w:snapToGrid w:val="0"/>
          <w:color w:val="000000"/>
          <w:szCs w:val="22"/>
          <w:lang w:eastAsia="en-US"/>
        </w:rPr>
        <w:t xml:space="preserve"> APCEIU (Bangkok Office), the International Training Centre for Intangible Cultural Heritage in the Asia-Pacific Region </w:t>
      </w:r>
      <w:r w:rsidR="007E3B65">
        <w:rPr>
          <w:rFonts w:asciiTheme="minorBidi" w:hAnsiTheme="minorBidi" w:cstheme="minorBidi"/>
          <w:snapToGrid w:val="0"/>
          <w:color w:val="000000"/>
          <w:szCs w:val="22"/>
          <w:lang w:eastAsia="en-US"/>
        </w:rPr>
        <w:t>-</w:t>
      </w:r>
      <w:r w:rsidRPr="00481E7B">
        <w:rPr>
          <w:rFonts w:asciiTheme="minorBidi" w:hAnsiTheme="minorBidi" w:cstheme="minorBidi"/>
          <w:snapToGrid w:val="0"/>
          <w:color w:val="000000"/>
          <w:szCs w:val="22"/>
          <w:lang w:eastAsia="en-US"/>
        </w:rPr>
        <w:t xml:space="preserve"> CRIHAP (Bangkok and Dhaka Offices), </w:t>
      </w:r>
      <w:r w:rsidRPr="00481E7B">
        <w:rPr>
          <w:rFonts w:asciiTheme="minorBidi" w:hAnsiTheme="minorBidi" w:cstheme="minorBidi"/>
          <w:snapToGrid w:val="0"/>
          <w:szCs w:val="22"/>
          <w:lang w:eastAsia="en-US"/>
        </w:rPr>
        <w:t xml:space="preserve">the International Information and Networking Centre for Intangible Cultural Heritage in the Asia-Pacific Region </w:t>
      </w:r>
      <w:r w:rsidR="007E3B65">
        <w:rPr>
          <w:rFonts w:asciiTheme="minorBidi" w:hAnsiTheme="minorBidi" w:cstheme="minorBidi"/>
          <w:snapToGrid w:val="0"/>
          <w:szCs w:val="22"/>
          <w:lang w:eastAsia="en-US"/>
        </w:rPr>
        <w:t>-</w:t>
      </w:r>
      <w:r w:rsidRPr="00481E7B">
        <w:rPr>
          <w:rFonts w:asciiTheme="minorBidi" w:hAnsiTheme="minorBidi" w:cstheme="minorBidi"/>
          <w:snapToGrid w:val="0"/>
          <w:szCs w:val="22"/>
          <w:lang w:eastAsia="en-US"/>
        </w:rPr>
        <w:t xml:space="preserve"> ICHCAP (</w:t>
      </w:r>
      <w:r w:rsidR="00B01116">
        <w:rPr>
          <w:rFonts w:asciiTheme="minorBidi" w:hAnsiTheme="minorBidi" w:cstheme="minorBidi"/>
          <w:snapToGrid w:val="0"/>
          <w:szCs w:val="22"/>
          <w:lang w:eastAsia="en-US"/>
        </w:rPr>
        <w:t xml:space="preserve">Headquarters, </w:t>
      </w:r>
      <w:r w:rsidRPr="00481E7B">
        <w:rPr>
          <w:rFonts w:asciiTheme="minorBidi" w:hAnsiTheme="minorBidi" w:cstheme="minorBidi"/>
          <w:snapToGrid w:val="0"/>
          <w:szCs w:val="22"/>
          <w:lang w:eastAsia="en-US"/>
        </w:rPr>
        <w:t>Bangkok</w:t>
      </w:r>
      <w:r w:rsidR="00B4380E">
        <w:rPr>
          <w:rFonts w:asciiTheme="minorBidi" w:hAnsiTheme="minorBidi" w:cstheme="minorBidi"/>
          <w:snapToGrid w:val="0"/>
          <w:szCs w:val="22"/>
          <w:lang w:eastAsia="en-US"/>
        </w:rPr>
        <w:t>, Beijing and Dhaka</w:t>
      </w:r>
      <w:r w:rsidRPr="00481E7B">
        <w:rPr>
          <w:rFonts w:asciiTheme="minorBidi" w:hAnsiTheme="minorBidi" w:cstheme="minorBidi"/>
          <w:snapToGrid w:val="0"/>
          <w:szCs w:val="22"/>
          <w:lang w:eastAsia="en-US"/>
        </w:rPr>
        <w:t xml:space="preserve"> Office</w:t>
      </w:r>
      <w:r w:rsidR="00B4380E">
        <w:rPr>
          <w:rFonts w:asciiTheme="minorBidi" w:hAnsiTheme="minorBidi" w:cstheme="minorBidi"/>
          <w:snapToGrid w:val="0"/>
          <w:szCs w:val="22"/>
          <w:lang w:eastAsia="en-US"/>
        </w:rPr>
        <w:t>s</w:t>
      </w:r>
      <w:r w:rsidRPr="00481E7B">
        <w:rPr>
          <w:rFonts w:asciiTheme="minorBidi" w:hAnsiTheme="minorBidi" w:cstheme="minorBidi"/>
          <w:snapToGrid w:val="0"/>
          <w:szCs w:val="22"/>
          <w:lang w:eastAsia="en-US"/>
        </w:rPr>
        <w:t xml:space="preserve">), </w:t>
      </w:r>
      <w:r w:rsidRPr="00481E7B">
        <w:rPr>
          <w:rFonts w:asciiTheme="minorBidi" w:hAnsiTheme="minorBidi" w:cstheme="minorBidi"/>
          <w:snapToGrid w:val="0"/>
          <w:color w:val="000000"/>
          <w:szCs w:val="22"/>
          <w:lang w:eastAsia="en-US"/>
        </w:rPr>
        <w:t xml:space="preserve">AmorePacific Thailand (Bangkok Office), Better World (Bangkok </w:t>
      </w:r>
      <w:r w:rsidRPr="00481E7B">
        <w:rPr>
          <w:rFonts w:asciiTheme="minorBidi" w:hAnsiTheme="minorBidi" w:cstheme="minorBidi"/>
          <w:snapToGrid w:val="0"/>
          <w:color w:val="000000"/>
          <w:szCs w:val="22"/>
          <w:lang w:eastAsia="en-US"/>
        </w:rPr>
        <w:lastRenderedPageBreak/>
        <w:t>Office)</w:t>
      </w:r>
      <w:r w:rsidR="00B4380E">
        <w:rPr>
          <w:rFonts w:asciiTheme="minorBidi" w:hAnsiTheme="minorBidi" w:cstheme="minorBidi"/>
          <w:snapToGrid w:val="0"/>
          <w:color w:val="000000"/>
          <w:szCs w:val="22"/>
          <w:lang w:eastAsia="en-US"/>
        </w:rPr>
        <w:t>,</w:t>
      </w:r>
      <w:r w:rsidRPr="00481E7B">
        <w:rPr>
          <w:rFonts w:asciiTheme="minorBidi" w:hAnsiTheme="minorBidi" w:cstheme="minorBidi"/>
          <w:snapToGrid w:val="0"/>
          <w:color w:val="000000"/>
          <w:szCs w:val="22"/>
          <w:lang w:eastAsia="en-US"/>
        </w:rPr>
        <w:t xml:space="preserve"> </w:t>
      </w:r>
      <w:r w:rsidR="00B4380E">
        <w:rPr>
          <w:rFonts w:asciiTheme="minorBidi" w:hAnsiTheme="minorBidi" w:cstheme="minorBidi"/>
          <w:snapToGrid w:val="0"/>
          <w:color w:val="000000"/>
          <w:szCs w:val="22"/>
          <w:lang w:eastAsia="en-US"/>
        </w:rPr>
        <w:t>Comité Colbert (Montevideo Office)</w:t>
      </w:r>
      <w:r w:rsidR="00B4380E" w:rsidRPr="00481E7B">
        <w:rPr>
          <w:rFonts w:asciiTheme="minorBidi" w:hAnsiTheme="minorBidi" w:cstheme="minorBidi"/>
          <w:snapToGrid w:val="0"/>
          <w:color w:val="000000"/>
          <w:szCs w:val="22"/>
          <w:lang w:eastAsia="en-US"/>
        </w:rPr>
        <w:t xml:space="preserve"> </w:t>
      </w:r>
      <w:r w:rsidRPr="00481E7B">
        <w:rPr>
          <w:rFonts w:asciiTheme="minorBidi" w:hAnsiTheme="minorBidi" w:cstheme="minorBidi"/>
          <w:snapToGrid w:val="0"/>
          <w:color w:val="000000"/>
          <w:szCs w:val="22"/>
          <w:lang w:eastAsia="en-US"/>
        </w:rPr>
        <w:t xml:space="preserve">and Parzor Foundation (Delhi Office) – supported UNESCO Field Offices in the implementation of </w:t>
      </w:r>
      <w:r w:rsidR="007641EA">
        <w:rPr>
          <w:rFonts w:asciiTheme="minorBidi" w:hAnsiTheme="minorBidi" w:cstheme="minorBidi"/>
          <w:snapToGrid w:val="0"/>
          <w:color w:val="000000"/>
          <w:szCs w:val="22"/>
          <w:lang w:eastAsia="en-US"/>
        </w:rPr>
        <w:t>twenty</w:t>
      </w:r>
      <w:r w:rsidR="00B01116" w:rsidRPr="00481E7B">
        <w:rPr>
          <w:rFonts w:asciiTheme="minorBidi" w:hAnsiTheme="minorBidi" w:cstheme="minorBidi"/>
          <w:snapToGrid w:val="0"/>
          <w:color w:val="000000"/>
          <w:szCs w:val="22"/>
          <w:lang w:eastAsia="en-US"/>
        </w:rPr>
        <w:t xml:space="preserve"> </w:t>
      </w:r>
      <w:r w:rsidRPr="00481E7B">
        <w:rPr>
          <w:rFonts w:asciiTheme="minorBidi" w:hAnsiTheme="minorBidi" w:cstheme="minorBidi"/>
          <w:snapToGrid w:val="0"/>
          <w:color w:val="000000"/>
          <w:szCs w:val="22"/>
          <w:lang w:eastAsia="en-US"/>
        </w:rPr>
        <w:t>activities under the global capacity-building programme.</w:t>
      </w:r>
    </w:p>
    <w:p w14:paraId="3B37F1D5" w14:textId="01D703DC" w:rsidR="00126DEB" w:rsidRPr="00481E7B" w:rsidRDefault="00126DEB" w:rsidP="008844EA">
      <w:pPr>
        <w:numPr>
          <w:ilvl w:val="0"/>
          <w:numId w:val="8"/>
        </w:numPr>
        <w:ind w:left="567" w:hanging="567"/>
        <w:jc w:val="both"/>
        <w:rPr>
          <w:szCs w:val="22"/>
        </w:rPr>
      </w:pPr>
      <w:r w:rsidRPr="00481E7B">
        <w:rPr>
          <w:rFonts w:ascii="Arial" w:hAnsi="Arial" w:cs="Arial"/>
          <w:snapToGrid w:val="0"/>
          <w:color w:val="000000"/>
          <w:szCs w:val="22"/>
          <w:lang w:eastAsia="en-US"/>
        </w:rPr>
        <w:t xml:space="preserve">While a relatively new priority for the Convention, initiatives promoting the integration of living heritage into </w:t>
      </w:r>
      <w:r w:rsidR="00FD7B97">
        <w:rPr>
          <w:rFonts w:ascii="Arial" w:hAnsi="Arial" w:cs="Arial"/>
          <w:snapToGrid w:val="0"/>
          <w:color w:val="000000"/>
          <w:szCs w:val="22"/>
          <w:lang w:eastAsia="en-US"/>
        </w:rPr>
        <w:t>e</w:t>
      </w:r>
      <w:r w:rsidRPr="00481E7B">
        <w:rPr>
          <w:rFonts w:ascii="Arial" w:hAnsi="Arial" w:cs="Arial"/>
          <w:snapToGrid w:val="0"/>
          <w:color w:val="000000"/>
          <w:szCs w:val="22"/>
          <w:lang w:eastAsia="en-US"/>
        </w:rPr>
        <w:t>ducation also received some support with contribution</w:t>
      </w:r>
      <w:r w:rsidR="00B01116">
        <w:rPr>
          <w:rFonts w:ascii="Arial" w:hAnsi="Arial" w:cs="Arial"/>
          <w:snapToGrid w:val="0"/>
          <w:color w:val="000000"/>
          <w:szCs w:val="22"/>
          <w:lang w:eastAsia="en-US"/>
        </w:rPr>
        <w:t>s</w:t>
      </w:r>
      <w:r w:rsidRPr="00481E7B">
        <w:rPr>
          <w:rFonts w:ascii="Arial" w:hAnsi="Arial" w:cs="Arial"/>
          <w:snapToGrid w:val="0"/>
          <w:color w:val="000000"/>
          <w:szCs w:val="22"/>
          <w:lang w:eastAsia="en-US"/>
        </w:rPr>
        <w:t xml:space="preserve"> from </w:t>
      </w:r>
      <w:r w:rsidR="00B01116">
        <w:rPr>
          <w:rFonts w:ascii="Arial" w:hAnsi="Arial" w:cs="Arial"/>
          <w:snapToGrid w:val="0"/>
          <w:color w:val="000000"/>
          <w:szCs w:val="22"/>
          <w:lang w:eastAsia="en-US"/>
        </w:rPr>
        <w:t xml:space="preserve">the European Commission (Headquarters) and </w:t>
      </w:r>
      <w:r w:rsidRPr="00481E7B">
        <w:rPr>
          <w:rFonts w:ascii="Arial" w:hAnsi="Arial" w:cs="Arial"/>
          <w:snapToGrid w:val="0"/>
          <w:color w:val="000000"/>
          <w:szCs w:val="22"/>
          <w:lang w:eastAsia="en-US"/>
        </w:rPr>
        <w:t xml:space="preserve">the private sector in </w:t>
      </w:r>
      <w:r w:rsidR="00C545BB">
        <w:rPr>
          <w:rFonts w:ascii="Arial" w:hAnsi="Arial" w:cs="Arial"/>
          <w:snapToGrid w:val="0"/>
          <w:color w:val="000000"/>
          <w:szCs w:val="22"/>
          <w:lang w:eastAsia="en-US"/>
        </w:rPr>
        <w:t xml:space="preserve">the People’s Republic of </w:t>
      </w:r>
      <w:r w:rsidRPr="00481E7B">
        <w:rPr>
          <w:rFonts w:ascii="Arial" w:hAnsi="Arial" w:cs="Arial"/>
          <w:snapToGrid w:val="0"/>
          <w:color w:val="000000"/>
          <w:szCs w:val="22"/>
          <w:lang w:eastAsia="en-US"/>
        </w:rPr>
        <w:t xml:space="preserve">China </w:t>
      </w:r>
      <w:r w:rsidR="00B01116">
        <w:rPr>
          <w:rFonts w:ascii="Arial" w:hAnsi="Arial" w:cs="Arial"/>
          <w:snapToGrid w:val="0"/>
          <w:color w:val="000000"/>
          <w:szCs w:val="22"/>
          <w:lang w:eastAsia="en-US"/>
        </w:rPr>
        <w:t>(</w:t>
      </w:r>
      <w:r w:rsidRPr="00481E7B">
        <w:rPr>
          <w:rFonts w:ascii="Arial" w:hAnsi="Arial" w:cs="Arial"/>
          <w:snapToGrid w:val="0"/>
          <w:color w:val="000000"/>
          <w:szCs w:val="22"/>
          <w:lang w:eastAsia="en-US"/>
        </w:rPr>
        <w:t>Bangkok Office</w:t>
      </w:r>
      <w:r w:rsidR="00B01116">
        <w:rPr>
          <w:rFonts w:ascii="Arial" w:hAnsi="Arial" w:cs="Arial"/>
          <w:snapToGrid w:val="0"/>
          <w:color w:val="000000"/>
          <w:szCs w:val="22"/>
          <w:lang w:eastAsia="en-US"/>
        </w:rPr>
        <w:t>)</w:t>
      </w:r>
      <w:r w:rsidRPr="00481E7B">
        <w:rPr>
          <w:rFonts w:ascii="Arial" w:hAnsi="Arial" w:cs="Arial"/>
          <w:snapToGrid w:val="0"/>
          <w:color w:val="000000"/>
          <w:szCs w:val="22"/>
          <w:lang w:eastAsia="en-US"/>
        </w:rPr>
        <w:t>.</w:t>
      </w:r>
      <w:r>
        <w:rPr>
          <w:rFonts w:ascii="Arial" w:hAnsi="Arial" w:cs="Arial"/>
          <w:snapToGrid w:val="0"/>
          <w:color w:val="000000"/>
          <w:szCs w:val="22"/>
          <w:lang w:eastAsia="en-US"/>
        </w:rPr>
        <w:t xml:space="preserve"> Furthermore, additional appropriations to UNESCO’s Regular Programme were received by </w:t>
      </w:r>
      <w:r w:rsidR="00B01116">
        <w:rPr>
          <w:rFonts w:ascii="Arial" w:hAnsi="Arial" w:cs="Arial"/>
          <w:snapToGrid w:val="0"/>
          <w:color w:val="000000"/>
          <w:szCs w:val="22"/>
          <w:lang w:eastAsia="en-US"/>
        </w:rPr>
        <w:t>UNESCO</w:t>
      </w:r>
      <w:r>
        <w:rPr>
          <w:rFonts w:ascii="Arial" w:hAnsi="Arial" w:cs="Arial"/>
          <w:snapToGrid w:val="0"/>
          <w:color w:val="000000"/>
          <w:szCs w:val="22"/>
          <w:lang w:eastAsia="en-US"/>
        </w:rPr>
        <w:t xml:space="preserve"> from China (Almaty Office), Kazakhstan (Almaty Office), </w:t>
      </w:r>
      <w:r w:rsidRPr="005006BD">
        <w:rPr>
          <w:rFonts w:ascii="Arial" w:hAnsi="Arial" w:cs="Arial"/>
          <w:snapToGrid w:val="0"/>
          <w:color w:val="000000"/>
          <w:szCs w:val="22"/>
          <w:lang w:eastAsia="en-US"/>
        </w:rPr>
        <w:t>the International Information and Networking Centre for Intangible Cultural Heritage in the Asia-Pacific Region – ICHCAP</w:t>
      </w:r>
      <w:r>
        <w:rPr>
          <w:rFonts w:ascii="Arial" w:hAnsi="Arial" w:cs="Arial"/>
          <w:snapToGrid w:val="0"/>
          <w:color w:val="000000"/>
          <w:szCs w:val="22"/>
          <w:lang w:eastAsia="en-US"/>
        </w:rPr>
        <w:t xml:space="preserve"> (</w:t>
      </w:r>
      <w:r w:rsidR="00B01116">
        <w:rPr>
          <w:rFonts w:ascii="Arial" w:hAnsi="Arial" w:cs="Arial"/>
          <w:snapToGrid w:val="0"/>
          <w:color w:val="000000"/>
          <w:szCs w:val="22"/>
          <w:lang w:eastAsia="en-US"/>
        </w:rPr>
        <w:t xml:space="preserve">Headquarters, </w:t>
      </w:r>
      <w:r>
        <w:rPr>
          <w:rFonts w:ascii="Arial" w:hAnsi="Arial" w:cs="Arial"/>
          <w:snapToGrid w:val="0"/>
          <w:color w:val="000000"/>
          <w:szCs w:val="22"/>
          <w:lang w:eastAsia="en-US"/>
        </w:rPr>
        <w:t>Almaty Office) and a private individual (Tashkent Office).</w:t>
      </w:r>
    </w:p>
    <w:p w14:paraId="6C455A88" w14:textId="4A5133C0" w:rsidR="00126DEB" w:rsidRPr="00481E7B" w:rsidRDefault="00126DEB" w:rsidP="008844EA">
      <w:pPr>
        <w:numPr>
          <w:ilvl w:val="0"/>
          <w:numId w:val="8"/>
        </w:numPr>
        <w:ind w:left="567" w:hanging="567"/>
        <w:jc w:val="both"/>
      </w:pPr>
      <w:r w:rsidRPr="00481E7B">
        <w:rPr>
          <w:rFonts w:ascii="Arial" w:hAnsi="Arial" w:cs="Arial"/>
          <w:snapToGrid w:val="0"/>
          <w:color w:val="000000"/>
          <w:szCs w:val="22"/>
          <w:lang w:eastAsia="en-US"/>
        </w:rPr>
        <w:t xml:space="preserve">In addition to projects that contribute to the two funding priorities, contributors also provide support to a wide range of projects that directly link the safeguarding of living heritage to other types of heritage (movable heritage) and/or to specific areas of sustainable development such as </w:t>
      </w:r>
      <w:r w:rsidR="00557F01" w:rsidRPr="00481E7B">
        <w:rPr>
          <w:rFonts w:ascii="Arial" w:hAnsi="Arial" w:cs="Arial"/>
          <w:snapToGrid w:val="0"/>
          <w:color w:val="000000"/>
          <w:szCs w:val="22"/>
          <w:lang w:eastAsia="en-US"/>
        </w:rPr>
        <w:t>improving social protection</w:t>
      </w:r>
      <w:r w:rsidR="00557F01">
        <w:rPr>
          <w:rFonts w:ascii="Arial" w:hAnsi="Arial" w:cs="Arial"/>
          <w:snapToGrid w:val="0"/>
          <w:color w:val="000000"/>
          <w:szCs w:val="22"/>
          <w:lang w:eastAsia="en-US"/>
        </w:rPr>
        <w:t>,</w:t>
      </w:r>
      <w:r w:rsidR="00557F01" w:rsidRPr="00481E7B">
        <w:rPr>
          <w:rFonts w:ascii="Arial" w:hAnsi="Arial" w:cs="Arial"/>
          <w:snapToGrid w:val="0"/>
          <w:color w:val="000000"/>
          <w:szCs w:val="22"/>
          <w:lang w:eastAsia="en-US"/>
        </w:rPr>
        <w:t xml:space="preserve"> </w:t>
      </w:r>
      <w:r w:rsidRPr="00481E7B">
        <w:rPr>
          <w:rFonts w:ascii="Arial" w:hAnsi="Arial" w:cs="Arial"/>
          <w:snapToGrid w:val="0"/>
          <w:color w:val="000000"/>
          <w:szCs w:val="22"/>
          <w:lang w:eastAsia="en-US"/>
        </w:rPr>
        <w:t>developing creative industries, managing tourism, building peace or</w:t>
      </w:r>
      <w:r w:rsidR="00557F01">
        <w:rPr>
          <w:rFonts w:ascii="Arial" w:hAnsi="Arial" w:cs="Arial"/>
          <w:snapToGrid w:val="0"/>
          <w:color w:val="000000"/>
          <w:szCs w:val="22"/>
          <w:lang w:eastAsia="en-US"/>
        </w:rPr>
        <w:t xml:space="preserve"> enhancing human security at large</w:t>
      </w:r>
      <w:r w:rsidRPr="00481E7B">
        <w:rPr>
          <w:rFonts w:ascii="Arial" w:hAnsi="Arial" w:cs="Arial"/>
          <w:snapToGrid w:val="0"/>
          <w:color w:val="000000"/>
          <w:szCs w:val="22"/>
          <w:lang w:eastAsia="en-US"/>
        </w:rPr>
        <w:t>:</w:t>
      </w:r>
    </w:p>
    <w:p w14:paraId="3BAF11A9" w14:textId="7F23B264" w:rsidR="00126DEB" w:rsidRPr="00481E7B" w:rsidRDefault="00126DEB" w:rsidP="008844EA">
      <w:pPr>
        <w:numPr>
          <w:ilvl w:val="0"/>
          <w:numId w:val="21"/>
        </w:numPr>
        <w:ind w:left="1134" w:hanging="567"/>
        <w:jc w:val="both"/>
        <w:rPr>
          <w:rFonts w:asciiTheme="minorBidi" w:hAnsiTheme="minorBidi" w:cstheme="minorBidi"/>
          <w:szCs w:val="22"/>
        </w:rPr>
      </w:pPr>
      <w:r w:rsidRPr="00481E7B">
        <w:rPr>
          <w:rFonts w:asciiTheme="minorBidi" w:hAnsiTheme="minorBidi" w:cstheme="minorBidi"/>
          <w:snapToGrid w:val="0"/>
          <w:color w:val="000000"/>
          <w:szCs w:val="22"/>
          <w:lang w:eastAsia="en-US"/>
        </w:rPr>
        <w:t xml:space="preserve">Self-benefitting Funds-in-Trust agreements </w:t>
      </w:r>
      <w:r>
        <w:rPr>
          <w:rFonts w:asciiTheme="minorBidi" w:hAnsiTheme="minorBidi" w:cstheme="minorBidi"/>
          <w:snapToGrid w:val="0"/>
          <w:color w:val="000000"/>
          <w:szCs w:val="22"/>
          <w:lang w:eastAsia="en-US"/>
        </w:rPr>
        <w:t>supported</w:t>
      </w:r>
      <w:r w:rsidRPr="00481E7B">
        <w:rPr>
          <w:rFonts w:asciiTheme="minorBidi" w:hAnsiTheme="minorBidi" w:cstheme="minorBidi"/>
          <w:snapToGrid w:val="0"/>
          <w:color w:val="000000"/>
          <w:szCs w:val="22"/>
          <w:lang w:eastAsia="en-US"/>
        </w:rPr>
        <w:t xml:space="preserve"> </w:t>
      </w:r>
      <w:r>
        <w:rPr>
          <w:rFonts w:asciiTheme="minorBidi" w:hAnsiTheme="minorBidi" w:cstheme="minorBidi"/>
          <w:snapToGrid w:val="0"/>
          <w:color w:val="000000"/>
          <w:szCs w:val="22"/>
          <w:lang w:eastAsia="en-US"/>
        </w:rPr>
        <w:t>six</w:t>
      </w:r>
      <w:r w:rsidRPr="00481E7B">
        <w:rPr>
          <w:rFonts w:asciiTheme="minorBidi" w:hAnsiTheme="minorBidi" w:cstheme="minorBidi"/>
          <w:snapToGrid w:val="0"/>
          <w:color w:val="000000"/>
          <w:szCs w:val="22"/>
          <w:lang w:eastAsia="en-US"/>
        </w:rPr>
        <w:t xml:space="preserve"> projects thanks to contributions from Brazil (Brasilia Office)</w:t>
      </w:r>
      <w:r>
        <w:rPr>
          <w:rFonts w:asciiTheme="minorBidi" w:hAnsiTheme="minorBidi" w:cstheme="minorBidi"/>
          <w:snapToGrid w:val="0"/>
          <w:color w:val="000000"/>
          <w:szCs w:val="22"/>
          <w:lang w:eastAsia="en-US"/>
        </w:rPr>
        <w:t>, India (Delhi Office), Mexico (Mexico Office)</w:t>
      </w:r>
      <w:r w:rsidRPr="00481E7B">
        <w:rPr>
          <w:rFonts w:asciiTheme="minorBidi" w:hAnsiTheme="minorBidi" w:cstheme="minorBidi"/>
          <w:snapToGrid w:val="0"/>
          <w:color w:val="000000"/>
          <w:szCs w:val="22"/>
          <w:lang w:eastAsia="en-US"/>
        </w:rPr>
        <w:t xml:space="preserve"> and Morocco (Rabat Office);</w:t>
      </w:r>
    </w:p>
    <w:p w14:paraId="46455CC8" w14:textId="3B6250A1" w:rsidR="00126DEB" w:rsidRPr="008844EA" w:rsidRDefault="00126DEB" w:rsidP="008844EA">
      <w:pPr>
        <w:numPr>
          <w:ilvl w:val="0"/>
          <w:numId w:val="21"/>
        </w:numPr>
        <w:ind w:left="1134" w:hanging="567"/>
        <w:jc w:val="both"/>
        <w:rPr>
          <w:rFonts w:asciiTheme="minorBidi" w:hAnsiTheme="minorBidi" w:cstheme="minorBidi"/>
          <w:snapToGrid w:val="0"/>
          <w:color w:val="000000"/>
          <w:szCs w:val="22"/>
          <w:lang w:eastAsia="en-US"/>
        </w:rPr>
      </w:pPr>
      <w:r w:rsidRPr="00481E7B">
        <w:rPr>
          <w:rFonts w:asciiTheme="minorBidi" w:hAnsiTheme="minorBidi" w:cstheme="minorBidi"/>
          <w:snapToGrid w:val="0"/>
          <w:color w:val="000000"/>
          <w:szCs w:val="22"/>
          <w:lang w:eastAsia="en-US"/>
        </w:rPr>
        <w:t xml:space="preserve">Other Funds-in-Trust agreements established with </w:t>
      </w:r>
      <w:r>
        <w:rPr>
          <w:rFonts w:asciiTheme="minorBidi" w:hAnsiTheme="minorBidi" w:cstheme="minorBidi"/>
          <w:snapToGrid w:val="0"/>
          <w:color w:val="000000"/>
          <w:szCs w:val="22"/>
          <w:lang w:eastAsia="en-US"/>
        </w:rPr>
        <w:t>France (Quito Office), Norway (Juba Office), the United Nations including the United Nations Human Security Trust Fund (Hanoi, Libreville and Rabat Offices)</w:t>
      </w:r>
      <w:r w:rsidRPr="00481E7B">
        <w:rPr>
          <w:rFonts w:asciiTheme="minorBidi" w:hAnsiTheme="minorBidi" w:cstheme="minorBidi"/>
          <w:snapToGrid w:val="0"/>
          <w:color w:val="000000"/>
          <w:szCs w:val="22"/>
          <w:lang w:eastAsia="en-US"/>
        </w:rPr>
        <w:t xml:space="preserve"> </w:t>
      </w:r>
      <w:r>
        <w:rPr>
          <w:rFonts w:asciiTheme="minorBidi" w:hAnsiTheme="minorBidi" w:cstheme="minorBidi"/>
          <w:snapToGrid w:val="0"/>
          <w:color w:val="000000"/>
          <w:szCs w:val="22"/>
          <w:lang w:eastAsia="en-US"/>
        </w:rPr>
        <w:t xml:space="preserve">and the private sector in </w:t>
      </w:r>
      <w:r w:rsidR="00C545BB">
        <w:rPr>
          <w:rFonts w:asciiTheme="minorBidi" w:hAnsiTheme="minorBidi" w:cstheme="minorBidi"/>
          <w:snapToGrid w:val="0"/>
          <w:color w:val="000000"/>
          <w:szCs w:val="22"/>
          <w:lang w:eastAsia="en-US"/>
        </w:rPr>
        <w:t xml:space="preserve">the People’s Republic of </w:t>
      </w:r>
      <w:r>
        <w:rPr>
          <w:rFonts w:asciiTheme="minorBidi" w:hAnsiTheme="minorBidi" w:cstheme="minorBidi"/>
          <w:snapToGrid w:val="0"/>
          <w:color w:val="000000"/>
          <w:szCs w:val="22"/>
          <w:lang w:eastAsia="en-US"/>
        </w:rPr>
        <w:t xml:space="preserve">China (Bamako Office) </w:t>
      </w:r>
      <w:r w:rsidRPr="00481E7B">
        <w:rPr>
          <w:rFonts w:asciiTheme="minorBidi" w:hAnsiTheme="minorBidi" w:cstheme="minorBidi"/>
          <w:snapToGrid w:val="0"/>
          <w:color w:val="000000"/>
          <w:szCs w:val="22"/>
          <w:lang w:eastAsia="en-US"/>
        </w:rPr>
        <w:t xml:space="preserve">supported the implementation of </w:t>
      </w:r>
      <w:r>
        <w:rPr>
          <w:rFonts w:asciiTheme="minorBidi" w:hAnsiTheme="minorBidi" w:cstheme="minorBidi"/>
          <w:snapToGrid w:val="0"/>
          <w:color w:val="000000"/>
          <w:szCs w:val="22"/>
          <w:lang w:eastAsia="en-US"/>
        </w:rPr>
        <w:t>seven</w:t>
      </w:r>
      <w:r w:rsidRPr="00481E7B">
        <w:rPr>
          <w:rFonts w:asciiTheme="minorBidi" w:hAnsiTheme="minorBidi" w:cstheme="minorBidi"/>
          <w:snapToGrid w:val="0"/>
          <w:color w:val="000000"/>
          <w:szCs w:val="22"/>
          <w:lang w:eastAsia="en-US"/>
        </w:rPr>
        <w:t xml:space="preserve"> projects;</w:t>
      </w:r>
    </w:p>
    <w:p w14:paraId="6E053D12" w14:textId="30BBC206" w:rsidR="00126DEB" w:rsidRPr="008844EA" w:rsidRDefault="00126DEB" w:rsidP="008844EA">
      <w:pPr>
        <w:numPr>
          <w:ilvl w:val="0"/>
          <w:numId w:val="21"/>
        </w:numPr>
        <w:ind w:left="1134" w:hanging="567"/>
        <w:jc w:val="both"/>
        <w:rPr>
          <w:rFonts w:asciiTheme="minorBidi" w:hAnsiTheme="minorBidi" w:cstheme="minorBidi"/>
          <w:snapToGrid w:val="0"/>
          <w:color w:val="000000"/>
          <w:szCs w:val="22"/>
          <w:lang w:eastAsia="en-US"/>
        </w:rPr>
      </w:pPr>
      <w:r w:rsidRPr="00481E7B">
        <w:rPr>
          <w:rFonts w:asciiTheme="minorBidi" w:hAnsiTheme="minorBidi" w:cstheme="minorBidi"/>
          <w:snapToGrid w:val="0"/>
          <w:color w:val="000000"/>
          <w:szCs w:val="22"/>
          <w:lang w:eastAsia="en-US"/>
        </w:rPr>
        <w:t>Additional appropriations to UNESCO’s Regular Programme</w:t>
      </w:r>
      <w:r w:rsidR="006E30CC">
        <w:rPr>
          <w:rFonts w:asciiTheme="minorBidi" w:hAnsiTheme="minorBidi" w:cstheme="minorBidi"/>
          <w:snapToGrid w:val="0"/>
          <w:color w:val="000000"/>
          <w:szCs w:val="22"/>
          <w:lang w:eastAsia="en-US"/>
        </w:rPr>
        <w:t xml:space="preserve"> </w:t>
      </w:r>
      <w:r w:rsidRPr="00481E7B">
        <w:rPr>
          <w:rFonts w:asciiTheme="minorBidi" w:hAnsiTheme="minorBidi" w:cstheme="minorBidi"/>
          <w:snapToGrid w:val="0"/>
          <w:color w:val="000000"/>
          <w:szCs w:val="22"/>
          <w:lang w:eastAsia="en-US"/>
        </w:rPr>
        <w:t xml:space="preserve">received from </w:t>
      </w:r>
      <w:r w:rsidR="00B4380E">
        <w:rPr>
          <w:rFonts w:asciiTheme="minorBidi" w:hAnsiTheme="minorBidi" w:cstheme="minorBidi"/>
          <w:snapToGrid w:val="0"/>
          <w:color w:val="000000"/>
          <w:szCs w:val="22"/>
          <w:lang w:eastAsia="en-US"/>
        </w:rPr>
        <w:t xml:space="preserve">China (Headquarters), the Islamic Republic of Iran, </w:t>
      </w:r>
      <w:r w:rsidR="00B01116">
        <w:rPr>
          <w:rFonts w:asciiTheme="minorBidi" w:hAnsiTheme="minorBidi" w:cstheme="minorBidi"/>
          <w:snapToGrid w:val="0"/>
          <w:color w:val="000000"/>
          <w:szCs w:val="22"/>
          <w:lang w:eastAsia="en-US"/>
        </w:rPr>
        <w:t xml:space="preserve">the Netherlands (Headquarters), </w:t>
      </w:r>
      <w:r w:rsidR="00B4380E">
        <w:rPr>
          <w:rFonts w:asciiTheme="minorBidi" w:hAnsiTheme="minorBidi" w:cstheme="minorBidi"/>
          <w:snapToGrid w:val="0"/>
          <w:color w:val="000000"/>
          <w:szCs w:val="22"/>
          <w:lang w:eastAsia="en-US"/>
        </w:rPr>
        <w:t xml:space="preserve">the United Arab Emirates (Headquarters), </w:t>
      </w:r>
      <w:r w:rsidRPr="00481E7B">
        <w:rPr>
          <w:rFonts w:asciiTheme="minorBidi" w:hAnsiTheme="minorBidi" w:cstheme="minorBidi"/>
          <w:snapToGrid w:val="0"/>
          <w:color w:val="000000"/>
          <w:szCs w:val="22"/>
          <w:lang w:eastAsia="en-US"/>
        </w:rPr>
        <w:t xml:space="preserve">Uruguay (Montevideo Office), </w:t>
      </w:r>
      <w:r w:rsidR="00FB7C78">
        <w:rPr>
          <w:rFonts w:ascii="Arial" w:hAnsi="Arial" w:cs="Arial"/>
          <w:snapToGrid w:val="0"/>
          <w:szCs w:val="22"/>
          <w:lang w:eastAsia="en-US"/>
        </w:rPr>
        <w:t xml:space="preserve">the </w:t>
      </w:r>
      <w:r w:rsidR="00FB7C78" w:rsidRPr="00FD0A9A">
        <w:rPr>
          <w:rFonts w:ascii="Arial" w:hAnsi="Arial" w:cs="Arial"/>
          <w:snapToGrid w:val="0"/>
          <w:szCs w:val="22"/>
          <w:lang w:eastAsia="en-US"/>
        </w:rPr>
        <w:t xml:space="preserve">Regional Centre for the Safeguarding of the Intangible Cultural Heritage of Latin America </w:t>
      </w:r>
      <w:r w:rsidR="00FB7C78">
        <w:rPr>
          <w:rFonts w:ascii="Arial" w:hAnsi="Arial" w:cs="Arial"/>
          <w:snapToGrid w:val="0"/>
          <w:szCs w:val="22"/>
          <w:lang w:eastAsia="en-US"/>
        </w:rPr>
        <w:t xml:space="preserve">- </w:t>
      </w:r>
      <w:r w:rsidR="00FB7C78" w:rsidRPr="00FD0A9A">
        <w:rPr>
          <w:rFonts w:ascii="Arial" w:hAnsi="Arial" w:cs="Arial"/>
          <w:snapToGrid w:val="0"/>
          <w:szCs w:val="22"/>
          <w:lang w:eastAsia="en-US"/>
        </w:rPr>
        <w:t>CRESPIAL</w:t>
      </w:r>
      <w:r w:rsidR="00FB7C78">
        <w:rPr>
          <w:rFonts w:ascii="Arial" w:hAnsi="Arial" w:cs="Arial"/>
          <w:snapToGrid w:val="0"/>
          <w:szCs w:val="22"/>
          <w:lang w:eastAsia="en-US"/>
        </w:rPr>
        <w:t xml:space="preserve">, </w:t>
      </w:r>
      <w:r w:rsidRPr="008844EA">
        <w:rPr>
          <w:rFonts w:asciiTheme="minorBidi" w:hAnsiTheme="minorBidi" w:cstheme="minorBidi"/>
          <w:snapToGrid w:val="0"/>
          <w:color w:val="000000"/>
          <w:szCs w:val="22"/>
          <w:lang w:eastAsia="en-US"/>
        </w:rPr>
        <w:t xml:space="preserve">the International Information and Networking Centre for Intangible Cultural Heritage in the Asia-Pacific Region – ICHCAP (Beijing and Dhaka Offices), </w:t>
      </w:r>
      <w:r>
        <w:rPr>
          <w:rFonts w:asciiTheme="minorBidi" w:hAnsiTheme="minorBidi" w:cstheme="minorBidi"/>
          <w:snapToGrid w:val="0"/>
          <w:color w:val="000000"/>
          <w:szCs w:val="22"/>
          <w:lang w:eastAsia="en-US"/>
        </w:rPr>
        <w:t xml:space="preserve">Centro </w:t>
      </w:r>
      <w:r w:rsidR="004B008B">
        <w:rPr>
          <w:rFonts w:asciiTheme="minorBidi" w:hAnsiTheme="minorBidi" w:cstheme="minorBidi"/>
          <w:snapToGrid w:val="0"/>
          <w:color w:val="000000"/>
          <w:szCs w:val="22"/>
          <w:lang w:eastAsia="en-US"/>
        </w:rPr>
        <w:t xml:space="preserve">de </w:t>
      </w:r>
      <w:r>
        <w:rPr>
          <w:rFonts w:asciiTheme="minorBidi" w:hAnsiTheme="minorBidi" w:cstheme="minorBidi"/>
          <w:snapToGrid w:val="0"/>
          <w:color w:val="000000"/>
          <w:szCs w:val="22"/>
          <w:lang w:eastAsia="en-US"/>
        </w:rPr>
        <w:t>Desarollo y Autogesti</w:t>
      </w:r>
      <w:r w:rsidR="004B008B">
        <w:rPr>
          <w:rFonts w:asciiTheme="minorBidi" w:hAnsiTheme="minorBidi" w:cstheme="minorBidi"/>
          <w:snapToGrid w:val="0"/>
          <w:color w:val="000000"/>
          <w:szCs w:val="22"/>
          <w:lang w:eastAsia="en-US"/>
        </w:rPr>
        <w:t>ó</w:t>
      </w:r>
      <w:r>
        <w:rPr>
          <w:rFonts w:asciiTheme="minorBidi" w:hAnsiTheme="minorBidi" w:cstheme="minorBidi"/>
          <w:snapToGrid w:val="0"/>
          <w:color w:val="000000"/>
          <w:szCs w:val="22"/>
          <w:lang w:eastAsia="en-US"/>
        </w:rPr>
        <w:t>n</w:t>
      </w:r>
      <w:r w:rsidRPr="00481E7B">
        <w:rPr>
          <w:rFonts w:asciiTheme="minorBidi" w:hAnsiTheme="minorBidi" w:cstheme="minorBidi"/>
          <w:snapToGrid w:val="0"/>
          <w:color w:val="000000"/>
          <w:szCs w:val="22"/>
          <w:lang w:eastAsia="en-US"/>
        </w:rPr>
        <w:t xml:space="preserve"> (</w:t>
      </w:r>
      <w:r>
        <w:rPr>
          <w:rFonts w:asciiTheme="minorBidi" w:hAnsiTheme="minorBidi" w:cstheme="minorBidi"/>
          <w:snapToGrid w:val="0"/>
          <w:color w:val="000000"/>
          <w:szCs w:val="22"/>
          <w:lang w:eastAsia="en-US"/>
        </w:rPr>
        <w:t>Lima</w:t>
      </w:r>
      <w:r w:rsidRPr="00481E7B">
        <w:rPr>
          <w:rFonts w:asciiTheme="minorBidi" w:hAnsiTheme="minorBidi" w:cstheme="minorBidi"/>
          <w:snapToGrid w:val="0"/>
          <w:color w:val="000000"/>
          <w:szCs w:val="22"/>
          <w:lang w:eastAsia="en-US"/>
        </w:rPr>
        <w:t xml:space="preserve"> Office) and </w:t>
      </w:r>
      <w:r>
        <w:rPr>
          <w:rFonts w:asciiTheme="minorBidi" w:hAnsiTheme="minorBidi" w:cstheme="minorBidi"/>
          <w:snapToGrid w:val="0"/>
          <w:color w:val="000000"/>
          <w:szCs w:val="22"/>
          <w:lang w:eastAsia="en-US"/>
        </w:rPr>
        <w:t>Santillana</w:t>
      </w:r>
      <w:r w:rsidRPr="00481E7B">
        <w:rPr>
          <w:rFonts w:asciiTheme="minorBidi" w:hAnsiTheme="minorBidi" w:cstheme="minorBidi"/>
          <w:snapToGrid w:val="0"/>
          <w:color w:val="000000"/>
          <w:szCs w:val="22"/>
          <w:lang w:eastAsia="en-US"/>
        </w:rPr>
        <w:t xml:space="preserve"> (</w:t>
      </w:r>
      <w:r>
        <w:rPr>
          <w:rFonts w:asciiTheme="minorBidi" w:hAnsiTheme="minorBidi" w:cstheme="minorBidi"/>
          <w:snapToGrid w:val="0"/>
          <w:color w:val="000000"/>
          <w:szCs w:val="22"/>
          <w:lang w:eastAsia="en-US"/>
        </w:rPr>
        <w:t>Lima</w:t>
      </w:r>
      <w:r w:rsidRPr="00481E7B">
        <w:rPr>
          <w:rFonts w:asciiTheme="minorBidi" w:hAnsiTheme="minorBidi" w:cstheme="minorBidi"/>
          <w:snapToGrid w:val="0"/>
          <w:color w:val="000000"/>
          <w:szCs w:val="22"/>
          <w:lang w:eastAsia="en-US"/>
        </w:rPr>
        <w:t xml:space="preserve"> Office) – supported UNESCO Field Offices in the implementation of </w:t>
      </w:r>
      <w:r w:rsidR="007641EA">
        <w:rPr>
          <w:rFonts w:asciiTheme="minorBidi" w:hAnsiTheme="minorBidi" w:cstheme="minorBidi"/>
          <w:snapToGrid w:val="0"/>
          <w:color w:val="000000"/>
          <w:szCs w:val="22"/>
          <w:lang w:eastAsia="en-US"/>
        </w:rPr>
        <w:t xml:space="preserve">twelve </w:t>
      </w:r>
      <w:r w:rsidRPr="00481E7B">
        <w:rPr>
          <w:rFonts w:asciiTheme="minorBidi" w:hAnsiTheme="minorBidi" w:cstheme="minorBidi"/>
          <w:snapToGrid w:val="0"/>
          <w:color w:val="000000"/>
          <w:szCs w:val="22"/>
          <w:lang w:eastAsia="en-US"/>
        </w:rPr>
        <w:t>activities.</w:t>
      </w:r>
    </w:p>
    <w:p w14:paraId="465B8995" w14:textId="3A157F12" w:rsidR="005720E3" w:rsidRDefault="00C4105F" w:rsidP="00114729">
      <w:pPr>
        <w:pStyle w:val="ListParagraph"/>
        <w:numPr>
          <w:ilvl w:val="0"/>
          <w:numId w:val="15"/>
        </w:numPr>
        <w:spacing w:before="240"/>
        <w:ind w:left="562" w:hanging="562"/>
        <w:contextualSpacing/>
        <w:rPr>
          <w:b/>
        </w:rPr>
      </w:pPr>
      <w:r>
        <w:rPr>
          <w:b/>
        </w:rPr>
        <w:t>Proposed</w:t>
      </w:r>
      <w:r w:rsidR="00ED5D06">
        <w:rPr>
          <w:b/>
        </w:rPr>
        <w:t xml:space="preserve"> funding priorities</w:t>
      </w:r>
      <w:r>
        <w:rPr>
          <w:b/>
        </w:rPr>
        <w:t xml:space="preserve"> (2022 – 2025)</w:t>
      </w:r>
    </w:p>
    <w:p w14:paraId="63BDEB26" w14:textId="008421D0" w:rsidR="001C3CF6" w:rsidRPr="00C4105F" w:rsidRDefault="00004349" w:rsidP="00125CDA">
      <w:pPr>
        <w:keepNext/>
        <w:numPr>
          <w:ilvl w:val="0"/>
          <w:numId w:val="8"/>
        </w:numPr>
        <w:ind w:left="567" w:hanging="567"/>
        <w:jc w:val="both"/>
        <w:rPr>
          <w:rFonts w:asciiTheme="minorBidi" w:hAnsiTheme="minorBidi" w:cstheme="minorBidi"/>
        </w:rPr>
      </w:pPr>
      <w:r w:rsidRPr="00C4105F">
        <w:rPr>
          <w:rFonts w:asciiTheme="minorBidi" w:hAnsiTheme="minorBidi" w:cstheme="minorBidi"/>
        </w:rPr>
        <w:t xml:space="preserve">The framework that guided donors to provide voluntary contributions to the Fund </w:t>
      </w:r>
      <w:r w:rsidR="00AC49E6" w:rsidRPr="00C4105F">
        <w:rPr>
          <w:rFonts w:asciiTheme="minorBidi" w:hAnsiTheme="minorBidi" w:cstheme="minorBidi"/>
        </w:rPr>
        <w:t xml:space="preserve">over the past four years </w:t>
      </w:r>
      <w:r w:rsidRPr="00C4105F">
        <w:rPr>
          <w:rFonts w:asciiTheme="minorBidi" w:hAnsiTheme="minorBidi" w:cstheme="minorBidi"/>
        </w:rPr>
        <w:t xml:space="preserve">and enabled the Committee to accept projects between its sessions expires at the end of </w:t>
      </w:r>
      <w:r w:rsidR="00895CB1" w:rsidRPr="00C4105F">
        <w:rPr>
          <w:rFonts w:asciiTheme="minorBidi" w:hAnsiTheme="minorBidi" w:cstheme="minorBidi"/>
        </w:rPr>
        <w:t>2021</w:t>
      </w:r>
      <w:r w:rsidR="007F6BC4">
        <w:rPr>
          <w:rFonts w:asciiTheme="minorBidi" w:hAnsiTheme="minorBidi" w:cstheme="minorBidi"/>
        </w:rPr>
        <w:t>.</w:t>
      </w:r>
      <w:r w:rsidRPr="00C4105F">
        <w:rPr>
          <w:rFonts w:asciiTheme="minorBidi" w:hAnsiTheme="minorBidi" w:cstheme="minorBidi"/>
        </w:rPr>
        <w:t xml:space="preserve"> </w:t>
      </w:r>
      <w:r w:rsidR="007F6BC4">
        <w:rPr>
          <w:rFonts w:asciiTheme="minorBidi" w:hAnsiTheme="minorBidi" w:cstheme="minorBidi"/>
        </w:rPr>
        <w:t>A</w:t>
      </w:r>
      <w:r w:rsidRPr="00C4105F">
        <w:rPr>
          <w:rFonts w:asciiTheme="minorBidi" w:hAnsiTheme="minorBidi" w:cstheme="minorBidi"/>
        </w:rPr>
        <w:t xml:space="preserve"> new framework therefore needs to be adopted by the Committee in this regard. </w:t>
      </w:r>
      <w:r w:rsidR="00A95970" w:rsidRPr="00C4105F">
        <w:rPr>
          <w:rFonts w:asciiTheme="minorBidi" w:hAnsiTheme="minorBidi" w:cstheme="minorBidi"/>
        </w:rPr>
        <w:t>In line with the</w:t>
      </w:r>
      <w:r w:rsidRPr="00C4105F">
        <w:rPr>
          <w:rFonts w:asciiTheme="minorBidi" w:hAnsiTheme="minorBidi" w:cstheme="minorBidi"/>
        </w:rPr>
        <w:t xml:space="preserve"> draft programme and budget (</w:t>
      </w:r>
      <w:hyperlink r:id="rId31" w:history="1">
        <w:r w:rsidR="00A95970" w:rsidRPr="001F799E">
          <w:rPr>
            <w:rStyle w:val="Hyperlink"/>
            <w:rFonts w:asciiTheme="minorBidi" w:hAnsiTheme="minorBidi" w:cstheme="minorBidi"/>
          </w:rPr>
          <w:t>41</w:t>
        </w:r>
        <w:r w:rsidRPr="001F799E">
          <w:rPr>
            <w:rStyle w:val="Hyperlink"/>
            <w:rFonts w:asciiTheme="minorBidi" w:hAnsiTheme="minorBidi" w:cstheme="minorBidi"/>
          </w:rPr>
          <w:t> C/5</w:t>
        </w:r>
      </w:hyperlink>
      <w:r w:rsidRPr="00C4105F">
        <w:rPr>
          <w:rFonts w:asciiTheme="minorBidi" w:hAnsiTheme="minorBidi" w:cstheme="minorBidi"/>
        </w:rPr>
        <w:t xml:space="preserve">) of UNESCO </w:t>
      </w:r>
      <w:r w:rsidR="00A95970" w:rsidRPr="00C4105F">
        <w:rPr>
          <w:rFonts w:asciiTheme="minorBidi" w:hAnsiTheme="minorBidi" w:cstheme="minorBidi"/>
        </w:rPr>
        <w:t>which continues to be</w:t>
      </w:r>
      <w:r w:rsidRPr="00C4105F">
        <w:rPr>
          <w:rFonts w:asciiTheme="minorBidi" w:hAnsiTheme="minorBidi" w:cstheme="minorBidi"/>
        </w:rPr>
        <w:t xml:space="preserve"> based on an Integrated Budget Framework that sets out the </w:t>
      </w:r>
      <w:r w:rsidR="00A95970" w:rsidRPr="00C4105F">
        <w:rPr>
          <w:rFonts w:asciiTheme="minorBidi" w:hAnsiTheme="minorBidi" w:cstheme="minorBidi"/>
        </w:rPr>
        <w:t>O</w:t>
      </w:r>
      <w:r w:rsidRPr="00C4105F">
        <w:rPr>
          <w:rFonts w:asciiTheme="minorBidi" w:hAnsiTheme="minorBidi" w:cstheme="minorBidi"/>
        </w:rPr>
        <w:t>rganization’s overall funding requirements</w:t>
      </w:r>
      <w:r w:rsidR="00A95970" w:rsidRPr="00C4105F">
        <w:rPr>
          <w:rFonts w:asciiTheme="minorBidi" w:hAnsiTheme="minorBidi" w:cstheme="minorBidi"/>
        </w:rPr>
        <w:t xml:space="preserve"> and</w:t>
      </w:r>
      <w:r w:rsidRPr="00C4105F">
        <w:rPr>
          <w:rFonts w:asciiTheme="minorBidi" w:hAnsiTheme="minorBidi" w:cstheme="minorBidi"/>
        </w:rPr>
        <w:t xml:space="preserve"> therefore guide</w:t>
      </w:r>
      <w:r w:rsidR="007F0E84">
        <w:rPr>
          <w:rFonts w:asciiTheme="minorBidi" w:hAnsiTheme="minorBidi" w:cstheme="minorBidi"/>
        </w:rPr>
        <w:t>s</w:t>
      </w:r>
      <w:r w:rsidRPr="00C4105F">
        <w:rPr>
          <w:rFonts w:asciiTheme="minorBidi" w:hAnsiTheme="minorBidi" w:cstheme="minorBidi"/>
        </w:rPr>
        <w:t xml:space="preserve"> all support to UNESCO, including the 2003 Convention</w:t>
      </w:r>
      <w:r w:rsidR="00A95970" w:rsidRPr="00C4105F">
        <w:rPr>
          <w:rFonts w:asciiTheme="minorBidi" w:hAnsiTheme="minorBidi" w:cstheme="minorBidi"/>
        </w:rPr>
        <w:t>, t</w:t>
      </w:r>
      <w:r w:rsidRPr="00C4105F">
        <w:rPr>
          <w:rFonts w:asciiTheme="minorBidi" w:hAnsiTheme="minorBidi" w:cstheme="minorBidi"/>
        </w:rPr>
        <w:t xml:space="preserve">he Secretariat </w:t>
      </w:r>
      <w:r w:rsidR="00C63F65" w:rsidRPr="00C4105F">
        <w:rPr>
          <w:rFonts w:asciiTheme="minorBidi" w:hAnsiTheme="minorBidi" w:cstheme="minorBidi"/>
        </w:rPr>
        <w:t xml:space="preserve">proposes to maintain the </w:t>
      </w:r>
      <w:r w:rsidR="004B008B">
        <w:rPr>
          <w:rFonts w:asciiTheme="minorBidi" w:hAnsiTheme="minorBidi" w:cstheme="minorBidi"/>
        </w:rPr>
        <w:t>following</w:t>
      </w:r>
      <w:r w:rsidR="004B008B" w:rsidRPr="00C4105F">
        <w:rPr>
          <w:rFonts w:asciiTheme="minorBidi" w:hAnsiTheme="minorBidi" w:cstheme="minorBidi"/>
        </w:rPr>
        <w:t xml:space="preserve"> </w:t>
      </w:r>
      <w:r w:rsidRPr="00C4105F">
        <w:rPr>
          <w:rFonts w:asciiTheme="minorBidi" w:hAnsiTheme="minorBidi" w:cstheme="minorBidi"/>
        </w:rPr>
        <w:t>two main funding priorities</w:t>
      </w:r>
      <w:r w:rsidR="00C63F65" w:rsidRPr="00C4105F">
        <w:rPr>
          <w:rFonts w:asciiTheme="minorBidi" w:hAnsiTheme="minorBidi" w:cstheme="minorBidi"/>
        </w:rPr>
        <w:t xml:space="preserve"> for the period 2022-2025 as described in the updated concept notes</w:t>
      </w:r>
      <w:r w:rsidRPr="00C4105F">
        <w:rPr>
          <w:rFonts w:asciiTheme="minorBidi" w:hAnsiTheme="minorBidi" w:cstheme="minorBidi"/>
        </w:rPr>
        <w:t xml:space="preserve"> (Annex II)</w:t>
      </w:r>
      <w:r w:rsidR="001C3CF6">
        <w:rPr>
          <w:rFonts w:asciiTheme="minorBidi" w:hAnsiTheme="minorBidi" w:cstheme="minorBidi"/>
        </w:rPr>
        <w:t>.</w:t>
      </w:r>
    </w:p>
    <w:p w14:paraId="37A03275" w14:textId="1A4C2F11" w:rsidR="001C3CF6" w:rsidRPr="00F9579A" w:rsidRDefault="00F82525" w:rsidP="00F82525">
      <w:pPr>
        <w:keepNext/>
        <w:numPr>
          <w:ilvl w:val="0"/>
          <w:numId w:val="8"/>
        </w:numPr>
        <w:ind w:left="567" w:hanging="567"/>
        <w:jc w:val="both"/>
        <w:rPr>
          <w:rFonts w:asciiTheme="minorBidi" w:hAnsiTheme="minorBidi" w:cstheme="minorBidi"/>
        </w:rPr>
      </w:pPr>
      <w:r>
        <w:rPr>
          <w:rFonts w:asciiTheme="minorBidi" w:hAnsiTheme="minorBidi" w:cstheme="minorBidi"/>
        </w:rPr>
        <w:t xml:space="preserve">The proposed </w:t>
      </w:r>
      <w:r w:rsidR="0086304A" w:rsidRPr="00F9579A">
        <w:rPr>
          <w:rFonts w:asciiTheme="minorBidi" w:hAnsiTheme="minorBidi" w:cstheme="minorBidi"/>
        </w:rPr>
        <w:t>Priority 1</w:t>
      </w:r>
      <w:r>
        <w:rPr>
          <w:rFonts w:asciiTheme="minorBidi" w:hAnsiTheme="minorBidi" w:cstheme="minorBidi"/>
        </w:rPr>
        <w:t xml:space="preserve"> </w:t>
      </w:r>
      <w:r w:rsidR="000173B5">
        <w:rPr>
          <w:rFonts w:asciiTheme="minorBidi" w:hAnsiTheme="minorBidi" w:cstheme="minorBidi"/>
        </w:rPr>
        <w:t xml:space="preserve">– </w:t>
      </w:r>
      <w:r w:rsidR="0086304A" w:rsidRPr="00F9579A">
        <w:rPr>
          <w:rFonts w:asciiTheme="minorBidi" w:hAnsiTheme="minorBidi" w:cstheme="minorBidi"/>
        </w:rPr>
        <w:t>‘</w:t>
      </w:r>
      <w:hyperlink w:anchor="Priority1" w:history="1">
        <w:r w:rsidR="00DA4D16" w:rsidRPr="00DA4D16">
          <w:rPr>
            <w:rStyle w:val="Hyperlink"/>
            <w:rFonts w:asciiTheme="minorBidi" w:hAnsiTheme="minorBidi" w:cstheme="minorBidi"/>
          </w:rPr>
          <w:t>Strengthening capacities to safeguard intangible cultural heritage using multi-modal approaches and contribute to sustainable development</w:t>
        </w:r>
      </w:hyperlink>
      <w:r w:rsidR="0086304A" w:rsidRPr="00F9579A">
        <w:rPr>
          <w:rFonts w:asciiTheme="minorBidi" w:hAnsiTheme="minorBidi" w:cstheme="minorBidi"/>
        </w:rPr>
        <w:t>’</w:t>
      </w:r>
      <w:r w:rsidR="00004349" w:rsidRPr="00F9579A">
        <w:rPr>
          <w:rFonts w:asciiTheme="minorBidi" w:hAnsiTheme="minorBidi" w:cstheme="minorBidi"/>
        </w:rPr>
        <w:t xml:space="preserve"> </w:t>
      </w:r>
      <w:r w:rsidR="000173B5">
        <w:rPr>
          <w:rFonts w:asciiTheme="minorBidi" w:hAnsiTheme="minorBidi" w:cstheme="minorBidi"/>
        </w:rPr>
        <w:t>–</w:t>
      </w:r>
      <w:r>
        <w:rPr>
          <w:rFonts w:asciiTheme="minorBidi" w:hAnsiTheme="minorBidi" w:cstheme="minorBidi"/>
        </w:rPr>
        <w:t xml:space="preserve"> </w:t>
      </w:r>
      <w:r w:rsidR="00C4105F" w:rsidRPr="00F9579A">
        <w:rPr>
          <w:rFonts w:asciiTheme="minorBidi" w:hAnsiTheme="minorBidi" w:cstheme="minorBidi"/>
        </w:rPr>
        <w:t xml:space="preserve">aims </w:t>
      </w:r>
      <w:r w:rsidR="00004349" w:rsidRPr="00F9579A">
        <w:rPr>
          <w:rFonts w:asciiTheme="minorBidi" w:hAnsiTheme="minorBidi" w:cstheme="minorBidi"/>
        </w:rPr>
        <w:t>to continue efforts to extend the reach and effectiveness of the global capacity</w:t>
      </w:r>
      <w:r w:rsidR="00004349" w:rsidRPr="00F9579A">
        <w:rPr>
          <w:rFonts w:asciiTheme="minorBidi" w:hAnsiTheme="minorBidi" w:cstheme="minorBidi"/>
        </w:rPr>
        <w:noBreakHyphen/>
        <w:t xml:space="preserve">building </w:t>
      </w:r>
      <w:r w:rsidR="00C63F65" w:rsidRPr="00F9579A">
        <w:rPr>
          <w:rFonts w:asciiTheme="minorBidi" w:hAnsiTheme="minorBidi" w:cstheme="minorBidi"/>
        </w:rPr>
        <w:t>programme</w:t>
      </w:r>
      <w:r w:rsidR="00C4105F" w:rsidRPr="00F9579A">
        <w:rPr>
          <w:rFonts w:asciiTheme="minorBidi" w:hAnsiTheme="minorBidi" w:cstheme="minorBidi"/>
        </w:rPr>
        <w:t>,</w:t>
      </w:r>
      <w:r>
        <w:rPr>
          <w:rFonts w:asciiTheme="minorBidi" w:hAnsiTheme="minorBidi" w:cstheme="minorBidi"/>
        </w:rPr>
        <w:t xml:space="preserve"> which was first </w:t>
      </w:r>
      <w:r w:rsidR="00AA49A6">
        <w:rPr>
          <w:rFonts w:asciiTheme="minorBidi" w:hAnsiTheme="minorBidi" w:cstheme="minorBidi"/>
        </w:rPr>
        <w:t>put in place</w:t>
      </w:r>
      <w:r>
        <w:rPr>
          <w:rFonts w:asciiTheme="minorBidi" w:hAnsiTheme="minorBidi" w:cstheme="minorBidi"/>
        </w:rPr>
        <w:t xml:space="preserve"> in</w:t>
      </w:r>
      <w:r w:rsidR="00AA49A6">
        <w:rPr>
          <w:rFonts w:asciiTheme="minorBidi" w:hAnsiTheme="minorBidi" w:cstheme="minorBidi"/>
        </w:rPr>
        <w:t xml:space="preserve"> 2009 and since then provided support to States and communities in more than </w:t>
      </w:r>
      <w:r w:rsidR="00080AAA">
        <w:rPr>
          <w:rFonts w:asciiTheme="minorBidi" w:hAnsiTheme="minorBidi" w:cstheme="minorBidi"/>
        </w:rPr>
        <w:t>9</w:t>
      </w:r>
      <w:r w:rsidR="001F799E">
        <w:rPr>
          <w:rFonts w:asciiTheme="minorBidi" w:hAnsiTheme="minorBidi" w:cstheme="minorBidi"/>
        </w:rPr>
        <w:t>5</w:t>
      </w:r>
      <w:r w:rsidR="00AA49A6">
        <w:rPr>
          <w:rFonts w:asciiTheme="minorBidi" w:hAnsiTheme="minorBidi" w:cstheme="minorBidi"/>
        </w:rPr>
        <w:t xml:space="preserve"> countries. During the 2022</w:t>
      </w:r>
      <w:r w:rsidR="000759E0">
        <w:rPr>
          <w:rFonts w:asciiTheme="minorBidi" w:hAnsiTheme="minorBidi" w:cstheme="minorBidi"/>
        </w:rPr>
        <w:t>–</w:t>
      </w:r>
      <w:r w:rsidR="00AA49A6">
        <w:rPr>
          <w:rFonts w:asciiTheme="minorBidi" w:hAnsiTheme="minorBidi" w:cstheme="minorBidi"/>
        </w:rPr>
        <w:t>2025</w:t>
      </w:r>
      <w:r w:rsidR="000759E0">
        <w:rPr>
          <w:rFonts w:asciiTheme="minorBidi" w:hAnsiTheme="minorBidi" w:cstheme="minorBidi"/>
        </w:rPr>
        <w:t xml:space="preserve"> </w:t>
      </w:r>
      <w:r w:rsidR="00AA49A6">
        <w:rPr>
          <w:rFonts w:asciiTheme="minorBidi" w:hAnsiTheme="minorBidi" w:cstheme="minorBidi"/>
        </w:rPr>
        <w:t xml:space="preserve">quadrennium, focus will be placed on expanding the </w:t>
      </w:r>
      <w:r w:rsidR="00080AAA">
        <w:rPr>
          <w:rFonts w:asciiTheme="minorBidi" w:hAnsiTheme="minorBidi" w:cstheme="minorBidi"/>
        </w:rPr>
        <w:t xml:space="preserve">geographical and </w:t>
      </w:r>
      <w:r w:rsidR="00AA49A6">
        <w:rPr>
          <w:rFonts w:asciiTheme="minorBidi" w:hAnsiTheme="minorBidi" w:cstheme="minorBidi"/>
        </w:rPr>
        <w:t>thematic scope of the programme</w:t>
      </w:r>
      <w:r w:rsidR="00080AAA">
        <w:rPr>
          <w:rFonts w:asciiTheme="minorBidi" w:hAnsiTheme="minorBidi" w:cstheme="minorBidi"/>
        </w:rPr>
        <w:t>, in collaboration with a diverse range of partners (</w:t>
      </w:r>
      <w:r w:rsidR="00080AAA" w:rsidRPr="00080AAA">
        <w:rPr>
          <w:rFonts w:asciiTheme="minorBidi" w:hAnsiTheme="minorBidi" w:cstheme="minorBidi"/>
        </w:rPr>
        <w:t>category 2 centres, university networks</w:t>
      </w:r>
      <w:r w:rsidR="00080AAA">
        <w:rPr>
          <w:rFonts w:asciiTheme="minorBidi" w:hAnsiTheme="minorBidi" w:cstheme="minorBidi"/>
        </w:rPr>
        <w:t>,</w:t>
      </w:r>
      <w:r w:rsidR="00080AAA" w:rsidRPr="00080AAA">
        <w:rPr>
          <w:rFonts w:asciiTheme="minorBidi" w:hAnsiTheme="minorBidi" w:cstheme="minorBidi"/>
        </w:rPr>
        <w:t xml:space="preserve"> </w:t>
      </w:r>
      <w:r w:rsidR="00080AAA">
        <w:rPr>
          <w:rFonts w:asciiTheme="minorBidi" w:hAnsiTheme="minorBidi" w:cstheme="minorBidi"/>
        </w:rPr>
        <w:t>non-governmental organizations)</w:t>
      </w:r>
      <w:r w:rsidR="002E7C83">
        <w:rPr>
          <w:rFonts w:asciiTheme="minorBidi" w:hAnsiTheme="minorBidi" w:cstheme="minorBidi"/>
        </w:rPr>
        <w:t>.</w:t>
      </w:r>
      <w:r w:rsidR="00AA49A6">
        <w:rPr>
          <w:rFonts w:asciiTheme="minorBidi" w:hAnsiTheme="minorBidi" w:cstheme="minorBidi"/>
        </w:rPr>
        <w:t xml:space="preserve"> </w:t>
      </w:r>
      <w:r w:rsidR="002E7C83">
        <w:rPr>
          <w:rFonts w:asciiTheme="minorBidi" w:hAnsiTheme="minorBidi" w:cstheme="minorBidi"/>
        </w:rPr>
        <w:t>In response to the challenges raised by the COVID-19 pandemic and</w:t>
      </w:r>
      <w:r w:rsidR="00080AAA">
        <w:rPr>
          <w:rFonts w:asciiTheme="minorBidi" w:hAnsiTheme="minorBidi" w:cstheme="minorBidi"/>
        </w:rPr>
        <w:t xml:space="preserve"> related restrictions,</w:t>
      </w:r>
      <w:r w:rsidR="002E7C83">
        <w:rPr>
          <w:rFonts w:asciiTheme="minorBidi" w:hAnsiTheme="minorBidi" w:cstheme="minorBidi"/>
        </w:rPr>
        <w:t xml:space="preserve"> </w:t>
      </w:r>
      <w:r w:rsidR="00080AAA" w:rsidRPr="00080AAA">
        <w:rPr>
          <w:rFonts w:asciiTheme="minorBidi" w:hAnsiTheme="minorBidi" w:cstheme="minorBidi"/>
        </w:rPr>
        <w:t>a strategic reorient</w:t>
      </w:r>
      <w:r w:rsidR="00080AAA">
        <w:rPr>
          <w:rFonts w:asciiTheme="minorBidi" w:hAnsiTheme="minorBidi" w:cstheme="minorBidi"/>
        </w:rPr>
        <w:t>ation</w:t>
      </w:r>
      <w:r w:rsidR="00080AAA" w:rsidRPr="00080AAA">
        <w:rPr>
          <w:rFonts w:asciiTheme="minorBidi" w:hAnsiTheme="minorBidi" w:cstheme="minorBidi"/>
        </w:rPr>
        <w:t xml:space="preserve"> of the programme to a multi-modal deliver</w:t>
      </w:r>
      <w:r w:rsidR="00080AAA">
        <w:rPr>
          <w:rFonts w:asciiTheme="minorBidi" w:hAnsiTheme="minorBidi" w:cstheme="minorBidi"/>
        </w:rPr>
        <w:t>y</w:t>
      </w:r>
      <w:r w:rsidR="00080AAA" w:rsidRPr="00080AAA">
        <w:rPr>
          <w:rFonts w:asciiTheme="minorBidi" w:hAnsiTheme="minorBidi" w:cstheme="minorBidi"/>
        </w:rPr>
        <w:t xml:space="preserve"> approach</w:t>
      </w:r>
      <w:r w:rsidR="00080AAA">
        <w:rPr>
          <w:rFonts w:asciiTheme="minorBidi" w:hAnsiTheme="minorBidi" w:cstheme="minorBidi"/>
        </w:rPr>
        <w:t xml:space="preserve">, </w:t>
      </w:r>
      <w:r w:rsidR="00080AAA" w:rsidRPr="00080AAA">
        <w:rPr>
          <w:rFonts w:asciiTheme="minorBidi" w:hAnsiTheme="minorBidi" w:cstheme="minorBidi"/>
        </w:rPr>
        <w:lastRenderedPageBreak/>
        <w:t>involv</w:t>
      </w:r>
      <w:r w:rsidR="00080AAA">
        <w:rPr>
          <w:rFonts w:asciiTheme="minorBidi" w:hAnsiTheme="minorBidi" w:cstheme="minorBidi"/>
        </w:rPr>
        <w:t>ing</w:t>
      </w:r>
      <w:r w:rsidR="00080AAA" w:rsidRPr="00080AAA">
        <w:rPr>
          <w:rFonts w:asciiTheme="minorBidi" w:hAnsiTheme="minorBidi" w:cstheme="minorBidi"/>
        </w:rPr>
        <w:t xml:space="preserve"> hybrid, in-person, and fully online formats</w:t>
      </w:r>
      <w:r w:rsidR="00080AAA">
        <w:rPr>
          <w:rFonts w:asciiTheme="minorBidi" w:hAnsiTheme="minorBidi" w:cstheme="minorBidi"/>
        </w:rPr>
        <w:t>,</w:t>
      </w:r>
      <w:r w:rsidR="00080AAA" w:rsidRPr="00080AAA">
        <w:rPr>
          <w:rFonts w:asciiTheme="minorBidi" w:hAnsiTheme="minorBidi" w:cstheme="minorBidi"/>
        </w:rPr>
        <w:t xml:space="preserve"> </w:t>
      </w:r>
      <w:r w:rsidR="00080AAA">
        <w:rPr>
          <w:rFonts w:asciiTheme="minorBidi" w:hAnsiTheme="minorBidi" w:cstheme="minorBidi"/>
        </w:rPr>
        <w:t>will continue</w:t>
      </w:r>
      <w:r w:rsidR="00080AAA" w:rsidRPr="00080AAA">
        <w:rPr>
          <w:rFonts w:asciiTheme="minorBidi" w:hAnsiTheme="minorBidi" w:cstheme="minorBidi"/>
        </w:rPr>
        <w:t>,</w:t>
      </w:r>
      <w:r w:rsidR="00080AAA">
        <w:rPr>
          <w:rFonts w:asciiTheme="minorBidi" w:hAnsiTheme="minorBidi" w:cstheme="minorBidi"/>
        </w:rPr>
        <w:t xml:space="preserve"> thereby improving </w:t>
      </w:r>
      <w:r w:rsidR="00080AAA" w:rsidRPr="00080AAA">
        <w:rPr>
          <w:rFonts w:asciiTheme="minorBidi" w:hAnsiTheme="minorBidi" w:cstheme="minorBidi"/>
        </w:rPr>
        <w:t>the quality, effectiveness, and accessibility of the programme</w:t>
      </w:r>
      <w:r w:rsidR="00080AAA">
        <w:rPr>
          <w:rFonts w:asciiTheme="minorBidi" w:hAnsiTheme="minorBidi" w:cstheme="minorBidi"/>
        </w:rPr>
        <w:t>.</w:t>
      </w:r>
    </w:p>
    <w:p w14:paraId="0A4C150C" w14:textId="7D2558D4" w:rsidR="00004349" w:rsidRPr="00F9579A" w:rsidRDefault="00F82525" w:rsidP="00F82525">
      <w:pPr>
        <w:keepNext/>
        <w:numPr>
          <w:ilvl w:val="0"/>
          <w:numId w:val="8"/>
        </w:numPr>
        <w:ind w:left="567" w:hanging="567"/>
        <w:jc w:val="both"/>
        <w:rPr>
          <w:rFonts w:asciiTheme="minorBidi" w:hAnsiTheme="minorBidi" w:cstheme="minorBidi"/>
        </w:rPr>
      </w:pPr>
      <w:r>
        <w:rPr>
          <w:rFonts w:asciiTheme="minorBidi" w:hAnsiTheme="minorBidi" w:cstheme="minorBidi"/>
        </w:rPr>
        <w:t xml:space="preserve">The proposed </w:t>
      </w:r>
      <w:r w:rsidR="0086304A" w:rsidRPr="00F9579A">
        <w:rPr>
          <w:rFonts w:asciiTheme="minorBidi" w:hAnsiTheme="minorBidi" w:cstheme="minorBidi"/>
        </w:rPr>
        <w:t>Priority 2</w:t>
      </w:r>
      <w:r>
        <w:rPr>
          <w:rFonts w:asciiTheme="minorBidi" w:hAnsiTheme="minorBidi" w:cstheme="minorBidi"/>
        </w:rPr>
        <w:t xml:space="preserve"> </w:t>
      </w:r>
      <w:r w:rsidR="000173B5">
        <w:rPr>
          <w:rFonts w:asciiTheme="minorBidi" w:hAnsiTheme="minorBidi" w:cstheme="minorBidi"/>
        </w:rPr>
        <w:t>–</w:t>
      </w:r>
      <w:r w:rsidR="0086304A" w:rsidRPr="00F9579A">
        <w:rPr>
          <w:rFonts w:asciiTheme="minorBidi" w:hAnsiTheme="minorBidi" w:cstheme="minorBidi"/>
        </w:rPr>
        <w:t xml:space="preserve"> ‘</w:t>
      </w:r>
      <w:hyperlink w:anchor="Priority2" w:history="1">
        <w:r w:rsidR="0086304A" w:rsidRPr="007F6BC4">
          <w:rPr>
            <w:rStyle w:val="Hyperlink"/>
            <w:rFonts w:asciiTheme="minorBidi" w:hAnsiTheme="minorBidi" w:cstheme="minorBidi"/>
          </w:rPr>
          <w:t>Safeguarding intangible cultural heritage in formal and non-formal education</w:t>
        </w:r>
      </w:hyperlink>
      <w:r w:rsidR="0086304A" w:rsidRPr="00F9579A">
        <w:rPr>
          <w:rFonts w:asciiTheme="minorBidi" w:hAnsiTheme="minorBidi" w:cstheme="minorBidi"/>
        </w:rPr>
        <w:t xml:space="preserve">’ </w:t>
      </w:r>
      <w:r w:rsidR="000173B5">
        <w:rPr>
          <w:rFonts w:asciiTheme="minorBidi" w:hAnsiTheme="minorBidi" w:cstheme="minorBidi"/>
        </w:rPr>
        <w:t>–</w:t>
      </w:r>
      <w:r>
        <w:rPr>
          <w:rFonts w:asciiTheme="minorBidi" w:hAnsiTheme="minorBidi" w:cstheme="minorBidi"/>
        </w:rPr>
        <w:t xml:space="preserve"> </w:t>
      </w:r>
      <w:r w:rsidR="000173B5">
        <w:rPr>
          <w:rFonts w:asciiTheme="minorBidi" w:hAnsiTheme="minorBidi" w:cstheme="minorBidi"/>
        </w:rPr>
        <w:t xml:space="preserve">aims </w:t>
      </w:r>
      <w:r w:rsidR="00004349" w:rsidRPr="00F9579A">
        <w:rPr>
          <w:rFonts w:asciiTheme="minorBidi" w:hAnsiTheme="minorBidi" w:cstheme="minorBidi"/>
        </w:rPr>
        <w:t xml:space="preserve">to </w:t>
      </w:r>
      <w:r w:rsidR="00C63F65" w:rsidRPr="00F9579A">
        <w:rPr>
          <w:rFonts w:asciiTheme="minorBidi" w:hAnsiTheme="minorBidi" w:cstheme="minorBidi"/>
        </w:rPr>
        <w:t>intensify</w:t>
      </w:r>
      <w:r w:rsidR="00004349" w:rsidRPr="00F9579A">
        <w:rPr>
          <w:rFonts w:asciiTheme="minorBidi" w:hAnsiTheme="minorBidi" w:cstheme="minorBidi"/>
        </w:rPr>
        <w:t xml:space="preserve"> efforts </w:t>
      </w:r>
      <w:r w:rsidR="000173B5">
        <w:rPr>
          <w:rFonts w:asciiTheme="minorBidi" w:hAnsiTheme="minorBidi" w:cstheme="minorBidi"/>
        </w:rPr>
        <w:t xml:space="preserve">initiated in the 2018-2021 quadrennium </w:t>
      </w:r>
      <w:r w:rsidR="00004349" w:rsidRPr="00F9579A">
        <w:rPr>
          <w:rFonts w:asciiTheme="minorBidi" w:hAnsiTheme="minorBidi" w:cstheme="minorBidi"/>
        </w:rPr>
        <w:t>to incorporate intangible cultural heritage into formal and non-formal education, in cooperation with the education sector.</w:t>
      </w:r>
      <w:r w:rsidR="00751BEF">
        <w:rPr>
          <w:rFonts w:asciiTheme="minorBidi" w:hAnsiTheme="minorBidi" w:cstheme="minorBidi"/>
        </w:rPr>
        <w:t xml:space="preserve"> Voluntary supplementary contributions received in 2020 and 2021 demonstrated the interests from States Parties and key stakeholders</w:t>
      </w:r>
      <w:r w:rsidR="007334DA">
        <w:rPr>
          <w:rFonts w:asciiTheme="minorBidi" w:hAnsiTheme="minorBidi" w:cstheme="minorBidi"/>
        </w:rPr>
        <w:t xml:space="preserve"> from</w:t>
      </w:r>
      <w:r w:rsidR="00751BEF">
        <w:rPr>
          <w:rFonts w:asciiTheme="minorBidi" w:hAnsiTheme="minorBidi" w:cstheme="minorBidi"/>
        </w:rPr>
        <w:t xml:space="preserve"> the education sector and </w:t>
      </w:r>
      <w:r w:rsidR="007334DA">
        <w:rPr>
          <w:rFonts w:asciiTheme="minorBidi" w:hAnsiTheme="minorBidi" w:cstheme="minorBidi"/>
        </w:rPr>
        <w:t>allowed</w:t>
      </w:r>
      <w:r w:rsidR="007334DA" w:rsidRPr="007334DA">
        <w:rPr>
          <w:rFonts w:asciiTheme="minorBidi" w:hAnsiTheme="minorBidi" w:cstheme="minorBidi"/>
        </w:rPr>
        <w:t xml:space="preserve"> the pr</w:t>
      </w:r>
      <w:r w:rsidR="007334DA">
        <w:rPr>
          <w:rFonts w:asciiTheme="minorBidi" w:hAnsiTheme="minorBidi" w:cstheme="minorBidi"/>
        </w:rPr>
        <w:t xml:space="preserve">ovision of </w:t>
      </w:r>
      <w:r w:rsidR="007334DA" w:rsidRPr="007334DA">
        <w:rPr>
          <w:rFonts w:asciiTheme="minorBidi" w:hAnsiTheme="minorBidi" w:cstheme="minorBidi"/>
        </w:rPr>
        <w:t xml:space="preserve">technical support to design and implement </w:t>
      </w:r>
      <w:r w:rsidR="007334DA">
        <w:rPr>
          <w:rFonts w:asciiTheme="minorBidi" w:hAnsiTheme="minorBidi" w:cstheme="minorBidi"/>
        </w:rPr>
        <w:t>pilot</w:t>
      </w:r>
      <w:r w:rsidR="007334DA" w:rsidRPr="007334DA">
        <w:rPr>
          <w:rFonts w:asciiTheme="minorBidi" w:hAnsiTheme="minorBidi" w:cstheme="minorBidi"/>
        </w:rPr>
        <w:t xml:space="preserve"> projects to develop and test methods and tools</w:t>
      </w:r>
      <w:r w:rsidR="00751BEF">
        <w:rPr>
          <w:rFonts w:asciiTheme="minorBidi" w:hAnsiTheme="minorBidi" w:cstheme="minorBidi"/>
        </w:rPr>
        <w:t xml:space="preserve">. </w:t>
      </w:r>
      <w:r w:rsidR="00751BEF" w:rsidRPr="00751BEF">
        <w:rPr>
          <w:rFonts w:asciiTheme="minorBidi" w:hAnsiTheme="minorBidi" w:cstheme="minorBidi"/>
        </w:rPr>
        <w:t>During the 2022-2025 quadrennium, focus</w:t>
      </w:r>
      <w:r w:rsidR="00751BEF">
        <w:rPr>
          <w:rFonts w:asciiTheme="minorBidi" w:hAnsiTheme="minorBidi" w:cstheme="minorBidi"/>
        </w:rPr>
        <w:t xml:space="preserve"> will be placed on </w:t>
      </w:r>
      <w:r w:rsidR="007334DA">
        <w:rPr>
          <w:rFonts w:asciiTheme="minorBidi" w:hAnsiTheme="minorBidi" w:cstheme="minorBidi"/>
        </w:rPr>
        <w:t>s</w:t>
      </w:r>
      <w:r w:rsidR="007334DA" w:rsidRPr="007334DA">
        <w:rPr>
          <w:rFonts w:asciiTheme="minorBidi" w:hAnsiTheme="minorBidi" w:cstheme="minorBidi"/>
        </w:rPr>
        <w:t>caling up</w:t>
      </w:r>
      <w:r w:rsidR="007334DA">
        <w:rPr>
          <w:rFonts w:asciiTheme="minorBidi" w:hAnsiTheme="minorBidi" w:cstheme="minorBidi"/>
        </w:rPr>
        <w:t xml:space="preserve"> the programme</w:t>
      </w:r>
      <w:r w:rsidR="007334DA" w:rsidRPr="007334DA">
        <w:rPr>
          <w:rFonts w:asciiTheme="minorBidi" w:hAnsiTheme="minorBidi" w:cstheme="minorBidi"/>
        </w:rPr>
        <w:t xml:space="preserve"> with a more strategic focus on education</w:t>
      </w:r>
      <w:r w:rsidR="008844EA">
        <w:rPr>
          <w:rFonts w:asciiTheme="minorBidi" w:hAnsiTheme="minorBidi" w:cstheme="minorBidi"/>
        </w:rPr>
        <w:t>al</w:t>
      </w:r>
      <w:r w:rsidR="007334DA" w:rsidRPr="007334DA">
        <w:rPr>
          <w:rFonts w:asciiTheme="minorBidi" w:hAnsiTheme="minorBidi" w:cstheme="minorBidi"/>
        </w:rPr>
        <w:t xml:space="preserve"> systems</w:t>
      </w:r>
      <w:r w:rsidR="008844EA">
        <w:rPr>
          <w:rFonts w:asciiTheme="minorBidi" w:hAnsiTheme="minorBidi" w:cstheme="minorBidi"/>
        </w:rPr>
        <w:t xml:space="preserve"> and institutions</w:t>
      </w:r>
      <w:r w:rsidR="007334DA" w:rsidRPr="007334DA">
        <w:rPr>
          <w:rFonts w:asciiTheme="minorBidi" w:hAnsiTheme="minorBidi" w:cstheme="minorBidi"/>
        </w:rPr>
        <w:t xml:space="preserve"> to ensure enduring impacts and effectively feed into the national discourse and advance the </w:t>
      </w:r>
      <w:r w:rsidR="007334DA">
        <w:rPr>
          <w:rFonts w:asciiTheme="minorBidi" w:hAnsiTheme="minorBidi" w:cstheme="minorBidi"/>
        </w:rPr>
        <w:t xml:space="preserve">2030 </w:t>
      </w:r>
      <w:r w:rsidR="007334DA" w:rsidRPr="007334DA">
        <w:rPr>
          <w:rFonts w:asciiTheme="minorBidi" w:hAnsiTheme="minorBidi" w:cstheme="minorBidi"/>
        </w:rPr>
        <w:t>Agenda through education and culture</w:t>
      </w:r>
      <w:r w:rsidR="00751BEF">
        <w:rPr>
          <w:rFonts w:asciiTheme="minorBidi" w:hAnsiTheme="minorBidi" w:cstheme="minorBidi"/>
        </w:rPr>
        <w:t>.</w:t>
      </w:r>
    </w:p>
    <w:p w14:paraId="23D01D17" w14:textId="5A5F439E" w:rsidR="00004349" w:rsidRPr="00B6280A" w:rsidRDefault="00004349" w:rsidP="00B6280A">
      <w:pPr>
        <w:numPr>
          <w:ilvl w:val="0"/>
          <w:numId w:val="8"/>
        </w:numPr>
        <w:ind w:left="567" w:hanging="567"/>
        <w:jc w:val="both"/>
        <w:rPr>
          <w:rFonts w:asciiTheme="minorBidi" w:hAnsiTheme="minorBidi" w:cstheme="minorBidi"/>
        </w:rPr>
      </w:pPr>
      <w:r w:rsidRPr="00B6280A">
        <w:rPr>
          <w:rFonts w:asciiTheme="minorBidi" w:hAnsiTheme="minorBidi" w:cstheme="minorBidi"/>
        </w:rPr>
        <w:t xml:space="preserve">The Committee may wish to encourage donors to support the achievement of the goals set out in the </w:t>
      </w:r>
      <w:r w:rsidRPr="00B6280A">
        <w:rPr>
          <w:rFonts w:asciiTheme="minorBidi" w:hAnsiTheme="minorBidi" w:cstheme="minorBidi"/>
          <w:lang w:val="en-US"/>
        </w:rPr>
        <w:t>two funding priorities</w:t>
      </w:r>
      <w:r w:rsidRPr="00B6280A">
        <w:rPr>
          <w:rFonts w:asciiTheme="minorBidi" w:hAnsiTheme="minorBidi" w:cstheme="minorBidi"/>
        </w:rPr>
        <w:t xml:space="preserve"> through voluntary</w:t>
      </w:r>
      <w:r w:rsidR="00D20C78">
        <w:rPr>
          <w:rFonts w:asciiTheme="minorBidi" w:hAnsiTheme="minorBidi" w:cstheme="minorBidi"/>
        </w:rPr>
        <w:t xml:space="preserve"> supplementary</w:t>
      </w:r>
      <w:r w:rsidRPr="00B6280A">
        <w:rPr>
          <w:rFonts w:asciiTheme="minorBidi" w:hAnsiTheme="minorBidi" w:cstheme="minorBidi"/>
        </w:rPr>
        <w:t xml:space="preserve"> contributions to the Fund. The modality of </w:t>
      </w:r>
      <w:r w:rsidR="00D20C78" w:rsidRPr="00B6280A">
        <w:rPr>
          <w:rFonts w:asciiTheme="minorBidi" w:hAnsiTheme="minorBidi" w:cstheme="minorBidi"/>
        </w:rPr>
        <w:t>voluntary</w:t>
      </w:r>
      <w:r w:rsidR="00D20C78">
        <w:rPr>
          <w:rFonts w:asciiTheme="minorBidi" w:hAnsiTheme="minorBidi" w:cstheme="minorBidi"/>
        </w:rPr>
        <w:t xml:space="preserve"> supplementary</w:t>
      </w:r>
      <w:r w:rsidR="00D20C78" w:rsidRPr="00B6280A">
        <w:rPr>
          <w:rFonts w:asciiTheme="minorBidi" w:hAnsiTheme="minorBidi" w:cstheme="minorBidi"/>
        </w:rPr>
        <w:t xml:space="preserve"> </w:t>
      </w:r>
      <w:r w:rsidRPr="00B6280A">
        <w:rPr>
          <w:rFonts w:asciiTheme="minorBidi" w:hAnsiTheme="minorBidi" w:cstheme="minorBidi"/>
        </w:rPr>
        <w:t>contributions allows the Committee to better coordinate international cooperation, as described in Article 19 of the Convention, while permitting the Secretariat to match needs and resources responsively and to deliver services effectively; it also provides high visibility to the donor. In keeping with the Organization’s principle of results-based management, the Secretariat is responsible to the General Assembly – and through it, to the donors – for achieving concrete results.</w:t>
      </w:r>
    </w:p>
    <w:p w14:paraId="01F8C9E2" w14:textId="1A992DD6" w:rsidR="00004349" w:rsidRPr="00B6280A" w:rsidRDefault="00004349" w:rsidP="00175244">
      <w:pPr>
        <w:keepLines/>
        <w:numPr>
          <w:ilvl w:val="0"/>
          <w:numId w:val="8"/>
        </w:numPr>
        <w:ind w:left="567" w:hanging="567"/>
        <w:jc w:val="both"/>
        <w:rPr>
          <w:rFonts w:asciiTheme="minorBidi" w:hAnsiTheme="minorBidi" w:cstheme="minorBidi"/>
        </w:rPr>
      </w:pPr>
      <w:r w:rsidRPr="00B6280A">
        <w:rPr>
          <w:rStyle w:val="hps"/>
          <w:rFonts w:asciiTheme="minorBidi" w:hAnsiTheme="minorBidi" w:cstheme="minorBidi"/>
        </w:rPr>
        <w:t>T</w:t>
      </w:r>
      <w:r w:rsidRPr="00B6280A">
        <w:rPr>
          <w:rFonts w:asciiTheme="minorBidi" w:hAnsiTheme="minorBidi" w:cstheme="minorBidi"/>
        </w:rPr>
        <w:t xml:space="preserve">he Committee </w:t>
      </w:r>
      <w:r w:rsidRPr="00B6280A">
        <w:rPr>
          <w:rStyle w:val="hps"/>
          <w:rFonts w:asciiTheme="minorBidi" w:hAnsiTheme="minorBidi" w:cstheme="minorBidi"/>
        </w:rPr>
        <w:t>may therefore wish to</w:t>
      </w:r>
      <w:r w:rsidRPr="00B6280A">
        <w:rPr>
          <w:rFonts w:asciiTheme="minorBidi" w:hAnsiTheme="minorBidi" w:cstheme="minorBidi"/>
        </w:rPr>
        <w:t xml:space="preserve"> approve the two main funding priorities </w:t>
      </w:r>
      <w:r w:rsidRPr="00B6280A">
        <w:rPr>
          <w:rStyle w:val="hps"/>
          <w:rFonts w:asciiTheme="minorBidi" w:hAnsiTheme="minorBidi" w:cstheme="minorBidi"/>
        </w:rPr>
        <w:t>and accept any future voluntary supplementary contributions</w:t>
      </w:r>
      <w:r w:rsidRPr="00B6280A">
        <w:rPr>
          <w:rFonts w:asciiTheme="minorBidi" w:hAnsiTheme="minorBidi" w:cstheme="minorBidi"/>
        </w:rPr>
        <w:t xml:space="preserve"> to the Fund </w:t>
      </w:r>
      <w:r w:rsidRPr="00B6280A">
        <w:rPr>
          <w:rStyle w:val="hps"/>
          <w:rFonts w:asciiTheme="minorBidi" w:hAnsiTheme="minorBidi" w:cstheme="minorBidi"/>
        </w:rPr>
        <w:t>that fall within their scope as an earmarked contribution</w:t>
      </w:r>
      <w:r w:rsidRPr="00B6280A">
        <w:rPr>
          <w:rFonts w:asciiTheme="minorBidi" w:hAnsiTheme="minorBidi" w:cstheme="minorBidi"/>
        </w:rPr>
        <w:t xml:space="preserve">. In consultation with the donor, the Secretariat would agree on the </w:t>
      </w:r>
      <w:r w:rsidRPr="00B6280A">
        <w:rPr>
          <w:rStyle w:val="hps"/>
          <w:rFonts w:asciiTheme="minorBidi" w:hAnsiTheme="minorBidi" w:cstheme="minorBidi"/>
        </w:rPr>
        <w:t>beneficiary country(ies)</w:t>
      </w:r>
      <w:r w:rsidRPr="00B6280A">
        <w:rPr>
          <w:rFonts w:asciiTheme="minorBidi" w:hAnsiTheme="minorBidi" w:cstheme="minorBidi"/>
        </w:rPr>
        <w:t xml:space="preserve"> </w:t>
      </w:r>
      <w:r w:rsidRPr="00B6280A">
        <w:rPr>
          <w:rStyle w:val="hps"/>
          <w:rFonts w:asciiTheme="minorBidi" w:hAnsiTheme="minorBidi" w:cstheme="minorBidi"/>
        </w:rPr>
        <w:t>based on</w:t>
      </w:r>
      <w:r w:rsidRPr="00B6280A">
        <w:rPr>
          <w:rFonts w:asciiTheme="minorBidi" w:hAnsiTheme="minorBidi" w:cstheme="minorBidi"/>
        </w:rPr>
        <w:t xml:space="preserve"> </w:t>
      </w:r>
      <w:r w:rsidRPr="00B6280A">
        <w:rPr>
          <w:rStyle w:val="hps"/>
          <w:rFonts w:asciiTheme="minorBidi" w:hAnsiTheme="minorBidi" w:cstheme="minorBidi"/>
        </w:rPr>
        <w:t>requests from</w:t>
      </w:r>
      <w:r w:rsidRPr="00B6280A">
        <w:rPr>
          <w:rFonts w:asciiTheme="minorBidi" w:hAnsiTheme="minorBidi" w:cstheme="minorBidi"/>
        </w:rPr>
        <w:t xml:space="preserve"> </w:t>
      </w:r>
      <w:r w:rsidRPr="00B6280A">
        <w:rPr>
          <w:rStyle w:val="hps"/>
          <w:rFonts w:asciiTheme="minorBidi" w:hAnsiTheme="minorBidi" w:cstheme="minorBidi"/>
        </w:rPr>
        <w:t>Member States,</w:t>
      </w:r>
      <w:r w:rsidRPr="00B6280A">
        <w:rPr>
          <w:rFonts w:asciiTheme="minorBidi" w:hAnsiTheme="minorBidi" w:cstheme="minorBidi"/>
        </w:rPr>
        <w:t xml:space="preserve"> </w:t>
      </w:r>
      <w:r w:rsidRPr="00B6280A">
        <w:rPr>
          <w:rStyle w:val="hps"/>
          <w:rFonts w:asciiTheme="minorBidi" w:hAnsiTheme="minorBidi" w:cstheme="minorBidi"/>
        </w:rPr>
        <w:t>UNESCO’s implementing capacity</w:t>
      </w:r>
      <w:r w:rsidRPr="00B6280A">
        <w:rPr>
          <w:rFonts w:asciiTheme="minorBidi" w:hAnsiTheme="minorBidi" w:cstheme="minorBidi"/>
        </w:rPr>
        <w:t xml:space="preserve"> </w:t>
      </w:r>
      <w:r w:rsidRPr="00B6280A">
        <w:rPr>
          <w:rStyle w:val="hps"/>
          <w:rFonts w:asciiTheme="minorBidi" w:hAnsiTheme="minorBidi" w:cstheme="minorBidi"/>
        </w:rPr>
        <w:t>in the field</w:t>
      </w:r>
      <w:r w:rsidRPr="00B6280A">
        <w:rPr>
          <w:rFonts w:asciiTheme="minorBidi" w:hAnsiTheme="minorBidi" w:cstheme="minorBidi"/>
        </w:rPr>
        <w:t xml:space="preserve"> </w:t>
      </w:r>
      <w:r w:rsidRPr="00B6280A">
        <w:rPr>
          <w:rStyle w:val="hps"/>
          <w:rFonts w:asciiTheme="minorBidi" w:hAnsiTheme="minorBidi" w:cstheme="minorBidi"/>
        </w:rPr>
        <w:t>and, of course</w:t>
      </w:r>
      <w:r w:rsidRPr="00B6280A">
        <w:rPr>
          <w:rFonts w:asciiTheme="minorBidi" w:hAnsiTheme="minorBidi" w:cstheme="minorBidi"/>
        </w:rPr>
        <w:t xml:space="preserve">, </w:t>
      </w:r>
      <w:r w:rsidRPr="00B6280A">
        <w:rPr>
          <w:rStyle w:val="hps"/>
          <w:rFonts w:asciiTheme="minorBidi" w:hAnsiTheme="minorBidi" w:cstheme="minorBidi"/>
        </w:rPr>
        <w:t xml:space="preserve">the donors’ priorities. In this regard, the Secretariat would also </w:t>
      </w:r>
      <w:r w:rsidRPr="00B6280A">
        <w:rPr>
          <w:rFonts w:asciiTheme="minorBidi" w:hAnsiTheme="minorBidi" w:cstheme="minorBidi"/>
          <w:snapToGrid w:val="0"/>
          <w:szCs w:val="22"/>
          <w:lang w:eastAsia="en-US"/>
        </w:rPr>
        <w:t>like</w:t>
      </w:r>
      <w:r w:rsidRPr="00B6280A">
        <w:rPr>
          <w:rStyle w:val="hps"/>
          <w:rFonts w:asciiTheme="minorBidi" w:hAnsiTheme="minorBidi" w:cstheme="minorBidi"/>
        </w:rPr>
        <w:t xml:space="preserve"> to recall the UNESCO Global Priority Africa </w:t>
      </w:r>
      <w:r w:rsidR="00CC2493">
        <w:rPr>
          <w:rStyle w:val="hps"/>
          <w:rFonts w:asciiTheme="minorBidi" w:hAnsiTheme="minorBidi" w:cstheme="minorBidi"/>
        </w:rPr>
        <w:t xml:space="preserve">contained in </w:t>
      </w:r>
      <w:r w:rsidRPr="00B6280A">
        <w:rPr>
          <w:rStyle w:val="hps"/>
          <w:rFonts w:asciiTheme="minorBidi" w:hAnsiTheme="minorBidi" w:cstheme="minorBidi"/>
        </w:rPr>
        <w:t xml:space="preserve">UNESCO’s </w:t>
      </w:r>
      <w:r w:rsidR="00CC2493">
        <w:rPr>
          <w:rStyle w:val="hps"/>
          <w:rFonts w:asciiTheme="minorBidi" w:hAnsiTheme="minorBidi" w:cstheme="minorBidi"/>
        </w:rPr>
        <w:t xml:space="preserve">Draft </w:t>
      </w:r>
      <w:r w:rsidR="00A9237D" w:rsidRPr="00B6280A">
        <w:rPr>
          <w:rStyle w:val="hps"/>
          <w:rFonts w:asciiTheme="minorBidi" w:hAnsiTheme="minorBidi" w:cstheme="minorBidi"/>
        </w:rPr>
        <w:t>Medium-Term</w:t>
      </w:r>
      <w:r w:rsidRPr="00B6280A">
        <w:rPr>
          <w:rStyle w:val="hps"/>
          <w:rFonts w:asciiTheme="minorBidi" w:hAnsiTheme="minorBidi" w:cstheme="minorBidi"/>
        </w:rPr>
        <w:t xml:space="preserve"> Strategy for 20</w:t>
      </w:r>
      <w:r w:rsidR="00A9237D">
        <w:rPr>
          <w:rStyle w:val="hps"/>
          <w:rFonts w:asciiTheme="minorBidi" w:hAnsiTheme="minorBidi" w:cstheme="minorBidi"/>
        </w:rPr>
        <w:t>22</w:t>
      </w:r>
      <w:r w:rsidRPr="00B6280A">
        <w:rPr>
          <w:rStyle w:val="hps"/>
          <w:rFonts w:asciiTheme="minorBidi" w:hAnsiTheme="minorBidi" w:cstheme="minorBidi"/>
        </w:rPr>
        <w:t>-202</w:t>
      </w:r>
      <w:r w:rsidR="00A9237D">
        <w:rPr>
          <w:rStyle w:val="hps"/>
          <w:rFonts w:asciiTheme="minorBidi" w:hAnsiTheme="minorBidi" w:cstheme="minorBidi"/>
        </w:rPr>
        <w:t>9</w:t>
      </w:r>
      <w:r w:rsidR="00CC2493">
        <w:rPr>
          <w:rStyle w:val="hps"/>
          <w:rFonts w:asciiTheme="minorBidi" w:hAnsiTheme="minorBidi" w:cstheme="minorBidi"/>
        </w:rPr>
        <w:t xml:space="preserve"> (</w:t>
      </w:r>
      <w:hyperlink r:id="rId32" w:history="1">
        <w:r w:rsidR="00CC2493" w:rsidRPr="007334DA">
          <w:rPr>
            <w:rStyle w:val="Hyperlink"/>
            <w:rFonts w:asciiTheme="minorBidi" w:hAnsiTheme="minorBidi" w:cstheme="minorBidi"/>
          </w:rPr>
          <w:t>41 C/4</w:t>
        </w:r>
      </w:hyperlink>
      <w:r w:rsidR="00CC2493">
        <w:rPr>
          <w:rStyle w:val="hps"/>
          <w:rFonts w:asciiTheme="minorBidi" w:hAnsiTheme="minorBidi" w:cstheme="minorBidi"/>
        </w:rPr>
        <w:t>)</w:t>
      </w:r>
      <w:r w:rsidRPr="00B6280A">
        <w:rPr>
          <w:rStyle w:val="hps"/>
          <w:rFonts w:asciiTheme="minorBidi" w:hAnsiTheme="minorBidi" w:cstheme="minorBidi"/>
        </w:rPr>
        <w:t>, and for which financial support will be needed. Whenever</w:t>
      </w:r>
      <w:r w:rsidRPr="00B6280A">
        <w:rPr>
          <w:rFonts w:asciiTheme="minorBidi" w:hAnsiTheme="minorBidi" w:cstheme="minorBidi"/>
        </w:rPr>
        <w:t xml:space="preserve"> </w:t>
      </w:r>
      <w:r w:rsidRPr="00B6280A">
        <w:rPr>
          <w:rStyle w:val="hps"/>
          <w:rFonts w:asciiTheme="minorBidi" w:hAnsiTheme="minorBidi" w:cstheme="minorBidi"/>
        </w:rPr>
        <w:t>a</w:t>
      </w:r>
      <w:r w:rsidRPr="00B6280A">
        <w:rPr>
          <w:rFonts w:asciiTheme="minorBidi" w:hAnsiTheme="minorBidi" w:cstheme="minorBidi"/>
        </w:rPr>
        <w:t xml:space="preserve"> </w:t>
      </w:r>
      <w:r w:rsidRPr="00B6280A">
        <w:rPr>
          <w:rStyle w:val="hps"/>
          <w:rFonts w:asciiTheme="minorBidi" w:hAnsiTheme="minorBidi" w:cstheme="minorBidi"/>
        </w:rPr>
        <w:t>contribution</w:t>
      </w:r>
      <w:r w:rsidRPr="00B6280A">
        <w:rPr>
          <w:rFonts w:asciiTheme="minorBidi" w:hAnsiTheme="minorBidi" w:cstheme="minorBidi"/>
        </w:rPr>
        <w:t xml:space="preserve"> </w:t>
      </w:r>
      <w:r w:rsidRPr="00B6280A">
        <w:rPr>
          <w:rStyle w:val="hps"/>
          <w:rFonts w:asciiTheme="minorBidi" w:hAnsiTheme="minorBidi" w:cstheme="minorBidi"/>
        </w:rPr>
        <w:t>of this kind</w:t>
      </w:r>
      <w:r w:rsidRPr="00B6280A">
        <w:rPr>
          <w:rFonts w:asciiTheme="minorBidi" w:hAnsiTheme="minorBidi" w:cstheme="minorBidi"/>
        </w:rPr>
        <w:t xml:space="preserve"> </w:t>
      </w:r>
      <w:r w:rsidRPr="00B6280A">
        <w:rPr>
          <w:rStyle w:val="hps"/>
          <w:rFonts w:asciiTheme="minorBidi" w:hAnsiTheme="minorBidi" w:cstheme="minorBidi"/>
        </w:rPr>
        <w:t>is received</w:t>
      </w:r>
      <w:r w:rsidRPr="00B6280A">
        <w:rPr>
          <w:rFonts w:asciiTheme="minorBidi" w:hAnsiTheme="minorBidi" w:cstheme="minorBidi"/>
        </w:rPr>
        <w:t xml:space="preserve"> </w:t>
      </w:r>
      <w:r w:rsidRPr="00B6280A">
        <w:rPr>
          <w:rStyle w:val="hps"/>
          <w:rFonts w:asciiTheme="minorBidi" w:hAnsiTheme="minorBidi" w:cstheme="minorBidi"/>
        </w:rPr>
        <w:t>between</w:t>
      </w:r>
      <w:r w:rsidRPr="00B6280A">
        <w:rPr>
          <w:rFonts w:asciiTheme="minorBidi" w:hAnsiTheme="minorBidi" w:cstheme="minorBidi"/>
        </w:rPr>
        <w:t xml:space="preserve"> </w:t>
      </w:r>
      <w:r w:rsidRPr="00B6280A">
        <w:rPr>
          <w:rStyle w:val="hps"/>
          <w:rFonts w:asciiTheme="minorBidi" w:hAnsiTheme="minorBidi" w:cstheme="minorBidi"/>
        </w:rPr>
        <w:t>two Committee sessions</w:t>
      </w:r>
      <w:r w:rsidRPr="00B6280A">
        <w:rPr>
          <w:rFonts w:asciiTheme="minorBidi" w:hAnsiTheme="minorBidi" w:cstheme="minorBidi"/>
        </w:rPr>
        <w:t xml:space="preserve">, the Secretariat </w:t>
      </w:r>
      <w:r w:rsidRPr="00B6280A">
        <w:rPr>
          <w:rStyle w:val="hps"/>
          <w:rFonts w:asciiTheme="minorBidi" w:hAnsiTheme="minorBidi" w:cstheme="minorBidi"/>
        </w:rPr>
        <w:t>will ensure that</w:t>
      </w:r>
      <w:r w:rsidRPr="00B6280A">
        <w:rPr>
          <w:rFonts w:asciiTheme="minorBidi" w:hAnsiTheme="minorBidi" w:cstheme="minorBidi"/>
        </w:rPr>
        <w:t xml:space="preserve"> </w:t>
      </w:r>
      <w:r w:rsidRPr="00B6280A">
        <w:rPr>
          <w:rStyle w:val="hps"/>
          <w:rFonts w:asciiTheme="minorBidi" w:hAnsiTheme="minorBidi" w:cstheme="minorBidi"/>
        </w:rPr>
        <w:t>the item appears on</w:t>
      </w:r>
      <w:r w:rsidRPr="00B6280A">
        <w:rPr>
          <w:rFonts w:asciiTheme="minorBidi" w:hAnsiTheme="minorBidi" w:cstheme="minorBidi"/>
        </w:rPr>
        <w:t xml:space="preserve"> </w:t>
      </w:r>
      <w:r w:rsidRPr="00B6280A">
        <w:rPr>
          <w:rStyle w:val="hps"/>
          <w:rFonts w:asciiTheme="minorBidi" w:hAnsiTheme="minorBidi" w:cstheme="minorBidi"/>
        </w:rPr>
        <w:t>the agenda</w:t>
      </w:r>
      <w:r w:rsidRPr="00B6280A">
        <w:rPr>
          <w:rFonts w:asciiTheme="minorBidi" w:hAnsiTheme="minorBidi" w:cstheme="minorBidi"/>
        </w:rPr>
        <w:t xml:space="preserve"> </w:t>
      </w:r>
      <w:r w:rsidRPr="00B6280A">
        <w:rPr>
          <w:rStyle w:val="hps"/>
          <w:rFonts w:asciiTheme="minorBidi" w:hAnsiTheme="minorBidi" w:cstheme="minorBidi"/>
        </w:rPr>
        <w:t>of the following session in order to inform its members</w:t>
      </w:r>
      <w:r w:rsidRPr="00B6280A">
        <w:rPr>
          <w:rFonts w:asciiTheme="minorBidi" w:hAnsiTheme="minorBidi" w:cstheme="minorBidi"/>
        </w:rPr>
        <w:t xml:space="preserve"> </w:t>
      </w:r>
      <w:r w:rsidRPr="00B6280A">
        <w:rPr>
          <w:rStyle w:val="hps"/>
          <w:rFonts w:asciiTheme="minorBidi" w:hAnsiTheme="minorBidi" w:cstheme="minorBidi"/>
        </w:rPr>
        <w:t>on the progress made and</w:t>
      </w:r>
      <w:r w:rsidRPr="00B6280A">
        <w:rPr>
          <w:rFonts w:asciiTheme="minorBidi" w:hAnsiTheme="minorBidi" w:cstheme="minorBidi"/>
        </w:rPr>
        <w:t xml:space="preserve"> </w:t>
      </w:r>
      <w:r w:rsidRPr="00B6280A">
        <w:rPr>
          <w:rStyle w:val="hps"/>
          <w:rFonts w:asciiTheme="minorBidi" w:hAnsiTheme="minorBidi" w:cstheme="minorBidi"/>
        </w:rPr>
        <w:t>give</w:t>
      </w:r>
      <w:r w:rsidRPr="00B6280A">
        <w:rPr>
          <w:rFonts w:asciiTheme="minorBidi" w:hAnsiTheme="minorBidi" w:cstheme="minorBidi"/>
        </w:rPr>
        <w:t xml:space="preserve"> </w:t>
      </w:r>
      <w:r w:rsidRPr="00B6280A">
        <w:rPr>
          <w:rStyle w:val="hps"/>
          <w:rFonts w:asciiTheme="minorBidi" w:hAnsiTheme="minorBidi" w:cstheme="minorBidi"/>
        </w:rPr>
        <w:t>due</w:t>
      </w:r>
      <w:r w:rsidRPr="00B6280A">
        <w:rPr>
          <w:rFonts w:asciiTheme="minorBidi" w:hAnsiTheme="minorBidi" w:cstheme="minorBidi"/>
        </w:rPr>
        <w:t xml:space="preserve"> </w:t>
      </w:r>
      <w:r w:rsidRPr="00B6280A">
        <w:rPr>
          <w:rStyle w:val="hps"/>
          <w:rFonts w:asciiTheme="minorBidi" w:hAnsiTheme="minorBidi" w:cstheme="minorBidi"/>
        </w:rPr>
        <w:t>visibility</w:t>
      </w:r>
      <w:r w:rsidRPr="00B6280A">
        <w:rPr>
          <w:rFonts w:asciiTheme="minorBidi" w:hAnsiTheme="minorBidi" w:cstheme="minorBidi"/>
        </w:rPr>
        <w:t xml:space="preserve"> </w:t>
      </w:r>
      <w:r w:rsidRPr="00B6280A">
        <w:rPr>
          <w:rStyle w:val="hps"/>
          <w:rFonts w:asciiTheme="minorBidi" w:hAnsiTheme="minorBidi" w:cstheme="minorBidi"/>
        </w:rPr>
        <w:t>to donor</w:t>
      </w:r>
      <w:r w:rsidRPr="00B6280A">
        <w:rPr>
          <w:rFonts w:asciiTheme="minorBidi" w:hAnsiTheme="minorBidi" w:cstheme="minorBidi"/>
        </w:rPr>
        <w:t xml:space="preserve"> </w:t>
      </w:r>
      <w:r w:rsidRPr="00B6280A">
        <w:rPr>
          <w:rStyle w:val="hps"/>
          <w:rFonts w:asciiTheme="minorBidi" w:hAnsiTheme="minorBidi" w:cstheme="minorBidi"/>
        </w:rPr>
        <w:t>countries.</w:t>
      </w:r>
    </w:p>
    <w:p w14:paraId="527B3397" w14:textId="77777777" w:rsidR="002459E4" w:rsidRPr="00BF1B64" w:rsidRDefault="002459E4" w:rsidP="002459E4">
      <w:pPr>
        <w:keepNext/>
        <w:numPr>
          <w:ilvl w:val="0"/>
          <w:numId w:val="8"/>
        </w:numPr>
        <w:ind w:left="567" w:hanging="567"/>
        <w:jc w:val="both"/>
        <w:rPr>
          <w:rFonts w:ascii="Arial" w:hAnsi="Arial" w:cs="Arial"/>
          <w:snapToGrid w:val="0"/>
          <w:szCs w:val="22"/>
          <w:lang w:eastAsia="en-US"/>
        </w:rPr>
      </w:pPr>
      <w:r w:rsidRPr="00BF1B64">
        <w:rPr>
          <w:rFonts w:ascii="Arial" w:eastAsia="SimSun" w:hAnsi="Arial" w:cs="Arial"/>
          <w:snapToGrid w:val="0"/>
          <w:szCs w:val="22"/>
          <w:lang w:val="en-US" w:eastAsia="en-US"/>
        </w:rPr>
        <w:t>The</w:t>
      </w:r>
      <w:r w:rsidRPr="00BF1B64">
        <w:rPr>
          <w:rFonts w:ascii="Arial" w:hAnsi="Arial" w:cs="Arial"/>
          <w:snapToGrid w:val="0"/>
          <w:szCs w:val="22"/>
          <w:lang w:eastAsia="en-US"/>
        </w:rPr>
        <w:t xml:space="preserve"> Committee may wish to adopt the following decision:</w:t>
      </w:r>
    </w:p>
    <w:p w14:paraId="5B76F841" w14:textId="064ACEFE" w:rsidR="002459E4" w:rsidRPr="00BF1B64" w:rsidRDefault="002459E4" w:rsidP="002459E4">
      <w:pPr>
        <w:keepNext/>
        <w:spacing w:before="240"/>
        <w:ind w:left="567"/>
        <w:jc w:val="both"/>
        <w:rPr>
          <w:rFonts w:ascii="Arial" w:eastAsia="SimSun" w:hAnsi="Arial" w:cs="Arial"/>
          <w:b/>
          <w:szCs w:val="22"/>
        </w:rPr>
      </w:pPr>
      <w:r w:rsidRPr="00BF1B64">
        <w:rPr>
          <w:rFonts w:ascii="Arial" w:hAnsi="Arial" w:cs="Arial"/>
          <w:b/>
          <w:szCs w:val="22"/>
        </w:rPr>
        <w:t>DRAFT DECISION 1</w:t>
      </w:r>
      <w:r w:rsidR="005720E3">
        <w:rPr>
          <w:rFonts w:ascii="Arial" w:hAnsi="Arial" w:cs="Arial"/>
          <w:b/>
          <w:szCs w:val="22"/>
        </w:rPr>
        <w:t>6</w:t>
      </w:r>
      <w:r w:rsidRPr="00BF1B64">
        <w:rPr>
          <w:rFonts w:ascii="Arial" w:hAnsi="Arial" w:cs="Arial"/>
          <w:b/>
          <w:szCs w:val="22"/>
        </w:rPr>
        <w:t xml:space="preserve">.COM </w:t>
      </w:r>
      <w:r w:rsidR="00E651D2">
        <w:rPr>
          <w:rFonts w:ascii="Arial" w:hAnsi="Arial" w:cs="Arial"/>
          <w:b/>
          <w:szCs w:val="22"/>
        </w:rPr>
        <w:t>1</w:t>
      </w:r>
      <w:r w:rsidR="00013075">
        <w:rPr>
          <w:rFonts w:ascii="Arial" w:hAnsi="Arial" w:cs="Arial"/>
          <w:b/>
          <w:szCs w:val="22"/>
        </w:rPr>
        <w:t>2</w:t>
      </w:r>
    </w:p>
    <w:p w14:paraId="7E1EABA1" w14:textId="77777777" w:rsidR="002459E4" w:rsidRPr="00BF1B64" w:rsidRDefault="002459E4" w:rsidP="002459E4">
      <w:pPr>
        <w:keepNext/>
        <w:ind w:left="567"/>
        <w:jc w:val="both"/>
        <w:rPr>
          <w:rFonts w:ascii="Arial" w:eastAsia="SimSun" w:hAnsi="Arial" w:cs="Arial"/>
          <w:szCs w:val="22"/>
        </w:rPr>
      </w:pPr>
      <w:r w:rsidRPr="00BF1B64">
        <w:rPr>
          <w:rFonts w:ascii="Arial" w:hAnsi="Arial" w:cs="Arial"/>
          <w:szCs w:val="22"/>
        </w:rPr>
        <w:t>The Committee,</w:t>
      </w:r>
    </w:p>
    <w:p w14:paraId="79AB2D68" w14:textId="648EB334" w:rsidR="002459E4" w:rsidRPr="00BF1B64" w:rsidRDefault="002459E4" w:rsidP="002459E4">
      <w:pPr>
        <w:numPr>
          <w:ilvl w:val="0"/>
          <w:numId w:val="14"/>
        </w:numPr>
        <w:autoSpaceDE w:val="0"/>
        <w:autoSpaceDN w:val="0"/>
        <w:adjustRightInd w:val="0"/>
        <w:ind w:left="1134" w:hanging="567"/>
        <w:rPr>
          <w:rFonts w:ascii="Arial" w:eastAsia="SimSun" w:hAnsi="Arial" w:cs="Arial"/>
          <w:szCs w:val="22"/>
          <w:u w:val="single"/>
        </w:rPr>
      </w:pPr>
      <w:r w:rsidRPr="00BF1B64">
        <w:rPr>
          <w:rFonts w:ascii="Arial" w:eastAsia="SimSun" w:hAnsi="Arial" w:cs="Arial"/>
          <w:szCs w:val="22"/>
          <w:u w:val="single"/>
        </w:rPr>
        <w:t>Having examined</w:t>
      </w:r>
      <w:r w:rsidRPr="00BF1B64">
        <w:rPr>
          <w:rFonts w:ascii="Arial" w:eastAsia="SimSun" w:hAnsi="Arial" w:cs="Arial"/>
          <w:szCs w:val="22"/>
        </w:rPr>
        <w:t xml:space="preserve"> document</w:t>
      </w:r>
      <w:r>
        <w:rPr>
          <w:rFonts w:ascii="Arial" w:eastAsia="SimSun" w:hAnsi="Arial" w:cs="Arial"/>
          <w:szCs w:val="22"/>
        </w:rPr>
        <w:t> LHE</w:t>
      </w:r>
      <w:r w:rsidRPr="00BF1B64">
        <w:rPr>
          <w:rFonts w:ascii="Arial" w:eastAsia="SimSun" w:hAnsi="Arial" w:cs="Arial"/>
          <w:szCs w:val="22"/>
        </w:rPr>
        <w:t>/</w:t>
      </w:r>
      <w:r w:rsidR="007D62C4">
        <w:rPr>
          <w:rFonts w:ascii="Arial" w:eastAsia="SimSun" w:hAnsi="Arial" w:cs="Arial"/>
          <w:szCs w:val="22"/>
        </w:rPr>
        <w:t>21</w:t>
      </w:r>
      <w:r w:rsidRPr="00BF1B64">
        <w:rPr>
          <w:rFonts w:ascii="Arial" w:eastAsia="SimSun" w:hAnsi="Arial" w:cs="Arial"/>
          <w:szCs w:val="22"/>
        </w:rPr>
        <w:t>/1</w:t>
      </w:r>
      <w:r w:rsidR="007D62C4">
        <w:rPr>
          <w:rFonts w:ascii="Arial" w:eastAsia="SimSun" w:hAnsi="Arial" w:cs="Arial"/>
          <w:szCs w:val="22"/>
        </w:rPr>
        <w:t>6</w:t>
      </w:r>
      <w:r w:rsidRPr="00BF1B64">
        <w:rPr>
          <w:rFonts w:ascii="Arial" w:eastAsia="SimSun" w:hAnsi="Arial" w:cs="Arial"/>
          <w:szCs w:val="22"/>
        </w:rPr>
        <w:t>.COM/</w:t>
      </w:r>
      <w:r w:rsidR="008E57E4">
        <w:rPr>
          <w:rFonts w:ascii="Arial" w:eastAsia="SimSun" w:hAnsi="Arial" w:cs="Arial"/>
          <w:szCs w:val="22"/>
        </w:rPr>
        <w:t>1</w:t>
      </w:r>
      <w:r w:rsidR="00013075">
        <w:rPr>
          <w:rFonts w:ascii="Arial" w:eastAsia="SimSun" w:hAnsi="Arial" w:cs="Arial"/>
          <w:szCs w:val="22"/>
        </w:rPr>
        <w:t>2</w:t>
      </w:r>
      <w:r w:rsidRPr="00BF1B64">
        <w:rPr>
          <w:rFonts w:ascii="Arial" w:eastAsia="SimSun" w:hAnsi="Arial" w:cs="Arial"/>
          <w:szCs w:val="22"/>
        </w:rPr>
        <w:t>,</w:t>
      </w:r>
    </w:p>
    <w:p w14:paraId="36F9DA9B" w14:textId="77777777" w:rsidR="002459E4" w:rsidRPr="00BF1B64" w:rsidRDefault="002459E4" w:rsidP="002459E4">
      <w:pPr>
        <w:numPr>
          <w:ilvl w:val="0"/>
          <w:numId w:val="14"/>
        </w:numPr>
        <w:autoSpaceDE w:val="0"/>
        <w:autoSpaceDN w:val="0"/>
        <w:adjustRightInd w:val="0"/>
        <w:ind w:left="1134" w:hanging="567"/>
        <w:rPr>
          <w:rFonts w:ascii="Arial" w:eastAsia="SimSun" w:hAnsi="Arial" w:cs="Arial"/>
          <w:szCs w:val="22"/>
          <w:u w:val="single"/>
        </w:rPr>
      </w:pPr>
      <w:r w:rsidRPr="00BF1B64">
        <w:rPr>
          <w:rFonts w:ascii="Arial" w:eastAsia="SimSun" w:hAnsi="Arial" w:cs="Arial"/>
          <w:szCs w:val="22"/>
          <w:u w:val="single"/>
        </w:rPr>
        <w:t>Recalling</w:t>
      </w:r>
      <w:r w:rsidRPr="00BF1B64">
        <w:rPr>
          <w:rFonts w:ascii="Arial" w:eastAsia="SimSun" w:hAnsi="Arial" w:cs="Arial"/>
          <w:szCs w:val="22"/>
        </w:rPr>
        <w:t xml:space="preserve"> Article 25.5 of the Convention and Chapter II of the Operational Directives,</w:t>
      </w:r>
    </w:p>
    <w:p w14:paraId="2A442E79" w14:textId="31C2E0BE" w:rsidR="002459E4" w:rsidRPr="00C411EA" w:rsidRDefault="002459E4" w:rsidP="002459E4">
      <w:pPr>
        <w:numPr>
          <w:ilvl w:val="0"/>
          <w:numId w:val="14"/>
        </w:numPr>
        <w:autoSpaceDE w:val="0"/>
        <w:autoSpaceDN w:val="0"/>
        <w:adjustRightInd w:val="0"/>
        <w:ind w:left="1134" w:hanging="567"/>
        <w:jc w:val="both"/>
        <w:rPr>
          <w:rFonts w:asciiTheme="minorBidi" w:eastAsia="SimSun" w:hAnsiTheme="minorBidi" w:cstheme="minorBidi"/>
          <w:szCs w:val="22"/>
          <w:u w:val="single"/>
        </w:rPr>
      </w:pPr>
      <w:r w:rsidRPr="00C411EA">
        <w:rPr>
          <w:rFonts w:ascii="Arial" w:eastAsia="SimSun" w:hAnsi="Arial" w:cs="Arial"/>
          <w:szCs w:val="22"/>
          <w:u w:val="single"/>
        </w:rPr>
        <w:t>Further recalling</w:t>
      </w:r>
      <w:r w:rsidRPr="00C411EA">
        <w:rPr>
          <w:rFonts w:ascii="Arial" w:eastAsia="SimSun" w:hAnsi="Arial" w:cs="Arial"/>
          <w:szCs w:val="22"/>
        </w:rPr>
        <w:t xml:space="preserve"> its previous decisions regarding </w:t>
      </w:r>
      <w:r w:rsidRPr="00C411EA">
        <w:rPr>
          <w:rFonts w:asciiTheme="minorBidi" w:eastAsia="SimSun" w:hAnsiTheme="minorBidi" w:cstheme="minorBidi"/>
          <w:szCs w:val="22"/>
        </w:rPr>
        <w:t xml:space="preserve">voluntary supplementary contributions to the Intangible Cultural Heritage Fund, and </w:t>
      </w:r>
      <w:r w:rsidR="007334DA" w:rsidRPr="00C411EA">
        <w:rPr>
          <w:rFonts w:asciiTheme="minorBidi" w:eastAsia="SimSun" w:hAnsiTheme="minorBidi" w:cstheme="minorBidi"/>
          <w:szCs w:val="22"/>
        </w:rPr>
        <w:t xml:space="preserve">in particular Decisions </w:t>
      </w:r>
      <w:hyperlink r:id="rId33" w:history="1">
        <w:r w:rsidR="007334DA" w:rsidRPr="00C411EA">
          <w:rPr>
            <w:rStyle w:val="Hyperlink"/>
            <w:rFonts w:ascii="Arial" w:hAnsi="Arial" w:cs="Arial"/>
            <w:snapToGrid w:val="0"/>
            <w:szCs w:val="22"/>
            <w:lang w:eastAsia="en-US"/>
          </w:rPr>
          <w:t>12.COM 6</w:t>
        </w:r>
      </w:hyperlink>
      <w:r w:rsidRPr="00C411EA">
        <w:rPr>
          <w:rFonts w:asciiTheme="minorBidi" w:eastAsia="SimSun" w:hAnsiTheme="minorBidi" w:cstheme="minorBidi"/>
          <w:szCs w:val="22"/>
        </w:rPr>
        <w:t> </w:t>
      </w:r>
      <w:r w:rsidR="007334DA" w:rsidRPr="00C411EA">
        <w:rPr>
          <w:rFonts w:asciiTheme="minorBidi" w:eastAsia="SimSun" w:hAnsiTheme="minorBidi" w:cstheme="minorBidi"/>
          <w:szCs w:val="22"/>
        </w:rPr>
        <w:t xml:space="preserve">and </w:t>
      </w:r>
      <w:hyperlink r:id="rId34" w:history="1">
        <w:r w:rsidR="00A37CF1" w:rsidRPr="00C411EA">
          <w:rPr>
            <w:rStyle w:val="Hyperlink"/>
            <w:rFonts w:asciiTheme="minorBidi" w:hAnsiTheme="minorBidi" w:cstheme="minorBidi"/>
          </w:rPr>
          <w:t>14.COM 6</w:t>
        </w:r>
      </w:hyperlink>
      <w:r w:rsidRPr="00C411EA">
        <w:rPr>
          <w:rFonts w:asciiTheme="minorBidi" w:eastAsia="SimSun" w:hAnsiTheme="minorBidi" w:cstheme="minorBidi"/>
          <w:szCs w:val="22"/>
        </w:rPr>
        <w:t>,</w:t>
      </w:r>
    </w:p>
    <w:p w14:paraId="1859CEB4" w14:textId="2E0F3560" w:rsidR="00DE48B9" w:rsidRPr="00B01D72" w:rsidRDefault="00D20C78" w:rsidP="00B01D72">
      <w:pPr>
        <w:pStyle w:val="COMParaDecision"/>
        <w:rPr>
          <w:u w:val="none"/>
        </w:rPr>
      </w:pPr>
      <w:r>
        <w:t>Thanks</w:t>
      </w:r>
      <w:r w:rsidR="00925A18" w:rsidRPr="0051163A">
        <w:rPr>
          <w:u w:val="none"/>
        </w:rPr>
        <w:t xml:space="preserve"> all the contributors that have generously supported the Convention and its Secretariat </w:t>
      </w:r>
      <w:r w:rsidR="00925A18">
        <w:rPr>
          <w:u w:val="none"/>
        </w:rPr>
        <w:t>through voluntary supplementary contributions to the Intangible Cultural Heritage Fund</w:t>
      </w:r>
      <w:r w:rsidR="00B01D72" w:rsidRPr="00B01D72">
        <w:rPr>
          <w:u w:val="none"/>
        </w:rPr>
        <w:t xml:space="preserve"> </w:t>
      </w:r>
      <w:r w:rsidR="00B01D72">
        <w:rPr>
          <w:u w:val="none"/>
        </w:rPr>
        <w:t>for projects under implementation during the 2018-2021 quadrennium</w:t>
      </w:r>
      <w:r w:rsidR="00925A18" w:rsidRPr="0051163A">
        <w:rPr>
          <w:u w:val="none"/>
        </w:rPr>
        <w:t xml:space="preserve">, namely Azerbaijan, France, </w:t>
      </w:r>
      <w:r w:rsidR="002520CD">
        <w:rPr>
          <w:u w:val="none"/>
        </w:rPr>
        <w:t xml:space="preserve">Japan, </w:t>
      </w:r>
      <w:r w:rsidR="00925A18" w:rsidRPr="0051163A">
        <w:rPr>
          <w:u w:val="none"/>
        </w:rPr>
        <w:t xml:space="preserve">Kuwait, Lithuania, Monaco, the Netherlands, </w:t>
      </w:r>
      <w:r w:rsidR="00B01D72">
        <w:rPr>
          <w:u w:val="none"/>
        </w:rPr>
        <w:t xml:space="preserve">Norway, </w:t>
      </w:r>
      <w:r w:rsidR="00925A18" w:rsidRPr="0051163A">
        <w:rPr>
          <w:u w:val="none"/>
        </w:rPr>
        <w:t>Palestine,</w:t>
      </w:r>
      <w:r w:rsidR="002520CD">
        <w:rPr>
          <w:u w:val="none"/>
        </w:rPr>
        <w:t xml:space="preserve"> the Republic of Korea,</w:t>
      </w:r>
      <w:r w:rsidR="00925A18" w:rsidRPr="0051163A">
        <w:rPr>
          <w:u w:val="none"/>
        </w:rPr>
        <w:t xml:space="preserve"> Slovakia</w:t>
      </w:r>
      <w:r w:rsidR="00925A18" w:rsidRPr="00B01D72">
        <w:rPr>
          <w:u w:val="none"/>
        </w:rPr>
        <w:t xml:space="preserve">, </w:t>
      </w:r>
      <w:r w:rsidR="00B01D72" w:rsidRPr="00B01D72">
        <w:rPr>
          <w:u w:val="none"/>
        </w:rPr>
        <w:t>Spain (Generalitat de Catalunya),</w:t>
      </w:r>
      <w:r w:rsidR="00B01D72">
        <w:rPr>
          <w:u w:val="none"/>
        </w:rPr>
        <w:t xml:space="preserve"> </w:t>
      </w:r>
      <w:r w:rsidR="00925A18" w:rsidRPr="0051163A">
        <w:rPr>
          <w:u w:val="none"/>
        </w:rPr>
        <w:t>Switzerland, the International Information and Networking Centre for Intangible Cultural Heritage in the Asia-Pacific Region (ICHCAP) and the Fondazione Museo del Violino Antonio Stradivari, as well as the People’s Republic of China for its in-kind support</w:t>
      </w:r>
      <w:r w:rsidR="0051163A">
        <w:rPr>
          <w:u w:val="none"/>
        </w:rPr>
        <w:t>;</w:t>
      </w:r>
    </w:p>
    <w:p w14:paraId="59E9772C" w14:textId="418D968B" w:rsidR="00ED447B" w:rsidRPr="00C411EA" w:rsidRDefault="0051163A" w:rsidP="002459E4">
      <w:pPr>
        <w:pStyle w:val="COMParaDecision"/>
        <w:rPr>
          <w:u w:val="none"/>
        </w:rPr>
      </w:pPr>
      <w:r>
        <w:t>T</w:t>
      </w:r>
      <w:r w:rsidR="00ED447B" w:rsidRPr="0051163A">
        <w:t>akes note</w:t>
      </w:r>
      <w:r w:rsidR="00ED447B" w:rsidRPr="00C411EA">
        <w:rPr>
          <w:u w:val="none"/>
        </w:rPr>
        <w:t xml:space="preserve"> that while the mobilization targets for both funding priorities have not been met in terms of voluntary supplementary contributions to the </w:t>
      </w:r>
      <w:r w:rsidR="00ED447B" w:rsidRPr="0051163A">
        <w:rPr>
          <w:rFonts w:asciiTheme="minorBidi" w:hAnsiTheme="minorBidi" w:cstheme="minorBidi"/>
          <w:u w:val="none"/>
        </w:rPr>
        <w:t xml:space="preserve">Intangible Cultural Heritage Fund, the Convention </w:t>
      </w:r>
      <w:r w:rsidR="00D20C78">
        <w:rPr>
          <w:rFonts w:asciiTheme="minorBidi" w:hAnsiTheme="minorBidi" w:cstheme="minorBidi"/>
          <w:u w:val="none"/>
        </w:rPr>
        <w:t xml:space="preserve">has </w:t>
      </w:r>
      <w:r w:rsidR="00ED447B" w:rsidRPr="0051163A">
        <w:rPr>
          <w:rFonts w:asciiTheme="minorBidi" w:hAnsiTheme="minorBidi" w:cstheme="minorBidi"/>
          <w:u w:val="none"/>
        </w:rPr>
        <w:t>receive</w:t>
      </w:r>
      <w:r w:rsidR="00D20C78">
        <w:rPr>
          <w:rFonts w:asciiTheme="minorBidi" w:hAnsiTheme="minorBidi" w:cstheme="minorBidi"/>
          <w:u w:val="none"/>
        </w:rPr>
        <w:t>d</w:t>
      </w:r>
      <w:r w:rsidR="00ED447B" w:rsidRPr="0051163A">
        <w:rPr>
          <w:rFonts w:asciiTheme="minorBidi" w:hAnsiTheme="minorBidi" w:cstheme="minorBidi"/>
          <w:u w:val="none"/>
        </w:rPr>
        <w:t xml:space="preserve"> significant support</w:t>
      </w:r>
      <w:r w:rsidR="00ED447B" w:rsidRPr="00C411EA">
        <w:rPr>
          <w:rFonts w:asciiTheme="minorBidi" w:hAnsiTheme="minorBidi" w:cstheme="minorBidi"/>
          <w:u w:val="none"/>
        </w:rPr>
        <w:t xml:space="preserve"> through </w:t>
      </w:r>
      <w:r w:rsidR="000F65F3">
        <w:rPr>
          <w:rFonts w:asciiTheme="minorBidi" w:hAnsiTheme="minorBidi" w:cstheme="minorBidi"/>
          <w:u w:val="none"/>
        </w:rPr>
        <w:t xml:space="preserve">the Funds-in-Trust and </w:t>
      </w:r>
      <w:r w:rsidR="000F65F3">
        <w:rPr>
          <w:rFonts w:asciiTheme="minorBidi" w:hAnsiTheme="minorBidi" w:cstheme="minorBidi"/>
          <w:u w:val="none"/>
        </w:rPr>
        <w:lastRenderedPageBreak/>
        <w:t>other</w:t>
      </w:r>
      <w:r w:rsidR="00ED447B" w:rsidRPr="00C411EA">
        <w:rPr>
          <w:rFonts w:asciiTheme="minorBidi" w:hAnsiTheme="minorBidi" w:cstheme="minorBidi"/>
          <w:u w:val="none"/>
        </w:rPr>
        <w:t xml:space="preserve"> earmarked </w:t>
      </w:r>
      <w:r w:rsidR="000F65F3">
        <w:rPr>
          <w:rFonts w:asciiTheme="minorBidi" w:hAnsiTheme="minorBidi" w:cstheme="minorBidi"/>
          <w:u w:val="none"/>
        </w:rPr>
        <w:t>modalities</w:t>
      </w:r>
      <w:r w:rsidR="00E74A43">
        <w:rPr>
          <w:rFonts w:asciiTheme="minorBidi" w:hAnsiTheme="minorBidi" w:cstheme="minorBidi"/>
          <w:u w:val="none"/>
        </w:rPr>
        <w:t>,</w:t>
      </w:r>
      <w:r w:rsidR="000F65F3">
        <w:rPr>
          <w:rFonts w:asciiTheme="minorBidi" w:hAnsiTheme="minorBidi" w:cstheme="minorBidi"/>
          <w:u w:val="none"/>
        </w:rPr>
        <w:t xml:space="preserve"> </w:t>
      </w:r>
      <w:r w:rsidR="00D20C78">
        <w:rPr>
          <w:rFonts w:asciiTheme="minorBidi" w:hAnsiTheme="minorBidi" w:cstheme="minorBidi"/>
          <w:u w:val="none"/>
        </w:rPr>
        <w:t xml:space="preserve">and </w:t>
      </w:r>
      <w:r w:rsidR="00D20C78">
        <w:t>e</w:t>
      </w:r>
      <w:r w:rsidR="00D20C78" w:rsidRPr="00C411EA">
        <w:t>xpresses appreciation</w:t>
      </w:r>
      <w:r w:rsidR="00D20C78" w:rsidRPr="00C411EA">
        <w:rPr>
          <w:u w:val="none"/>
        </w:rPr>
        <w:t xml:space="preserve"> to all the contributors that have generously supported the Convention </w:t>
      </w:r>
      <w:r>
        <w:rPr>
          <w:u w:val="none"/>
        </w:rPr>
        <w:t>during the 2018-2021 quadrennium</w:t>
      </w:r>
      <w:r w:rsidR="00ED447B" w:rsidRPr="0051163A">
        <w:rPr>
          <w:rFonts w:asciiTheme="minorBidi" w:hAnsiTheme="minorBidi" w:cstheme="minorBidi"/>
          <w:u w:val="none"/>
        </w:rPr>
        <w:t>;</w:t>
      </w:r>
    </w:p>
    <w:p w14:paraId="10F02D4D" w14:textId="736E256B" w:rsidR="008E3F0F" w:rsidRPr="00C411EA" w:rsidRDefault="008E3F0F" w:rsidP="008E3F0F">
      <w:pPr>
        <w:pStyle w:val="COMParaDecision"/>
      </w:pPr>
      <w:r w:rsidRPr="00C411EA">
        <w:rPr>
          <w:rFonts w:eastAsia="Times New Roman"/>
        </w:rPr>
        <w:t>Approves</w:t>
      </w:r>
      <w:r w:rsidRPr="00C411EA">
        <w:rPr>
          <w:rFonts w:eastAsia="Times New Roman"/>
          <w:u w:val="none"/>
        </w:rPr>
        <w:t xml:space="preserve"> the two </w:t>
      </w:r>
      <w:r w:rsidRPr="00C411EA">
        <w:rPr>
          <w:u w:val="none"/>
          <w:lang w:val="en-US"/>
        </w:rPr>
        <w:t>funding priorities</w:t>
      </w:r>
      <w:r w:rsidRPr="00C411EA">
        <w:rPr>
          <w:u w:val="none"/>
        </w:rPr>
        <w:t xml:space="preserve"> for the period 2022-2025 entitled ‘</w:t>
      </w:r>
      <w:r w:rsidR="00900435" w:rsidRPr="00C411EA">
        <w:rPr>
          <w:u w:val="none"/>
        </w:rPr>
        <w:t>Strengthening capacities to safeguard intangible cultural heritage using multi-modal approaches and contribute to sustainable development</w:t>
      </w:r>
      <w:r w:rsidRPr="00C411EA">
        <w:rPr>
          <w:u w:val="none"/>
        </w:rPr>
        <w:t xml:space="preserve">’ and ‘Safeguarding intangible cultural heritage in formal and non-formal education’, </w:t>
      </w:r>
      <w:r w:rsidRPr="00C411EA">
        <w:rPr>
          <w:rFonts w:eastAsia="Times New Roman"/>
        </w:rPr>
        <w:t>accepts</w:t>
      </w:r>
      <w:r w:rsidRPr="00C411EA">
        <w:rPr>
          <w:rFonts w:eastAsia="Times New Roman"/>
          <w:u w:val="none"/>
        </w:rPr>
        <w:t xml:space="preserve"> any future voluntary supplementary contributions made to support activities </w:t>
      </w:r>
      <w:r w:rsidRPr="00C411EA">
        <w:rPr>
          <w:u w:val="none"/>
        </w:rPr>
        <w:t>within the scope of these priorities</w:t>
      </w:r>
      <w:r w:rsidR="00473F98">
        <w:rPr>
          <w:u w:val="none"/>
        </w:rPr>
        <w:t>,</w:t>
      </w:r>
      <w:r w:rsidRPr="00C411EA">
        <w:rPr>
          <w:u w:val="none"/>
        </w:rPr>
        <w:t xml:space="preserve"> </w:t>
      </w:r>
      <w:r w:rsidRPr="00C411EA">
        <w:rPr>
          <w:rFonts w:eastAsia="Times New Roman"/>
          <w:u w:val="none"/>
        </w:rPr>
        <w:t xml:space="preserve">and </w:t>
      </w:r>
      <w:r w:rsidRPr="00C411EA">
        <w:rPr>
          <w:rFonts w:eastAsia="Times New Roman"/>
        </w:rPr>
        <w:t>authorizes</w:t>
      </w:r>
      <w:r w:rsidRPr="00C411EA">
        <w:rPr>
          <w:rFonts w:eastAsia="Times New Roman"/>
          <w:u w:val="none"/>
        </w:rPr>
        <w:t xml:space="preserve"> the Secretariat to make immediate use of them</w:t>
      </w:r>
      <w:r w:rsidRPr="00C411EA">
        <w:rPr>
          <w:u w:val="none"/>
        </w:rPr>
        <w:t>;</w:t>
      </w:r>
    </w:p>
    <w:p w14:paraId="71ACFBEA" w14:textId="187F8283" w:rsidR="00C05FA1" w:rsidRPr="0051163A" w:rsidRDefault="00C05FA1">
      <w:pPr>
        <w:pStyle w:val="COMParaDecision"/>
        <w:rPr>
          <w:u w:val="none"/>
        </w:rPr>
      </w:pPr>
      <w:r w:rsidRPr="00C411EA">
        <w:t>E</w:t>
      </w:r>
      <w:r w:rsidR="008E3F0F" w:rsidRPr="00C411EA">
        <w:t>ncourages</w:t>
      </w:r>
      <w:r w:rsidR="008E3F0F" w:rsidRPr="00C411EA">
        <w:rPr>
          <w:u w:val="none"/>
        </w:rPr>
        <w:t xml:space="preserve"> </w:t>
      </w:r>
      <w:r w:rsidR="008E2E87" w:rsidRPr="00C411EA">
        <w:rPr>
          <w:u w:val="none"/>
        </w:rPr>
        <w:t xml:space="preserve">potential </w:t>
      </w:r>
      <w:r w:rsidR="008E3F0F" w:rsidRPr="00C411EA">
        <w:rPr>
          <w:u w:val="none"/>
        </w:rPr>
        <w:t>contributors to consider the possibility of supporting the Convention, in particular through the Intangible Cultural Heritage Fund and the Sub-fund for enhancing the human resources of the Secretariat</w:t>
      </w:r>
      <w:r w:rsidR="008E2E87" w:rsidRPr="00C411EA">
        <w:rPr>
          <w:u w:val="none"/>
        </w:rPr>
        <w:t xml:space="preserve">, to </w:t>
      </w:r>
      <w:r w:rsidRPr="0051163A">
        <w:rPr>
          <w:u w:val="none"/>
        </w:rPr>
        <w:t>allow the Secretariat to respond positively to the needs expressed by States Parties in line with the two funding priorities;</w:t>
      </w:r>
    </w:p>
    <w:p w14:paraId="5381051E" w14:textId="460E7992" w:rsidR="002459E4" w:rsidRPr="00C411EA" w:rsidRDefault="00C05FA1" w:rsidP="002459E4">
      <w:pPr>
        <w:pStyle w:val="COMParaDecision"/>
      </w:pPr>
      <w:r w:rsidRPr="00C411EA">
        <w:t>Further</w:t>
      </w:r>
      <w:r w:rsidR="008844EA" w:rsidRPr="00C411EA">
        <w:t xml:space="preserve"> </w:t>
      </w:r>
      <w:r w:rsidR="002459E4" w:rsidRPr="00C411EA">
        <w:t>encourages</w:t>
      </w:r>
      <w:r w:rsidR="002459E4" w:rsidRPr="00C411EA">
        <w:rPr>
          <w:u w:val="none"/>
        </w:rPr>
        <w:t xml:space="preserve"> the Secretariat</w:t>
      </w:r>
      <w:r w:rsidR="008E3F0F" w:rsidRPr="00C411EA">
        <w:rPr>
          <w:u w:val="none"/>
        </w:rPr>
        <w:t xml:space="preserve"> </w:t>
      </w:r>
      <w:r w:rsidR="002459E4" w:rsidRPr="00C411EA">
        <w:rPr>
          <w:u w:val="none"/>
        </w:rPr>
        <w:t>to pursue its efforts to mobilize funds to support the implementation of the Convention, in particular for the two funding priorities approved for the period 20</w:t>
      </w:r>
      <w:r w:rsidR="008E3F0F" w:rsidRPr="00C411EA">
        <w:rPr>
          <w:u w:val="none"/>
        </w:rPr>
        <w:t>22</w:t>
      </w:r>
      <w:r w:rsidR="002459E4" w:rsidRPr="00C411EA">
        <w:rPr>
          <w:u w:val="none"/>
        </w:rPr>
        <w:t>–202</w:t>
      </w:r>
      <w:r w:rsidR="008E3F0F" w:rsidRPr="00C411EA">
        <w:rPr>
          <w:u w:val="none"/>
        </w:rPr>
        <w:t>5</w:t>
      </w:r>
      <w:r w:rsidR="002459E4" w:rsidRPr="00C411EA">
        <w:rPr>
          <w:u w:val="none"/>
        </w:rPr>
        <w:t xml:space="preserve">, and </w:t>
      </w:r>
      <w:r w:rsidR="004B008B">
        <w:rPr>
          <w:u w:val="none"/>
        </w:rPr>
        <w:t xml:space="preserve">to </w:t>
      </w:r>
      <w:r w:rsidR="002459E4" w:rsidRPr="00C411EA">
        <w:rPr>
          <w:u w:val="none"/>
        </w:rPr>
        <w:t>enhance the human resources of the Secretariat;</w:t>
      </w:r>
    </w:p>
    <w:p w14:paraId="6E68447B" w14:textId="0C0C7E08" w:rsidR="002459E4" w:rsidRPr="00004349" w:rsidRDefault="008E3F0F" w:rsidP="002459E4">
      <w:pPr>
        <w:keepNext/>
        <w:keepLines/>
        <w:numPr>
          <w:ilvl w:val="0"/>
          <w:numId w:val="14"/>
        </w:numPr>
        <w:autoSpaceDE w:val="0"/>
        <w:autoSpaceDN w:val="0"/>
        <w:adjustRightInd w:val="0"/>
        <w:ind w:left="1134" w:hanging="567"/>
        <w:jc w:val="both"/>
        <w:rPr>
          <w:rFonts w:ascii="Arial" w:eastAsia="SimSun" w:hAnsi="Arial" w:cs="Arial"/>
          <w:szCs w:val="22"/>
        </w:rPr>
      </w:pPr>
      <w:r w:rsidRPr="00C411EA">
        <w:rPr>
          <w:rFonts w:ascii="Arial" w:eastAsia="SimSun" w:hAnsi="Arial" w:cs="Arial"/>
          <w:szCs w:val="22"/>
          <w:u w:val="single"/>
          <w:lang w:val="en"/>
        </w:rPr>
        <w:t>R</w:t>
      </w:r>
      <w:r w:rsidR="002459E4" w:rsidRPr="00C411EA">
        <w:rPr>
          <w:rFonts w:ascii="Arial" w:eastAsia="SimSun" w:hAnsi="Arial" w:cs="Arial"/>
          <w:szCs w:val="22"/>
          <w:u w:val="single"/>
          <w:lang w:val="en"/>
        </w:rPr>
        <w:t>equests</w:t>
      </w:r>
      <w:r w:rsidR="002459E4" w:rsidRPr="00C411EA">
        <w:rPr>
          <w:rFonts w:ascii="Arial" w:eastAsia="SimSun" w:hAnsi="Arial" w:cs="Arial"/>
          <w:szCs w:val="22"/>
          <w:lang w:val="en"/>
        </w:rPr>
        <w:t xml:space="preserve"> </w:t>
      </w:r>
      <w:r w:rsidR="002459E4" w:rsidRPr="00C411EA">
        <w:rPr>
          <w:rFonts w:ascii="Arial" w:eastAsia="SimSun" w:hAnsi="Arial" w:cs="Arial"/>
          <w:szCs w:val="22"/>
          <w:lang w:val="en-US"/>
        </w:rPr>
        <w:t xml:space="preserve">that the Secretariat report, at its </w:t>
      </w:r>
      <w:r w:rsidRPr="00C411EA">
        <w:rPr>
          <w:rFonts w:ascii="Arial" w:eastAsia="SimSun" w:hAnsi="Arial" w:cs="Arial"/>
          <w:szCs w:val="22"/>
          <w:lang w:val="en-US"/>
        </w:rPr>
        <w:t>sevent</w:t>
      </w:r>
      <w:r w:rsidR="002459E4" w:rsidRPr="00C411EA">
        <w:rPr>
          <w:rFonts w:ascii="Arial" w:eastAsia="SimSun" w:hAnsi="Arial" w:cs="Arial"/>
          <w:szCs w:val="22"/>
          <w:lang w:val="en-US"/>
        </w:rPr>
        <w:t>eenth</w:t>
      </w:r>
      <w:r w:rsidR="002459E4" w:rsidRPr="00CC2493">
        <w:rPr>
          <w:rFonts w:ascii="Arial" w:eastAsia="SimSun" w:hAnsi="Arial" w:cs="Arial"/>
          <w:szCs w:val="22"/>
          <w:lang w:val="en-US"/>
        </w:rPr>
        <w:t xml:space="preserve"> session</w:t>
      </w:r>
      <w:r w:rsidR="002459E4" w:rsidRPr="00BF1B64">
        <w:rPr>
          <w:rFonts w:ascii="Arial" w:eastAsia="SimSun" w:hAnsi="Arial" w:cs="Arial"/>
          <w:szCs w:val="22"/>
          <w:lang w:val="en-US"/>
        </w:rPr>
        <w:t xml:space="preserve">, on the progress made in the implementation of any voluntary supplementary contributions it may have received since the </w:t>
      </w:r>
      <w:r>
        <w:rPr>
          <w:rFonts w:ascii="Arial" w:eastAsia="SimSun" w:hAnsi="Arial" w:cs="Arial"/>
          <w:szCs w:val="22"/>
          <w:lang w:val="en-US"/>
        </w:rPr>
        <w:t>sixteen</w:t>
      </w:r>
      <w:r w:rsidR="002459E4" w:rsidRPr="00BF1B64">
        <w:rPr>
          <w:rFonts w:ascii="Arial" w:eastAsia="SimSun" w:hAnsi="Arial" w:cs="Arial"/>
          <w:szCs w:val="22"/>
          <w:lang w:val="en-US"/>
        </w:rPr>
        <w:t>th session.</w:t>
      </w:r>
    </w:p>
    <w:p w14:paraId="31180896" w14:textId="7D49D5EA" w:rsidR="002459E4" w:rsidRPr="00BF1B64" w:rsidRDefault="002459E4" w:rsidP="002459E4">
      <w:pPr>
        <w:keepNext/>
        <w:pageBreakBefore/>
        <w:autoSpaceDE w:val="0"/>
        <w:autoSpaceDN w:val="0"/>
        <w:adjustRightInd w:val="0"/>
        <w:spacing w:before="240" w:after="480"/>
        <w:jc w:val="center"/>
        <w:rPr>
          <w:rFonts w:ascii="Arial" w:eastAsia="SimSun" w:hAnsi="Arial" w:cs="Arial"/>
          <w:b/>
          <w:caps/>
          <w:snapToGrid w:val="0"/>
          <w:szCs w:val="22"/>
          <w:u w:val="single"/>
          <w:lang w:eastAsia="en-US"/>
        </w:rPr>
      </w:pPr>
      <w:r w:rsidRPr="00BF1B64">
        <w:rPr>
          <w:rFonts w:ascii="Arial" w:hAnsi="Arial" w:cs="Arial"/>
          <w:b/>
          <w:caps/>
          <w:snapToGrid w:val="0"/>
          <w:szCs w:val="22"/>
          <w:u w:val="single"/>
          <w:lang w:eastAsia="en-US"/>
        </w:rPr>
        <w:lastRenderedPageBreak/>
        <w:t>ANNEX</w:t>
      </w:r>
      <w:r w:rsidR="00DB7255">
        <w:rPr>
          <w:rFonts w:ascii="Arial" w:hAnsi="Arial" w:cs="Arial"/>
          <w:b/>
          <w:caps/>
          <w:snapToGrid w:val="0"/>
          <w:szCs w:val="22"/>
          <w:u w:val="single"/>
          <w:lang w:eastAsia="en-US"/>
        </w:rPr>
        <w:t xml:space="preserve"> I</w:t>
      </w:r>
    </w:p>
    <w:p w14:paraId="020E3D89" w14:textId="2D786078" w:rsidR="002459E4" w:rsidRPr="00BF1B64" w:rsidRDefault="002459E4" w:rsidP="002459E4">
      <w:pPr>
        <w:keepNext/>
        <w:autoSpaceDE w:val="0"/>
        <w:autoSpaceDN w:val="0"/>
        <w:adjustRightInd w:val="0"/>
        <w:jc w:val="center"/>
        <w:rPr>
          <w:rFonts w:ascii="Arial" w:eastAsia="SimSun" w:hAnsi="Arial" w:cs="Arial"/>
          <w:b/>
          <w:szCs w:val="22"/>
        </w:rPr>
      </w:pPr>
      <w:r>
        <w:rPr>
          <w:rFonts w:ascii="Arial" w:eastAsia="SimSun" w:hAnsi="Arial" w:cs="Arial"/>
          <w:b/>
          <w:szCs w:val="22"/>
        </w:rPr>
        <w:t>Cash and in-kind contributions received in</w:t>
      </w:r>
      <w:r w:rsidRPr="00BF1B64">
        <w:rPr>
          <w:rFonts w:ascii="Arial" w:eastAsia="SimSun" w:hAnsi="Arial" w:cs="Arial"/>
          <w:b/>
          <w:szCs w:val="22"/>
        </w:rPr>
        <w:t xml:space="preserve"> support </w:t>
      </w:r>
      <w:r w:rsidR="004B008B">
        <w:rPr>
          <w:rFonts w:ascii="Arial" w:eastAsia="SimSun" w:hAnsi="Arial" w:cs="Arial"/>
          <w:b/>
          <w:szCs w:val="22"/>
        </w:rPr>
        <w:t>of</w:t>
      </w:r>
      <w:r w:rsidR="004B008B" w:rsidRPr="00BF1B64">
        <w:rPr>
          <w:rFonts w:ascii="Arial" w:eastAsia="SimSun" w:hAnsi="Arial" w:cs="Arial"/>
          <w:b/>
          <w:szCs w:val="22"/>
        </w:rPr>
        <w:t xml:space="preserve"> </w:t>
      </w:r>
      <w:r w:rsidRPr="00BF1B64">
        <w:rPr>
          <w:rFonts w:ascii="Arial" w:eastAsia="SimSun" w:hAnsi="Arial" w:cs="Arial"/>
          <w:b/>
          <w:szCs w:val="22"/>
        </w:rPr>
        <w:t>the 2003 Convention between</w:t>
      </w:r>
    </w:p>
    <w:p w14:paraId="775B587A" w14:textId="587C06FB" w:rsidR="002459E4" w:rsidRPr="00BF1B64" w:rsidRDefault="002459E4" w:rsidP="002459E4">
      <w:pPr>
        <w:keepNext/>
        <w:autoSpaceDE w:val="0"/>
        <w:autoSpaceDN w:val="0"/>
        <w:adjustRightInd w:val="0"/>
        <w:jc w:val="center"/>
        <w:rPr>
          <w:rFonts w:ascii="Arial" w:hAnsi="Arial" w:cs="Arial"/>
          <w:b/>
          <w:caps/>
          <w:snapToGrid w:val="0"/>
          <w:szCs w:val="22"/>
          <w:lang w:eastAsia="en-US"/>
        </w:rPr>
      </w:pPr>
      <w:r w:rsidRPr="00BF1B64">
        <w:rPr>
          <w:rFonts w:ascii="Arial" w:eastAsia="SimSun" w:hAnsi="Arial" w:cs="Arial"/>
          <w:b/>
          <w:szCs w:val="22"/>
        </w:rPr>
        <w:t xml:space="preserve">the </w:t>
      </w:r>
      <w:r w:rsidR="004A69AC">
        <w:rPr>
          <w:rFonts w:ascii="Arial" w:eastAsia="SimSun" w:hAnsi="Arial" w:cs="Arial"/>
          <w:b/>
          <w:szCs w:val="22"/>
        </w:rPr>
        <w:t>fou</w:t>
      </w:r>
      <w:r>
        <w:rPr>
          <w:rFonts w:ascii="Arial" w:eastAsia="SimSun" w:hAnsi="Arial" w:cs="Arial"/>
          <w:b/>
          <w:szCs w:val="22"/>
        </w:rPr>
        <w:t>rteenth</w:t>
      </w:r>
      <w:r w:rsidRPr="00BF1B64">
        <w:rPr>
          <w:rFonts w:ascii="Arial" w:eastAsia="SimSun" w:hAnsi="Arial" w:cs="Arial"/>
          <w:b/>
          <w:szCs w:val="22"/>
        </w:rPr>
        <w:t xml:space="preserve"> session of the Committee (December 201</w:t>
      </w:r>
      <w:r w:rsidR="004A69AC">
        <w:rPr>
          <w:rFonts w:ascii="Arial" w:eastAsia="SimSun" w:hAnsi="Arial" w:cs="Arial"/>
          <w:b/>
          <w:szCs w:val="22"/>
        </w:rPr>
        <w:t>9</w:t>
      </w:r>
      <w:r>
        <w:rPr>
          <w:rFonts w:ascii="Arial" w:eastAsia="SimSun" w:hAnsi="Arial" w:cs="Arial"/>
          <w:b/>
          <w:szCs w:val="22"/>
        </w:rPr>
        <w:t xml:space="preserve">) </w:t>
      </w:r>
      <w:r w:rsidRPr="00B01D72">
        <w:rPr>
          <w:rFonts w:ascii="Arial" w:eastAsia="SimSun" w:hAnsi="Arial" w:cs="Arial"/>
          <w:b/>
          <w:szCs w:val="22"/>
        </w:rPr>
        <w:t xml:space="preserve">and </w:t>
      </w:r>
      <w:r w:rsidR="002A719E" w:rsidRPr="00B01D72">
        <w:rPr>
          <w:rFonts w:ascii="Arial" w:eastAsia="SimSun" w:hAnsi="Arial" w:cs="Arial"/>
          <w:b/>
          <w:szCs w:val="22"/>
        </w:rPr>
        <w:t>June</w:t>
      </w:r>
      <w:r w:rsidR="004A69AC" w:rsidRPr="00B01D72">
        <w:rPr>
          <w:rFonts w:ascii="Arial" w:eastAsia="SimSun" w:hAnsi="Arial" w:cs="Arial"/>
          <w:b/>
          <w:szCs w:val="22"/>
        </w:rPr>
        <w:t xml:space="preserve"> 2021</w:t>
      </w:r>
      <w:r w:rsidR="00E664AB" w:rsidRPr="00B01D72">
        <w:rPr>
          <w:rStyle w:val="FootnoteReference"/>
          <w:rFonts w:ascii="Arial" w:eastAsia="SimSun" w:hAnsi="Arial" w:cs="Arial"/>
          <w:b/>
          <w:szCs w:val="22"/>
        </w:rPr>
        <w:footnoteReference w:id="3"/>
      </w:r>
    </w:p>
    <w:p w14:paraId="065E4ADE" w14:textId="77777777" w:rsidR="002459E4" w:rsidRPr="00BF1B64" w:rsidRDefault="002459E4" w:rsidP="002459E4">
      <w:pPr>
        <w:spacing w:before="840" w:after="60"/>
        <w:rPr>
          <w:rFonts w:ascii="Arial" w:hAnsi="Arial" w:cs="Arial"/>
          <w:b/>
          <w:smallCaps/>
          <w:color w:val="000000"/>
          <w:szCs w:val="22"/>
        </w:rPr>
      </w:pPr>
      <w:r w:rsidRPr="00BF1B64">
        <w:rPr>
          <w:rFonts w:ascii="Arial" w:hAnsi="Arial" w:cs="Arial"/>
          <w:b/>
          <w:smallCaps/>
          <w:color w:val="000000"/>
          <w:szCs w:val="22"/>
        </w:rPr>
        <w:t>Voluntary supplementary contributions to the Intangible Cultural Heritage Fund</w:t>
      </w:r>
    </w:p>
    <w:p w14:paraId="6A6AEB81" w14:textId="2E8004ED" w:rsidR="002459E4" w:rsidRPr="00FF3EC6" w:rsidRDefault="004A69AC" w:rsidP="002459E4">
      <w:pPr>
        <w:spacing w:before="120"/>
        <w:ind w:left="709"/>
        <w:rPr>
          <w:rFonts w:ascii="Arial" w:hAnsi="Arial" w:cs="Arial"/>
          <w:b/>
          <w:color w:val="000000"/>
          <w:sz w:val="20"/>
          <w:szCs w:val="20"/>
        </w:rPr>
      </w:pPr>
      <w:r>
        <w:rPr>
          <w:rFonts w:ascii="Arial" w:hAnsi="Arial" w:cs="Arial"/>
          <w:b/>
          <w:color w:val="000000"/>
          <w:sz w:val="20"/>
          <w:szCs w:val="20"/>
        </w:rPr>
        <w:t xml:space="preserve">Funding priority 1. </w:t>
      </w:r>
      <w:r w:rsidRPr="004A69AC">
        <w:rPr>
          <w:rFonts w:ascii="Arial" w:hAnsi="Arial" w:cs="Arial"/>
          <w:b/>
          <w:color w:val="000000"/>
          <w:sz w:val="20"/>
          <w:szCs w:val="20"/>
        </w:rPr>
        <w:t>Strengthening capacities to safeguard intangible cultural heritage and contribute to sustainable development</w:t>
      </w:r>
    </w:p>
    <w:tbl>
      <w:tblPr>
        <w:tblW w:w="8930" w:type="dxa"/>
        <w:tblInd w:w="709" w:type="dxa"/>
        <w:tblLook w:val="04A0" w:firstRow="1" w:lastRow="0" w:firstColumn="1" w:lastColumn="0" w:noHBand="0" w:noVBand="1"/>
      </w:tblPr>
      <w:tblGrid>
        <w:gridCol w:w="6603"/>
        <w:gridCol w:w="2327"/>
      </w:tblGrid>
      <w:tr w:rsidR="002459E4" w:rsidRPr="00BF1B64" w14:paraId="2A352D45" w14:textId="77777777" w:rsidTr="008E3F0F">
        <w:trPr>
          <w:cantSplit/>
        </w:trPr>
        <w:tc>
          <w:tcPr>
            <w:tcW w:w="6603" w:type="dxa"/>
            <w:vAlign w:val="center"/>
          </w:tcPr>
          <w:p w14:paraId="22D9B14C" w14:textId="2E758491" w:rsidR="002459E4" w:rsidRPr="00FF3EC6" w:rsidRDefault="004A69AC" w:rsidP="008E3F0F">
            <w:pPr>
              <w:spacing w:before="60" w:after="60"/>
              <w:rPr>
                <w:rFonts w:ascii="Arial" w:hAnsi="Arial" w:cs="Arial"/>
                <w:color w:val="000000"/>
                <w:sz w:val="20"/>
                <w:szCs w:val="20"/>
              </w:rPr>
            </w:pPr>
            <w:r>
              <w:rPr>
                <w:rFonts w:ascii="Arial" w:hAnsi="Arial" w:cs="Arial"/>
                <w:color w:val="000000"/>
                <w:sz w:val="20"/>
                <w:szCs w:val="20"/>
              </w:rPr>
              <w:t>Azerbaijan</w:t>
            </w:r>
          </w:p>
        </w:tc>
        <w:tc>
          <w:tcPr>
            <w:tcW w:w="2327" w:type="dxa"/>
            <w:vAlign w:val="center"/>
          </w:tcPr>
          <w:p w14:paraId="147366A3" w14:textId="4CBE3868" w:rsidR="002459E4" w:rsidRPr="00BF1B64" w:rsidRDefault="002459E4" w:rsidP="008E3F0F">
            <w:pPr>
              <w:spacing w:before="60" w:after="60"/>
              <w:jc w:val="right"/>
              <w:rPr>
                <w:rFonts w:ascii="Arial" w:hAnsi="Arial" w:cs="Arial"/>
                <w:color w:val="000000"/>
                <w:sz w:val="20"/>
                <w:szCs w:val="20"/>
              </w:rPr>
            </w:pPr>
            <w:r w:rsidRPr="00FF3EC6">
              <w:rPr>
                <w:rFonts w:ascii="Arial" w:hAnsi="Arial" w:cs="Arial"/>
                <w:color w:val="000000"/>
                <w:sz w:val="20"/>
                <w:szCs w:val="20"/>
              </w:rPr>
              <w:t>US$</w:t>
            </w:r>
            <w:r w:rsidR="004A69AC">
              <w:rPr>
                <w:rFonts w:ascii="Arial" w:hAnsi="Arial" w:cs="Arial"/>
                <w:color w:val="000000"/>
                <w:sz w:val="20"/>
                <w:szCs w:val="20"/>
              </w:rPr>
              <w:t>100,000</w:t>
            </w:r>
            <w:r w:rsidRPr="00FF3EC6">
              <w:rPr>
                <w:rFonts w:ascii="Arial" w:hAnsi="Arial" w:cs="Arial"/>
                <w:color w:val="000000"/>
                <w:sz w:val="20"/>
                <w:szCs w:val="20"/>
              </w:rPr>
              <w:t>.00</w:t>
            </w:r>
          </w:p>
        </w:tc>
      </w:tr>
      <w:tr w:rsidR="004A69AC" w:rsidRPr="00BF1B64" w14:paraId="4E3EE5FA" w14:textId="77777777" w:rsidTr="008E3F0F">
        <w:trPr>
          <w:cantSplit/>
        </w:trPr>
        <w:tc>
          <w:tcPr>
            <w:tcW w:w="6603" w:type="dxa"/>
            <w:vAlign w:val="center"/>
          </w:tcPr>
          <w:p w14:paraId="1A19BB6E" w14:textId="306D08E8" w:rsidR="004A69AC" w:rsidRDefault="004A69AC" w:rsidP="008E3F0F">
            <w:pPr>
              <w:spacing w:before="60" w:after="60"/>
              <w:rPr>
                <w:rFonts w:ascii="Arial" w:hAnsi="Arial" w:cs="Arial"/>
                <w:color w:val="000000"/>
                <w:sz w:val="20"/>
                <w:szCs w:val="20"/>
              </w:rPr>
            </w:pPr>
            <w:r>
              <w:rPr>
                <w:rFonts w:ascii="Arial" w:hAnsi="Arial" w:cs="Arial"/>
                <w:color w:val="000000"/>
                <w:sz w:val="20"/>
                <w:szCs w:val="20"/>
              </w:rPr>
              <w:t>France</w:t>
            </w:r>
          </w:p>
        </w:tc>
        <w:tc>
          <w:tcPr>
            <w:tcW w:w="2327" w:type="dxa"/>
            <w:vAlign w:val="center"/>
          </w:tcPr>
          <w:p w14:paraId="68382DB8" w14:textId="464EDE33" w:rsidR="004A69AC" w:rsidRPr="00FF3EC6" w:rsidRDefault="004A69AC" w:rsidP="008E3F0F">
            <w:pPr>
              <w:spacing w:before="60" w:after="60"/>
              <w:jc w:val="right"/>
              <w:rPr>
                <w:rFonts w:ascii="Arial" w:hAnsi="Arial" w:cs="Arial"/>
                <w:color w:val="000000"/>
                <w:sz w:val="20"/>
                <w:szCs w:val="20"/>
              </w:rPr>
            </w:pPr>
            <w:r>
              <w:rPr>
                <w:rFonts w:ascii="Arial" w:hAnsi="Arial" w:cs="Arial"/>
                <w:color w:val="000000"/>
                <w:sz w:val="20"/>
                <w:szCs w:val="20"/>
              </w:rPr>
              <w:t>US$271,445.00</w:t>
            </w:r>
          </w:p>
        </w:tc>
      </w:tr>
      <w:tr w:rsidR="004A69AC" w:rsidRPr="00BF1B64" w14:paraId="610662C6" w14:textId="77777777" w:rsidTr="008E3F0F">
        <w:trPr>
          <w:cantSplit/>
        </w:trPr>
        <w:tc>
          <w:tcPr>
            <w:tcW w:w="6603" w:type="dxa"/>
            <w:vAlign w:val="center"/>
          </w:tcPr>
          <w:p w14:paraId="227CFD40" w14:textId="6210F2E6" w:rsidR="004A69AC" w:rsidRDefault="004A69AC" w:rsidP="008E3F0F">
            <w:pPr>
              <w:spacing w:before="60" w:after="60"/>
              <w:rPr>
                <w:rFonts w:ascii="Arial" w:hAnsi="Arial" w:cs="Arial"/>
                <w:color w:val="000000"/>
                <w:sz w:val="20"/>
                <w:szCs w:val="20"/>
              </w:rPr>
            </w:pPr>
            <w:r>
              <w:rPr>
                <w:rFonts w:ascii="Arial" w:hAnsi="Arial" w:cs="Arial"/>
                <w:color w:val="000000"/>
                <w:sz w:val="20"/>
                <w:szCs w:val="20"/>
              </w:rPr>
              <w:t>Kuwait</w:t>
            </w:r>
          </w:p>
        </w:tc>
        <w:tc>
          <w:tcPr>
            <w:tcW w:w="2327" w:type="dxa"/>
            <w:vAlign w:val="center"/>
          </w:tcPr>
          <w:p w14:paraId="300C402A" w14:textId="2E8754F3" w:rsidR="004A69AC" w:rsidRDefault="004A69AC" w:rsidP="008E3F0F">
            <w:pPr>
              <w:spacing w:before="60" w:after="60"/>
              <w:jc w:val="right"/>
              <w:rPr>
                <w:rFonts w:ascii="Arial" w:hAnsi="Arial" w:cs="Arial"/>
                <w:color w:val="000000"/>
                <w:sz w:val="20"/>
                <w:szCs w:val="20"/>
              </w:rPr>
            </w:pPr>
            <w:r>
              <w:rPr>
                <w:rFonts w:ascii="Arial" w:hAnsi="Arial" w:cs="Arial"/>
                <w:color w:val="000000"/>
                <w:sz w:val="20"/>
                <w:szCs w:val="20"/>
              </w:rPr>
              <w:t>US$65,000.00</w:t>
            </w:r>
          </w:p>
        </w:tc>
      </w:tr>
      <w:tr w:rsidR="004A69AC" w:rsidRPr="00BF1B64" w14:paraId="704B51B4" w14:textId="77777777" w:rsidTr="008E3F0F">
        <w:trPr>
          <w:cantSplit/>
        </w:trPr>
        <w:tc>
          <w:tcPr>
            <w:tcW w:w="6603" w:type="dxa"/>
            <w:vAlign w:val="center"/>
          </w:tcPr>
          <w:p w14:paraId="350EA0EB" w14:textId="2FAE4489" w:rsidR="004A69AC" w:rsidRDefault="004A69AC" w:rsidP="008E3F0F">
            <w:pPr>
              <w:spacing w:before="60" w:after="60"/>
              <w:rPr>
                <w:rFonts w:ascii="Arial" w:hAnsi="Arial" w:cs="Arial"/>
                <w:color w:val="000000"/>
                <w:sz w:val="20"/>
                <w:szCs w:val="20"/>
              </w:rPr>
            </w:pPr>
            <w:r>
              <w:rPr>
                <w:rFonts w:ascii="Arial" w:hAnsi="Arial" w:cs="Arial"/>
                <w:color w:val="000000"/>
                <w:sz w:val="20"/>
                <w:szCs w:val="20"/>
              </w:rPr>
              <w:t>Switzerland</w:t>
            </w:r>
          </w:p>
        </w:tc>
        <w:tc>
          <w:tcPr>
            <w:tcW w:w="2327" w:type="dxa"/>
            <w:vAlign w:val="center"/>
          </w:tcPr>
          <w:p w14:paraId="0D402154" w14:textId="3BEEB329" w:rsidR="004A69AC" w:rsidRPr="00FF3EC6" w:rsidRDefault="004A69AC" w:rsidP="008E3F0F">
            <w:pPr>
              <w:spacing w:before="60" w:after="60"/>
              <w:jc w:val="right"/>
              <w:rPr>
                <w:rFonts w:ascii="Arial" w:hAnsi="Arial" w:cs="Arial"/>
                <w:color w:val="000000"/>
                <w:sz w:val="20"/>
                <w:szCs w:val="20"/>
              </w:rPr>
            </w:pPr>
            <w:r w:rsidRPr="00FF3EC6">
              <w:rPr>
                <w:rFonts w:ascii="Arial" w:hAnsi="Arial" w:cs="Arial"/>
                <w:color w:val="000000"/>
                <w:sz w:val="20"/>
                <w:szCs w:val="20"/>
              </w:rPr>
              <w:t>US$</w:t>
            </w:r>
            <w:r>
              <w:rPr>
                <w:rFonts w:ascii="Arial" w:hAnsi="Arial" w:cs="Arial"/>
                <w:color w:val="000000"/>
                <w:sz w:val="20"/>
                <w:szCs w:val="20"/>
              </w:rPr>
              <w:t>100,000</w:t>
            </w:r>
            <w:r w:rsidRPr="00FF3EC6">
              <w:rPr>
                <w:rFonts w:ascii="Arial" w:hAnsi="Arial" w:cs="Arial"/>
                <w:color w:val="000000"/>
                <w:sz w:val="20"/>
                <w:szCs w:val="20"/>
              </w:rPr>
              <w:t>.00</w:t>
            </w:r>
          </w:p>
        </w:tc>
      </w:tr>
    </w:tbl>
    <w:p w14:paraId="33B4EC32" w14:textId="5B5EDCB6" w:rsidR="004A69AC" w:rsidRPr="00FF3EC6" w:rsidRDefault="004A69AC" w:rsidP="004A69AC">
      <w:pPr>
        <w:spacing w:before="120"/>
        <w:ind w:left="709"/>
        <w:rPr>
          <w:rFonts w:ascii="Arial" w:hAnsi="Arial" w:cs="Arial"/>
          <w:b/>
          <w:color w:val="000000"/>
          <w:sz w:val="20"/>
          <w:szCs w:val="20"/>
        </w:rPr>
      </w:pPr>
      <w:r>
        <w:rPr>
          <w:rFonts w:ascii="Arial" w:hAnsi="Arial" w:cs="Arial"/>
          <w:b/>
          <w:color w:val="000000"/>
          <w:sz w:val="20"/>
          <w:szCs w:val="20"/>
        </w:rPr>
        <w:t xml:space="preserve">Funding priority 2. </w:t>
      </w:r>
      <w:r w:rsidRPr="004A69AC">
        <w:rPr>
          <w:rFonts w:ascii="Arial" w:hAnsi="Arial" w:cs="Arial"/>
          <w:b/>
          <w:color w:val="000000"/>
          <w:sz w:val="20"/>
          <w:szCs w:val="20"/>
        </w:rPr>
        <w:t>Safeguarding intangible cultural heritage in formal and non-formal education</w:t>
      </w:r>
    </w:p>
    <w:tbl>
      <w:tblPr>
        <w:tblW w:w="8930" w:type="dxa"/>
        <w:tblInd w:w="709" w:type="dxa"/>
        <w:tblLook w:val="04A0" w:firstRow="1" w:lastRow="0" w:firstColumn="1" w:lastColumn="0" w:noHBand="0" w:noVBand="1"/>
      </w:tblPr>
      <w:tblGrid>
        <w:gridCol w:w="6603"/>
        <w:gridCol w:w="2327"/>
      </w:tblGrid>
      <w:tr w:rsidR="004A69AC" w:rsidRPr="00BF1B64" w14:paraId="348C0484" w14:textId="77777777" w:rsidTr="008E3F0F">
        <w:trPr>
          <w:cantSplit/>
        </w:trPr>
        <w:tc>
          <w:tcPr>
            <w:tcW w:w="6603" w:type="dxa"/>
            <w:vAlign w:val="center"/>
          </w:tcPr>
          <w:p w14:paraId="3ED60924" w14:textId="48C355DE" w:rsidR="004A69AC" w:rsidRPr="00FF3EC6" w:rsidRDefault="00895CB1" w:rsidP="008E3F0F">
            <w:pPr>
              <w:spacing w:before="60" w:after="60"/>
              <w:rPr>
                <w:rFonts w:ascii="Arial" w:hAnsi="Arial" w:cs="Arial"/>
                <w:color w:val="000000"/>
                <w:sz w:val="20"/>
                <w:szCs w:val="20"/>
              </w:rPr>
            </w:pPr>
            <w:r>
              <w:rPr>
                <w:rFonts w:ascii="Arial" w:hAnsi="Arial" w:cs="Arial"/>
                <w:color w:val="000000"/>
                <w:sz w:val="20"/>
                <w:szCs w:val="20"/>
              </w:rPr>
              <w:t>Netherlands</w:t>
            </w:r>
            <w:r w:rsidR="008F3012">
              <w:rPr>
                <w:rStyle w:val="FootnoteReference"/>
                <w:rFonts w:ascii="Arial" w:hAnsi="Arial" w:cs="Arial"/>
                <w:color w:val="000000"/>
                <w:sz w:val="20"/>
                <w:szCs w:val="20"/>
              </w:rPr>
              <w:footnoteReference w:id="4"/>
            </w:r>
          </w:p>
        </w:tc>
        <w:tc>
          <w:tcPr>
            <w:tcW w:w="2327" w:type="dxa"/>
            <w:vAlign w:val="center"/>
          </w:tcPr>
          <w:p w14:paraId="34296ECA" w14:textId="0BA79492" w:rsidR="004A69AC" w:rsidRPr="00BF1B64" w:rsidRDefault="004A69AC" w:rsidP="008E3F0F">
            <w:pPr>
              <w:spacing w:before="60" w:after="60"/>
              <w:jc w:val="right"/>
              <w:rPr>
                <w:rFonts w:ascii="Arial" w:hAnsi="Arial" w:cs="Arial"/>
                <w:color w:val="000000"/>
                <w:sz w:val="20"/>
                <w:szCs w:val="20"/>
              </w:rPr>
            </w:pPr>
            <w:r w:rsidRPr="00FF3EC6">
              <w:rPr>
                <w:rFonts w:ascii="Arial" w:hAnsi="Arial" w:cs="Arial"/>
                <w:color w:val="000000"/>
                <w:sz w:val="20"/>
                <w:szCs w:val="20"/>
              </w:rPr>
              <w:t>US$</w:t>
            </w:r>
            <w:r>
              <w:rPr>
                <w:rFonts w:ascii="Arial" w:hAnsi="Arial" w:cs="Arial"/>
                <w:color w:val="000000"/>
                <w:sz w:val="20"/>
                <w:szCs w:val="20"/>
              </w:rPr>
              <w:t>1</w:t>
            </w:r>
            <w:r w:rsidR="00895CB1">
              <w:rPr>
                <w:rFonts w:ascii="Arial" w:hAnsi="Arial" w:cs="Arial"/>
                <w:color w:val="000000"/>
                <w:sz w:val="20"/>
                <w:szCs w:val="20"/>
              </w:rPr>
              <w:t>11</w:t>
            </w:r>
            <w:r>
              <w:rPr>
                <w:rFonts w:ascii="Arial" w:hAnsi="Arial" w:cs="Arial"/>
                <w:color w:val="000000"/>
                <w:sz w:val="20"/>
                <w:szCs w:val="20"/>
              </w:rPr>
              <w:t>,000</w:t>
            </w:r>
            <w:r w:rsidRPr="00FF3EC6">
              <w:rPr>
                <w:rFonts w:ascii="Arial" w:hAnsi="Arial" w:cs="Arial"/>
                <w:color w:val="000000"/>
                <w:sz w:val="20"/>
                <w:szCs w:val="20"/>
              </w:rPr>
              <w:t>.00</w:t>
            </w:r>
          </w:p>
        </w:tc>
      </w:tr>
      <w:tr w:rsidR="00895CB1" w:rsidRPr="00BF1B64" w14:paraId="317F505A" w14:textId="77777777" w:rsidTr="00125CDA">
        <w:trPr>
          <w:cantSplit/>
        </w:trPr>
        <w:tc>
          <w:tcPr>
            <w:tcW w:w="6603" w:type="dxa"/>
            <w:vAlign w:val="center"/>
          </w:tcPr>
          <w:p w14:paraId="571649B4" w14:textId="77777777" w:rsidR="00895CB1" w:rsidRPr="00FF3EC6" w:rsidRDefault="00895CB1" w:rsidP="00125CDA">
            <w:pPr>
              <w:spacing w:before="60" w:after="60"/>
              <w:rPr>
                <w:rFonts w:ascii="Arial" w:hAnsi="Arial" w:cs="Arial"/>
                <w:color w:val="000000"/>
                <w:sz w:val="20"/>
                <w:szCs w:val="20"/>
              </w:rPr>
            </w:pPr>
            <w:r>
              <w:rPr>
                <w:rFonts w:ascii="Arial" w:hAnsi="Arial" w:cs="Arial"/>
                <w:color w:val="000000"/>
                <w:sz w:val="20"/>
                <w:szCs w:val="20"/>
              </w:rPr>
              <w:t>ICHCAP</w:t>
            </w:r>
          </w:p>
        </w:tc>
        <w:tc>
          <w:tcPr>
            <w:tcW w:w="2327" w:type="dxa"/>
            <w:vAlign w:val="center"/>
          </w:tcPr>
          <w:p w14:paraId="0D16747B" w14:textId="77777777" w:rsidR="00895CB1" w:rsidRPr="00BF1B64" w:rsidRDefault="00895CB1" w:rsidP="00125CDA">
            <w:pPr>
              <w:spacing w:before="60" w:after="60"/>
              <w:jc w:val="right"/>
              <w:rPr>
                <w:rFonts w:ascii="Arial" w:hAnsi="Arial" w:cs="Arial"/>
                <w:color w:val="000000"/>
                <w:sz w:val="20"/>
                <w:szCs w:val="20"/>
              </w:rPr>
            </w:pPr>
            <w:r w:rsidRPr="00FF3EC6">
              <w:rPr>
                <w:rFonts w:ascii="Arial" w:hAnsi="Arial" w:cs="Arial"/>
                <w:color w:val="000000"/>
                <w:sz w:val="20"/>
                <w:szCs w:val="20"/>
              </w:rPr>
              <w:t>US$</w:t>
            </w:r>
            <w:r>
              <w:rPr>
                <w:rFonts w:ascii="Arial" w:hAnsi="Arial" w:cs="Arial"/>
                <w:color w:val="000000"/>
                <w:sz w:val="20"/>
                <w:szCs w:val="20"/>
              </w:rPr>
              <w:t>180,000</w:t>
            </w:r>
            <w:r w:rsidRPr="00FF3EC6">
              <w:rPr>
                <w:rFonts w:ascii="Arial" w:hAnsi="Arial" w:cs="Arial"/>
                <w:color w:val="000000"/>
                <w:sz w:val="20"/>
                <w:szCs w:val="20"/>
              </w:rPr>
              <w:t>.00</w:t>
            </w:r>
          </w:p>
        </w:tc>
      </w:tr>
    </w:tbl>
    <w:p w14:paraId="5516706E" w14:textId="77777777" w:rsidR="002459E4" w:rsidRPr="00BF1B64" w:rsidRDefault="002459E4" w:rsidP="002459E4">
      <w:pPr>
        <w:spacing w:before="120"/>
        <w:ind w:left="709"/>
        <w:rPr>
          <w:rFonts w:ascii="Arial" w:hAnsi="Arial" w:cs="Arial"/>
          <w:b/>
          <w:color w:val="000000"/>
          <w:sz w:val="20"/>
          <w:szCs w:val="20"/>
        </w:rPr>
      </w:pPr>
      <w:r w:rsidRPr="00BF1B64">
        <w:rPr>
          <w:rFonts w:ascii="Arial" w:hAnsi="Arial" w:cs="Arial"/>
          <w:b/>
          <w:color w:val="000000"/>
          <w:sz w:val="20"/>
          <w:szCs w:val="20"/>
        </w:rPr>
        <w:t>Sub-fund for enhancing the human capacities of the Secretariat</w:t>
      </w:r>
    </w:p>
    <w:tbl>
      <w:tblPr>
        <w:tblW w:w="8930" w:type="dxa"/>
        <w:tblInd w:w="709" w:type="dxa"/>
        <w:tblLook w:val="04A0" w:firstRow="1" w:lastRow="0" w:firstColumn="1" w:lastColumn="0" w:noHBand="0" w:noVBand="1"/>
      </w:tblPr>
      <w:tblGrid>
        <w:gridCol w:w="6603"/>
        <w:gridCol w:w="2327"/>
      </w:tblGrid>
      <w:tr w:rsidR="004A69AC" w:rsidRPr="00BF1B64" w14:paraId="62E4BA8D" w14:textId="77777777" w:rsidTr="008E3F0F">
        <w:trPr>
          <w:cantSplit/>
        </w:trPr>
        <w:tc>
          <w:tcPr>
            <w:tcW w:w="6603" w:type="dxa"/>
            <w:vAlign w:val="center"/>
          </w:tcPr>
          <w:p w14:paraId="4F0B75D3" w14:textId="480A8C8A" w:rsidR="004A69AC" w:rsidRPr="00BF1B64" w:rsidRDefault="004A69AC" w:rsidP="008E3F0F">
            <w:pPr>
              <w:spacing w:before="60" w:after="60"/>
              <w:rPr>
                <w:rFonts w:ascii="Arial" w:hAnsi="Arial" w:cs="Arial"/>
                <w:color w:val="000000"/>
                <w:sz w:val="20"/>
                <w:szCs w:val="20"/>
              </w:rPr>
            </w:pPr>
            <w:r>
              <w:rPr>
                <w:rFonts w:ascii="Arial" w:hAnsi="Arial" w:cs="Arial"/>
                <w:color w:val="000000"/>
                <w:sz w:val="20"/>
                <w:szCs w:val="20"/>
              </w:rPr>
              <w:t>Lithuania</w:t>
            </w:r>
          </w:p>
        </w:tc>
        <w:tc>
          <w:tcPr>
            <w:tcW w:w="2327" w:type="dxa"/>
            <w:vAlign w:val="center"/>
          </w:tcPr>
          <w:p w14:paraId="05B3EF01" w14:textId="3175A0C3" w:rsidR="004A69AC" w:rsidRPr="00BF1B64" w:rsidRDefault="004A69AC" w:rsidP="008E3F0F">
            <w:pPr>
              <w:spacing w:before="60" w:after="60"/>
              <w:jc w:val="right"/>
              <w:rPr>
                <w:rFonts w:ascii="Arial" w:hAnsi="Arial" w:cs="Arial"/>
                <w:color w:val="000000"/>
                <w:sz w:val="20"/>
                <w:szCs w:val="20"/>
              </w:rPr>
            </w:pPr>
            <w:r w:rsidRPr="00BF1B64">
              <w:rPr>
                <w:rFonts w:ascii="Arial" w:hAnsi="Arial" w:cs="Arial"/>
                <w:color w:val="000000"/>
                <w:sz w:val="20"/>
                <w:szCs w:val="20"/>
              </w:rPr>
              <w:t>US$</w:t>
            </w:r>
            <w:r>
              <w:rPr>
                <w:rFonts w:ascii="Arial" w:hAnsi="Arial" w:cs="Arial"/>
                <w:color w:val="000000"/>
                <w:sz w:val="20"/>
                <w:szCs w:val="20"/>
              </w:rPr>
              <w:t>2</w:t>
            </w:r>
            <w:r w:rsidRPr="00BF1B64">
              <w:rPr>
                <w:rFonts w:ascii="Arial" w:hAnsi="Arial" w:cs="Arial"/>
                <w:color w:val="000000"/>
                <w:sz w:val="20"/>
                <w:szCs w:val="20"/>
              </w:rPr>
              <w:t>,</w:t>
            </w:r>
            <w:r>
              <w:rPr>
                <w:rFonts w:ascii="Arial" w:hAnsi="Arial" w:cs="Arial"/>
                <w:color w:val="000000"/>
                <w:sz w:val="20"/>
                <w:szCs w:val="20"/>
              </w:rPr>
              <w:t>600.44</w:t>
            </w:r>
          </w:p>
        </w:tc>
      </w:tr>
      <w:tr w:rsidR="004A69AC" w:rsidRPr="00BF1B64" w14:paraId="506EE8E8" w14:textId="77777777" w:rsidTr="008E3F0F">
        <w:trPr>
          <w:cantSplit/>
        </w:trPr>
        <w:tc>
          <w:tcPr>
            <w:tcW w:w="6603" w:type="dxa"/>
            <w:vAlign w:val="center"/>
          </w:tcPr>
          <w:p w14:paraId="7BD58E1B" w14:textId="77777777" w:rsidR="004A69AC" w:rsidRPr="00BF1B64" w:rsidRDefault="004A69AC" w:rsidP="008E3F0F">
            <w:pPr>
              <w:spacing w:before="60" w:after="60"/>
              <w:rPr>
                <w:rFonts w:ascii="Arial" w:hAnsi="Arial" w:cs="Arial"/>
                <w:color w:val="000000"/>
                <w:sz w:val="20"/>
                <w:szCs w:val="20"/>
              </w:rPr>
            </w:pPr>
            <w:r>
              <w:rPr>
                <w:rFonts w:ascii="Arial" w:hAnsi="Arial" w:cs="Arial"/>
                <w:color w:val="000000"/>
                <w:sz w:val="20"/>
                <w:szCs w:val="20"/>
              </w:rPr>
              <w:t>Monaco</w:t>
            </w:r>
          </w:p>
        </w:tc>
        <w:tc>
          <w:tcPr>
            <w:tcW w:w="2327" w:type="dxa"/>
            <w:vAlign w:val="center"/>
          </w:tcPr>
          <w:p w14:paraId="4AB9AEAC" w14:textId="16420591" w:rsidR="004A69AC" w:rsidRPr="00BF1B64" w:rsidRDefault="004A69AC" w:rsidP="008E3F0F">
            <w:pPr>
              <w:spacing w:before="60" w:after="60"/>
              <w:jc w:val="right"/>
              <w:rPr>
                <w:rFonts w:ascii="Arial" w:hAnsi="Arial" w:cs="Arial"/>
                <w:color w:val="000000"/>
                <w:sz w:val="20"/>
                <w:szCs w:val="20"/>
              </w:rPr>
            </w:pPr>
            <w:r w:rsidRPr="00BF1B64">
              <w:rPr>
                <w:rFonts w:ascii="Arial" w:hAnsi="Arial" w:cs="Arial"/>
                <w:color w:val="000000"/>
                <w:sz w:val="20"/>
                <w:szCs w:val="20"/>
              </w:rPr>
              <w:t>US$1</w:t>
            </w:r>
            <w:r>
              <w:rPr>
                <w:rFonts w:ascii="Arial" w:hAnsi="Arial" w:cs="Arial"/>
                <w:color w:val="000000"/>
                <w:sz w:val="20"/>
                <w:szCs w:val="20"/>
              </w:rPr>
              <w:t>1</w:t>
            </w:r>
            <w:r w:rsidRPr="00BF1B64">
              <w:rPr>
                <w:rFonts w:ascii="Arial" w:hAnsi="Arial" w:cs="Arial"/>
                <w:color w:val="000000"/>
                <w:sz w:val="20"/>
                <w:szCs w:val="20"/>
              </w:rPr>
              <w:t>,</w:t>
            </w:r>
            <w:r>
              <w:rPr>
                <w:rFonts w:ascii="Arial" w:hAnsi="Arial" w:cs="Arial"/>
                <w:color w:val="000000"/>
                <w:sz w:val="20"/>
                <w:szCs w:val="20"/>
              </w:rPr>
              <w:t>737.10</w:t>
            </w:r>
          </w:p>
        </w:tc>
      </w:tr>
      <w:tr w:rsidR="004A69AC" w:rsidRPr="00BF1B64" w14:paraId="3C1EF582" w14:textId="77777777" w:rsidTr="008E3F0F">
        <w:trPr>
          <w:cantSplit/>
        </w:trPr>
        <w:tc>
          <w:tcPr>
            <w:tcW w:w="6603" w:type="dxa"/>
            <w:vAlign w:val="center"/>
          </w:tcPr>
          <w:p w14:paraId="49E9DFC0" w14:textId="1B80181A" w:rsidR="004A69AC" w:rsidRPr="00BF1B64" w:rsidRDefault="004A69AC" w:rsidP="008E3F0F">
            <w:pPr>
              <w:spacing w:before="60" w:after="60"/>
              <w:rPr>
                <w:rFonts w:ascii="Arial" w:hAnsi="Arial" w:cs="Arial"/>
                <w:color w:val="000000"/>
                <w:sz w:val="20"/>
                <w:szCs w:val="20"/>
              </w:rPr>
            </w:pPr>
            <w:r>
              <w:rPr>
                <w:rFonts w:ascii="Arial" w:hAnsi="Arial" w:cs="Arial"/>
                <w:color w:val="000000"/>
                <w:sz w:val="20"/>
                <w:szCs w:val="20"/>
              </w:rPr>
              <w:t>Palestine</w:t>
            </w:r>
          </w:p>
        </w:tc>
        <w:tc>
          <w:tcPr>
            <w:tcW w:w="2327" w:type="dxa"/>
            <w:vAlign w:val="center"/>
          </w:tcPr>
          <w:p w14:paraId="2C39AFEE" w14:textId="621BF0FD" w:rsidR="004A69AC" w:rsidRPr="00BF1B64" w:rsidRDefault="004A69AC" w:rsidP="008E3F0F">
            <w:pPr>
              <w:spacing w:before="60" w:after="60"/>
              <w:jc w:val="right"/>
              <w:rPr>
                <w:rFonts w:ascii="Arial" w:hAnsi="Arial" w:cs="Arial"/>
                <w:color w:val="000000"/>
                <w:sz w:val="20"/>
                <w:szCs w:val="20"/>
              </w:rPr>
            </w:pPr>
            <w:r w:rsidRPr="00BF1B64">
              <w:rPr>
                <w:rFonts w:ascii="Arial" w:hAnsi="Arial" w:cs="Arial"/>
                <w:color w:val="000000"/>
                <w:sz w:val="20"/>
                <w:szCs w:val="20"/>
              </w:rPr>
              <w:t>US$</w:t>
            </w:r>
            <w:r>
              <w:rPr>
                <w:rFonts w:ascii="Arial" w:hAnsi="Arial" w:cs="Arial"/>
                <w:color w:val="000000"/>
                <w:sz w:val="20"/>
                <w:szCs w:val="20"/>
              </w:rPr>
              <w:t>262.00</w:t>
            </w:r>
          </w:p>
        </w:tc>
      </w:tr>
      <w:tr w:rsidR="002459E4" w:rsidRPr="00BF1B64" w14:paraId="4438A831" w14:textId="77777777" w:rsidTr="008E3F0F">
        <w:trPr>
          <w:cantSplit/>
        </w:trPr>
        <w:tc>
          <w:tcPr>
            <w:tcW w:w="6603" w:type="dxa"/>
            <w:vAlign w:val="center"/>
          </w:tcPr>
          <w:p w14:paraId="58E406EC" w14:textId="10FB7C13" w:rsidR="002459E4" w:rsidRPr="00BF1B64" w:rsidRDefault="004A69AC" w:rsidP="008E3F0F">
            <w:pPr>
              <w:spacing w:before="60" w:after="60"/>
              <w:rPr>
                <w:rFonts w:ascii="Arial" w:hAnsi="Arial" w:cs="Arial"/>
                <w:color w:val="000000"/>
                <w:sz w:val="20"/>
                <w:szCs w:val="20"/>
              </w:rPr>
            </w:pPr>
            <w:r>
              <w:rPr>
                <w:rFonts w:ascii="Arial" w:hAnsi="Arial" w:cs="Arial"/>
                <w:color w:val="000000"/>
                <w:sz w:val="20"/>
                <w:szCs w:val="20"/>
              </w:rPr>
              <w:t>Slovakia</w:t>
            </w:r>
          </w:p>
        </w:tc>
        <w:tc>
          <w:tcPr>
            <w:tcW w:w="2327" w:type="dxa"/>
            <w:vAlign w:val="center"/>
          </w:tcPr>
          <w:p w14:paraId="3EEA7934" w14:textId="7E22E441" w:rsidR="002459E4" w:rsidRPr="00BF1B64" w:rsidRDefault="002459E4" w:rsidP="008E3F0F">
            <w:pPr>
              <w:spacing w:before="60" w:after="60"/>
              <w:jc w:val="right"/>
              <w:rPr>
                <w:rFonts w:ascii="Arial" w:hAnsi="Arial" w:cs="Arial"/>
                <w:color w:val="000000"/>
                <w:sz w:val="20"/>
                <w:szCs w:val="20"/>
              </w:rPr>
            </w:pPr>
            <w:r w:rsidRPr="00BF1B64">
              <w:rPr>
                <w:rFonts w:ascii="Arial" w:hAnsi="Arial" w:cs="Arial"/>
                <w:color w:val="000000"/>
                <w:sz w:val="20"/>
                <w:szCs w:val="20"/>
              </w:rPr>
              <w:t>US$</w:t>
            </w:r>
            <w:r w:rsidR="004A69AC">
              <w:rPr>
                <w:rFonts w:ascii="Arial" w:hAnsi="Arial" w:cs="Arial"/>
                <w:color w:val="000000"/>
                <w:sz w:val="20"/>
                <w:szCs w:val="20"/>
              </w:rPr>
              <w:t>23</w:t>
            </w:r>
            <w:r w:rsidRPr="00BF1B64">
              <w:rPr>
                <w:rFonts w:ascii="Arial" w:hAnsi="Arial" w:cs="Arial"/>
                <w:color w:val="000000"/>
                <w:sz w:val="20"/>
                <w:szCs w:val="20"/>
              </w:rPr>
              <w:t>,</w:t>
            </w:r>
            <w:r w:rsidR="004A69AC">
              <w:rPr>
                <w:rFonts w:ascii="Arial" w:hAnsi="Arial" w:cs="Arial"/>
                <w:color w:val="000000"/>
                <w:sz w:val="20"/>
                <w:szCs w:val="20"/>
              </w:rPr>
              <w:t>196</w:t>
            </w:r>
            <w:r>
              <w:rPr>
                <w:rFonts w:ascii="Arial" w:hAnsi="Arial" w:cs="Arial"/>
                <w:color w:val="000000"/>
                <w:sz w:val="20"/>
                <w:szCs w:val="20"/>
              </w:rPr>
              <w:t>.</w:t>
            </w:r>
            <w:r w:rsidR="004A69AC">
              <w:rPr>
                <w:rFonts w:ascii="Arial" w:hAnsi="Arial" w:cs="Arial"/>
                <w:color w:val="000000"/>
                <w:sz w:val="20"/>
                <w:szCs w:val="20"/>
              </w:rPr>
              <w:t>59</w:t>
            </w:r>
          </w:p>
        </w:tc>
      </w:tr>
      <w:tr w:rsidR="002459E4" w:rsidRPr="00BF1B64" w14:paraId="590BCB63" w14:textId="77777777" w:rsidTr="008E3F0F">
        <w:trPr>
          <w:cantSplit/>
        </w:trPr>
        <w:tc>
          <w:tcPr>
            <w:tcW w:w="6603" w:type="dxa"/>
            <w:vAlign w:val="center"/>
          </w:tcPr>
          <w:p w14:paraId="4C9933A5" w14:textId="32D17F9F" w:rsidR="002459E4" w:rsidRPr="004A69AC" w:rsidRDefault="004A69AC" w:rsidP="008E3F0F">
            <w:pPr>
              <w:spacing w:before="60" w:after="60"/>
              <w:rPr>
                <w:rFonts w:ascii="Arial" w:hAnsi="Arial" w:cs="Arial"/>
                <w:color w:val="000000"/>
                <w:sz w:val="20"/>
                <w:szCs w:val="20"/>
                <w:lang w:val="es-ES"/>
              </w:rPr>
            </w:pPr>
            <w:r w:rsidRPr="004A69AC">
              <w:rPr>
                <w:rFonts w:ascii="Arial" w:hAnsi="Arial" w:cs="Arial"/>
                <w:color w:val="000000"/>
                <w:sz w:val="20"/>
                <w:szCs w:val="20"/>
                <w:lang w:val="es-ES"/>
              </w:rPr>
              <w:t>Fondazione Museo del Violino A</w:t>
            </w:r>
            <w:r>
              <w:rPr>
                <w:rFonts w:ascii="Arial" w:hAnsi="Arial" w:cs="Arial"/>
                <w:color w:val="000000"/>
                <w:sz w:val="20"/>
                <w:szCs w:val="20"/>
                <w:lang w:val="es-ES"/>
              </w:rPr>
              <w:t>ntonio Stradivari</w:t>
            </w:r>
          </w:p>
        </w:tc>
        <w:tc>
          <w:tcPr>
            <w:tcW w:w="2327" w:type="dxa"/>
            <w:vAlign w:val="center"/>
          </w:tcPr>
          <w:p w14:paraId="2C5F2499" w14:textId="4D360880" w:rsidR="002459E4" w:rsidRPr="00BF1B64" w:rsidRDefault="002459E4" w:rsidP="008E3F0F">
            <w:pPr>
              <w:spacing w:before="60" w:after="60"/>
              <w:jc w:val="right"/>
              <w:rPr>
                <w:rFonts w:ascii="Arial" w:hAnsi="Arial" w:cs="Arial"/>
                <w:color w:val="000000"/>
                <w:sz w:val="20"/>
                <w:szCs w:val="20"/>
                <w:highlight w:val="yellow"/>
              </w:rPr>
            </w:pPr>
            <w:r>
              <w:rPr>
                <w:rFonts w:ascii="Arial" w:hAnsi="Arial" w:cs="Arial"/>
                <w:color w:val="000000"/>
                <w:sz w:val="20"/>
                <w:szCs w:val="20"/>
              </w:rPr>
              <w:t>US$</w:t>
            </w:r>
            <w:r w:rsidR="004A69AC">
              <w:rPr>
                <w:rFonts w:ascii="Arial" w:hAnsi="Arial" w:cs="Arial"/>
                <w:color w:val="000000"/>
                <w:sz w:val="20"/>
                <w:szCs w:val="20"/>
              </w:rPr>
              <w:t>3,026.63</w:t>
            </w:r>
          </w:p>
        </w:tc>
      </w:tr>
    </w:tbl>
    <w:p w14:paraId="34866B95" w14:textId="5016025F" w:rsidR="002459E4" w:rsidRPr="00BF1B64" w:rsidRDefault="002459E4" w:rsidP="002459E4">
      <w:pPr>
        <w:spacing w:before="360" w:after="60"/>
        <w:rPr>
          <w:rFonts w:ascii="Arial" w:hAnsi="Arial" w:cs="Arial"/>
          <w:b/>
          <w:smallCaps/>
          <w:color w:val="000000"/>
          <w:szCs w:val="22"/>
        </w:rPr>
      </w:pPr>
      <w:r w:rsidRPr="00BF1B64">
        <w:rPr>
          <w:rFonts w:ascii="Arial" w:hAnsi="Arial" w:cs="Arial"/>
          <w:b/>
          <w:smallCaps/>
          <w:color w:val="000000"/>
          <w:szCs w:val="22"/>
        </w:rPr>
        <w:t>Loans and Secondments</w:t>
      </w:r>
    </w:p>
    <w:tbl>
      <w:tblPr>
        <w:tblW w:w="8935" w:type="dxa"/>
        <w:tblInd w:w="709" w:type="dxa"/>
        <w:tblLook w:val="04A0" w:firstRow="1" w:lastRow="0" w:firstColumn="1" w:lastColumn="0" w:noHBand="0" w:noVBand="1"/>
      </w:tblPr>
      <w:tblGrid>
        <w:gridCol w:w="6605"/>
        <w:gridCol w:w="2330"/>
      </w:tblGrid>
      <w:tr w:rsidR="002459E4" w:rsidRPr="00325105" w14:paraId="5156DCE7" w14:textId="77777777" w:rsidTr="008E3F0F">
        <w:trPr>
          <w:cantSplit/>
        </w:trPr>
        <w:tc>
          <w:tcPr>
            <w:tcW w:w="6605" w:type="dxa"/>
            <w:vAlign w:val="center"/>
            <w:hideMark/>
          </w:tcPr>
          <w:p w14:paraId="23DA0C12" w14:textId="5DE4117B" w:rsidR="002459E4" w:rsidRPr="00BF1B64" w:rsidRDefault="002459E4" w:rsidP="008E3F0F">
            <w:pPr>
              <w:spacing w:before="60" w:after="60"/>
              <w:rPr>
                <w:rFonts w:ascii="Arial" w:hAnsi="Arial" w:cs="Arial"/>
                <w:color w:val="000000"/>
                <w:sz w:val="20"/>
                <w:szCs w:val="20"/>
              </w:rPr>
            </w:pPr>
            <w:r w:rsidRPr="00BF1B64">
              <w:rPr>
                <w:rFonts w:ascii="Arial" w:hAnsi="Arial" w:cs="Arial"/>
                <w:color w:val="000000"/>
                <w:sz w:val="20"/>
                <w:szCs w:val="20"/>
              </w:rPr>
              <w:t>China</w:t>
            </w:r>
          </w:p>
        </w:tc>
        <w:tc>
          <w:tcPr>
            <w:tcW w:w="2330" w:type="dxa"/>
            <w:vAlign w:val="center"/>
            <w:hideMark/>
          </w:tcPr>
          <w:p w14:paraId="7F0DD950" w14:textId="37FF0264" w:rsidR="002459E4" w:rsidRPr="00BF1B64" w:rsidRDefault="001B01FE" w:rsidP="008E3F0F">
            <w:pPr>
              <w:spacing w:before="60" w:after="60"/>
              <w:jc w:val="right"/>
              <w:rPr>
                <w:rFonts w:ascii="Arial" w:hAnsi="Arial" w:cs="Arial"/>
                <w:color w:val="000000"/>
                <w:sz w:val="20"/>
                <w:szCs w:val="20"/>
              </w:rPr>
            </w:pPr>
            <w:r>
              <w:rPr>
                <w:rFonts w:ascii="Arial" w:hAnsi="Arial" w:cs="Arial"/>
                <w:color w:val="000000"/>
                <w:sz w:val="20"/>
                <w:szCs w:val="20"/>
              </w:rPr>
              <w:t>2</w:t>
            </w:r>
            <w:r w:rsidR="002459E4" w:rsidRPr="00822CD9">
              <w:rPr>
                <w:rFonts w:ascii="Arial" w:hAnsi="Arial" w:cs="Arial"/>
                <w:color w:val="000000"/>
                <w:sz w:val="20"/>
                <w:szCs w:val="20"/>
              </w:rPr>
              <w:t> months at P-2 level</w:t>
            </w:r>
          </w:p>
        </w:tc>
      </w:tr>
      <w:tr w:rsidR="00610F88" w:rsidRPr="00325105" w14:paraId="70B43DE1" w14:textId="77777777" w:rsidTr="008E3F0F">
        <w:trPr>
          <w:cantSplit/>
        </w:trPr>
        <w:tc>
          <w:tcPr>
            <w:tcW w:w="6605" w:type="dxa"/>
            <w:vAlign w:val="center"/>
          </w:tcPr>
          <w:p w14:paraId="5B38C494" w14:textId="616A9652" w:rsidR="00610F88" w:rsidRPr="00BF1B64" w:rsidRDefault="00610F88" w:rsidP="008E3F0F">
            <w:pPr>
              <w:spacing w:before="60" w:after="60"/>
              <w:rPr>
                <w:rFonts w:ascii="Arial" w:hAnsi="Arial" w:cs="Arial"/>
                <w:color w:val="000000"/>
                <w:sz w:val="20"/>
                <w:szCs w:val="20"/>
              </w:rPr>
            </w:pPr>
          </w:p>
        </w:tc>
        <w:tc>
          <w:tcPr>
            <w:tcW w:w="2330" w:type="dxa"/>
            <w:vAlign w:val="center"/>
          </w:tcPr>
          <w:p w14:paraId="2BDA4C77" w14:textId="2924C146" w:rsidR="00610F88" w:rsidRDefault="00017C0B" w:rsidP="008E3F0F">
            <w:pPr>
              <w:spacing w:before="60" w:after="60"/>
              <w:jc w:val="right"/>
              <w:rPr>
                <w:rFonts w:ascii="Arial" w:hAnsi="Arial" w:cs="Arial"/>
                <w:color w:val="000000"/>
                <w:sz w:val="20"/>
                <w:szCs w:val="20"/>
              </w:rPr>
            </w:pPr>
            <w:r>
              <w:rPr>
                <w:rFonts w:ascii="Arial" w:hAnsi="Arial" w:cs="Arial"/>
                <w:color w:val="000000"/>
                <w:sz w:val="20"/>
                <w:szCs w:val="20"/>
              </w:rPr>
              <w:t xml:space="preserve">4 </w:t>
            </w:r>
            <w:r w:rsidR="00610F88">
              <w:rPr>
                <w:rFonts w:ascii="Arial" w:hAnsi="Arial" w:cs="Arial"/>
                <w:color w:val="000000"/>
                <w:sz w:val="20"/>
                <w:szCs w:val="20"/>
              </w:rPr>
              <w:t>month</w:t>
            </w:r>
            <w:r>
              <w:rPr>
                <w:rFonts w:ascii="Arial" w:hAnsi="Arial" w:cs="Arial"/>
                <w:color w:val="000000"/>
                <w:sz w:val="20"/>
                <w:szCs w:val="20"/>
              </w:rPr>
              <w:t>s</w:t>
            </w:r>
            <w:r w:rsidR="00610F88">
              <w:rPr>
                <w:rFonts w:ascii="Arial" w:hAnsi="Arial" w:cs="Arial"/>
                <w:color w:val="000000"/>
                <w:sz w:val="20"/>
                <w:szCs w:val="20"/>
              </w:rPr>
              <w:t xml:space="preserve"> (sponsored trainee)</w:t>
            </w:r>
          </w:p>
        </w:tc>
      </w:tr>
    </w:tbl>
    <w:p w14:paraId="71D31AD0" w14:textId="77777777" w:rsidR="002459E4" w:rsidRDefault="002459E4" w:rsidP="002459E4">
      <w:pPr>
        <w:rPr>
          <w:rFonts w:ascii="Arial" w:hAnsi="Arial" w:cs="Arial"/>
          <w:snapToGrid w:val="0"/>
          <w:szCs w:val="22"/>
          <w:lang w:eastAsia="en-US"/>
        </w:rPr>
      </w:pPr>
    </w:p>
    <w:p w14:paraId="1830845F" w14:textId="69CBD90D" w:rsidR="00DB7255" w:rsidRDefault="00DB7255">
      <w:pPr>
        <w:spacing w:after="0"/>
        <w:rPr>
          <w:rFonts w:ascii="Arial" w:hAnsi="Arial" w:cs="Arial"/>
          <w:snapToGrid w:val="0"/>
          <w:szCs w:val="22"/>
          <w:lang w:eastAsia="en-US"/>
        </w:rPr>
      </w:pPr>
      <w:r>
        <w:br w:type="page"/>
      </w:r>
    </w:p>
    <w:p w14:paraId="1E3447A0" w14:textId="7181ED49" w:rsidR="00DB7255" w:rsidRPr="006D06BC" w:rsidRDefault="00DB7255" w:rsidP="00DB7255">
      <w:pPr>
        <w:keepNext/>
        <w:pageBreakBefore/>
        <w:autoSpaceDE w:val="0"/>
        <w:autoSpaceDN w:val="0"/>
        <w:adjustRightInd w:val="0"/>
        <w:spacing w:before="240" w:after="480"/>
        <w:jc w:val="center"/>
        <w:rPr>
          <w:rFonts w:asciiTheme="minorBidi" w:hAnsiTheme="minorBidi" w:cstheme="minorBidi"/>
          <w:b/>
          <w:caps/>
          <w:snapToGrid w:val="0"/>
          <w:szCs w:val="22"/>
          <w:u w:val="single"/>
          <w:lang w:eastAsia="en-US"/>
        </w:rPr>
      </w:pPr>
      <w:r w:rsidRPr="006D06BC">
        <w:rPr>
          <w:rFonts w:asciiTheme="minorBidi" w:hAnsiTheme="minorBidi" w:cstheme="minorBidi"/>
          <w:b/>
          <w:caps/>
          <w:snapToGrid w:val="0"/>
          <w:szCs w:val="22"/>
          <w:u w:val="single"/>
          <w:lang w:eastAsia="en-US"/>
        </w:rPr>
        <w:lastRenderedPageBreak/>
        <w:t>ANNEX II</w:t>
      </w:r>
    </w:p>
    <w:p w14:paraId="5D99EC31" w14:textId="77777777" w:rsidR="00925A18" w:rsidRPr="00220740" w:rsidRDefault="00925A18" w:rsidP="00925A18">
      <w:pPr>
        <w:keepNext/>
        <w:autoSpaceDE w:val="0"/>
        <w:autoSpaceDN w:val="0"/>
        <w:adjustRightInd w:val="0"/>
        <w:jc w:val="center"/>
        <w:rPr>
          <w:rFonts w:ascii="Arial" w:hAnsi="Arial" w:cs="Arial"/>
          <w:b/>
          <w:snapToGrid w:val="0"/>
          <w:szCs w:val="22"/>
          <w:u w:val="single"/>
          <w:lang w:eastAsia="en-US"/>
        </w:rPr>
      </w:pPr>
      <w:r w:rsidRPr="00220740">
        <w:rPr>
          <w:rFonts w:ascii="Arial" w:hAnsi="Arial" w:cs="Arial"/>
          <w:b/>
          <w:snapToGrid w:val="0"/>
          <w:szCs w:val="22"/>
          <w:u w:val="single"/>
          <w:lang w:eastAsia="en-US"/>
        </w:rPr>
        <w:t>Funding priority 1</w:t>
      </w:r>
    </w:p>
    <w:p w14:paraId="7506F667" w14:textId="77777777" w:rsidR="00925A18" w:rsidRPr="00A41EB7" w:rsidRDefault="00925A18" w:rsidP="00925A18">
      <w:pPr>
        <w:spacing w:before="240" w:after="240"/>
        <w:jc w:val="both"/>
        <w:rPr>
          <w:rFonts w:ascii="Calibri" w:eastAsia="Calibri" w:hAnsi="Calibri"/>
          <w:color w:val="FFFFFF"/>
          <w:sz w:val="40"/>
          <w:szCs w:val="40"/>
          <w:shd w:val="clear" w:color="auto" w:fill="0077D4"/>
          <w:lang w:eastAsia="en-US"/>
        </w:rPr>
      </w:pPr>
      <w:bookmarkStart w:id="2" w:name="Priority1"/>
      <w:bookmarkEnd w:id="2"/>
      <w:r w:rsidRPr="00A41EB7">
        <w:rPr>
          <w:rFonts w:ascii="Calibri" w:eastAsia="Calibri" w:hAnsi="Calibri"/>
          <w:color w:val="FFFFFF"/>
          <w:sz w:val="40"/>
          <w:szCs w:val="40"/>
          <w:shd w:val="clear" w:color="auto" w:fill="0077D4"/>
          <w:lang w:eastAsia="en-US"/>
        </w:rPr>
        <w:t>Strengthening capacities to safeguard intangible cultural heritage using multi-modal approaches and contribute to sustainable development</w:t>
      </w:r>
    </w:p>
    <w:tbl>
      <w:tblPr>
        <w:tblStyle w:val="TableGrid1"/>
        <w:tblW w:w="9638" w:type="dxa"/>
        <w:tblInd w:w="0"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25A18" w:rsidRPr="00423C72" w14:paraId="19078766" w14:textId="77777777" w:rsidTr="005551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2727CF1F" w14:textId="77777777" w:rsidR="00925A18" w:rsidRPr="00E67A04" w:rsidRDefault="00925A18" w:rsidP="00555110">
            <w:pPr>
              <w:widowControl w:val="0"/>
              <w:autoSpaceDE w:val="0"/>
              <w:autoSpaceDN w:val="0"/>
              <w:adjustRightInd w:val="0"/>
              <w:rPr>
                <w:rFonts w:ascii="Arial" w:eastAsia="Batang" w:hAnsi="Arial" w:cs="Arial"/>
                <w:b/>
                <w:color w:val="0070C0"/>
                <w:szCs w:val="22"/>
              </w:rPr>
            </w:pPr>
            <w:r w:rsidRPr="00E67A04">
              <w:rPr>
                <w:rFonts w:ascii="Arial" w:hAnsi="Arial" w:cs="Arial"/>
                <w:b/>
                <w:color w:val="0070C0"/>
                <w:szCs w:val="22"/>
              </w:rPr>
              <w:t>Geographical scope/benefitting country(ies):</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3D419BEC" w14:textId="77777777" w:rsidR="00925A18" w:rsidRPr="00E67A04" w:rsidRDefault="00925A18" w:rsidP="00555110">
            <w:pPr>
              <w:widowControl w:val="0"/>
              <w:autoSpaceDE w:val="0"/>
              <w:autoSpaceDN w:val="0"/>
              <w:adjustRightInd w:val="0"/>
              <w:rPr>
                <w:rFonts w:ascii="Arial" w:eastAsia="Calibri" w:hAnsi="Arial" w:cs="Arial"/>
                <w:szCs w:val="22"/>
              </w:rPr>
            </w:pPr>
            <w:r>
              <w:rPr>
                <w:rFonts w:ascii="Arial" w:eastAsia="Calibri" w:hAnsi="Arial" w:cs="Arial"/>
                <w:szCs w:val="22"/>
              </w:rPr>
              <w:t>25</w:t>
            </w:r>
            <w:r w:rsidRPr="00E67A04">
              <w:rPr>
                <w:rFonts w:ascii="Arial" w:eastAsia="Calibri" w:hAnsi="Arial" w:cs="Arial"/>
                <w:szCs w:val="22"/>
              </w:rPr>
              <w:t xml:space="preserve"> countries in all regions, prioritizing Africa</w:t>
            </w:r>
            <w:r>
              <w:rPr>
                <w:rFonts w:ascii="Arial" w:eastAsia="Calibri" w:hAnsi="Arial" w:cs="Arial"/>
                <w:szCs w:val="22"/>
              </w:rPr>
              <w:t xml:space="preserve"> and Small Island Developing States</w:t>
            </w:r>
          </w:p>
        </w:tc>
      </w:tr>
      <w:tr w:rsidR="00925A18" w:rsidRPr="00423C72" w14:paraId="27E626B4" w14:textId="77777777" w:rsidTr="005551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50E225A7" w14:textId="77777777" w:rsidR="00925A18" w:rsidRPr="00E67A04" w:rsidRDefault="00925A18" w:rsidP="00555110">
            <w:pPr>
              <w:widowControl w:val="0"/>
              <w:autoSpaceDE w:val="0"/>
              <w:autoSpaceDN w:val="0"/>
              <w:adjustRightInd w:val="0"/>
              <w:rPr>
                <w:rFonts w:ascii="Arial" w:hAnsi="Arial" w:cs="Arial"/>
                <w:b/>
                <w:color w:val="0070C0"/>
                <w:szCs w:val="22"/>
              </w:rPr>
            </w:pPr>
            <w:r w:rsidRPr="00E67A04">
              <w:rPr>
                <w:rFonts w:ascii="Arial" w:hAnsi="Arial" w:cs="Arial"/>
                <w:b/>
                <w:color w:val="0070C0"/>
                <w:szCs w:val="22"/>
              </w:rPr>
              <w:t>Duration (in months):</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0ECB4A18" w14:textId="77777777" w:rsidR="00925A18" w:rsidRPr="00E67A04" w:rsidRDefault="00925A18" w:rsidP="00555110">
            <w:pPr>
              <w:widowControl w:val="0"/>
              <w:autoSpaceDE w:val="0"/>
              <w:autoSpaceDN w:val="0"/>
              <w:adjustRightInd w:val="0"/>
              <w:rPr>
                <w:rFonts w:ascii="Arial" w:eastAsia="Batang" w:hAnsi="Arial" w:cs="Arial"/>
                <w:szCs w:val="22"/>
              </w:rPr>
            </w:pPr>
            <w:r w:rsidRPr="00E67A04">
              <w:rPr>
                <w:rFonts w:ascii="Arial" w:eastAsia="Calibri" w:hAnsi="Arial" w:cs="Arial"/>
                <w:szCs w:val="22"/>
              </w:rPr>
              <w:t>20</w:t>
            </w:r>
            <w:r>
              <w:rPr>
                <w:rFonts w:ascii="Arial" w:eastAsia="Calibri" w:hAnsi="Arial" w:cs="Arial"/>
                <w:szCs w:val="22"/>
              </w:rPr>
              <w:t>22</w:t>
            </w:r>
            <w:r w:rsidRPr="00E67A04">
              <w:rPr>
                <w:rFonts w:ascii="Arial" w:eastAsia="Calibri" w:hAnsi="Arial" w:cs="Arial"/>
                <w:szCs w:val="22"/>
              </w:rPr>
              <w:t>-20</w:t>
            </w:r>
            <w:r>
              <w:rPr>
                <w:rFonts w:ascii="Arial" w:eastAsia="Calibri" w:hAnsi="Arial" w:cs="Arial"/>
                <w:szCs w:val="22"/>
              </w:rPr>
              <w:t>25</w:t>
            </w:r>
            <w:r w:rsidRPr="00E67A04">
              <w:rPr>
                <w:rFonts w:ascii="Arial" w:eastAsia="Calibri" w:hAnsi="Arial" w:cs="Arial"/>
                <w:szCs w:val="22"/>
              </w:rPr>
              <w:t xml:space="preserve"> (48 months)</w:t>
            </w:r>
          </w:p>
        </w:tc>
      </w:tr>
      <w:tr w:rsidR="00925A18" w:rsidRPr="00423C72" w14:paraId="4842029E" w14:textId="77777777" w:rsidTr="005551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436792C5" w14:textId="77777777" w:rsidR="00925A18" w:rsidRPr="00E67A04" w:rsidRDefault="00925A18" w:rsidP="00555110">
            <w:pPr>
              <w:widowControl w:val="0"/>
              <w:autoSpaceDE w:val="0"/>
              <w:autoSpaceDN w:val="0"/>
              <w:adjustRightInd w:val="0"/>
              <w:rPr>
                <w:rFonts w:ascii="Arial" w:hAnsi="Arial" w:cs="Arial"/>
                <w:b/>
                <w:color w:val="0070C0"/>
                <w:szCs w:val="22"/>
              </w:rPr>
            </w:pPr>
            <w:r w:rsidRPr="00E67A04">
              <w:rPr>
                <w:rFonts w:ascii="Arial" w:hAnsi="Arial" w:cs="Arial"/>
                <w:b/>
                <w:color w:val="0070C0"/>
                <w:szCs w:val="22"/>
              </w:rPr>
              <w:t>Name and Unit of Project Officer(s):</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77765F10" w14:textId="77777777" w:rsidR="00925A18" w:rsidRPr="00E67A04" w:rsidRDefault="00925A18" w:rsidP="00555110">
            <w:pPr>
              <w:widowControl w:val="0"/>
              <w:autoSpaceDE w:val="0"/>
              <w:autoSpaceDN w:val="0"/>
              <w:adjustRightInd w:val="0"/>
              <w:rPr>
                <w:rFonts w:ascii="Arial" w:eastAsia="Batang" w:hAnsi="Arial" w:cs="Arial"/>
                <w:szCs w:val="22"/>
              </w:rPr>
            </w:pPr>
            <w:r w:rsidRPr="00E67A04">
              <w:rPr>
                <w:rFonts w:ascii="Arial" w:eastAsia="Calibri" w:hAnsi="Arial" w:cs="Arial"/>
                <w:szCs w:val="22"/>
              </w:rPr>
              <w:t>Tim Curtis, Chief, Living Heritage Entity and Secretary of the 2003 Convention for the Safeguarding of the Intangible Cultural Heritage</w:t>
            </w:r>
          </w:p>
          <w:p w14:paraId="1329DE4E" w14:textId="77777777" w:rsidR="00925A18" w:rsidRPr="00E67A04" w:rsidRDefault="00925A18" w:rsidP="00555110">
            <w:pPr>
              <w:widowControl w:val="0"/>
              <w:autoSpaceDE w:val="0"/>
              <w:autoSpaceDN w:val="0"/>
              <w:adjustRightInd w:val="0"/>
              <w:rPr>
                <w:rFonts w:ascii="Arial" w:eastAsia="Calibri" w:hAnsi="Arial" w:cs="Arial"/>
                <w:szCs w:val="22"/>
              </w:rPr>
            </w:pPr>
            <w:r w:rsidRPr="00E67A04">
              <w:rPr>
                <w:rFonts w:ascii="Arial" w:eastAsia="Calibri" w:hAnsi="Arial" w:cs="Arial"/>
                <w:szCs w:val="22"/>
              </w:rPr>
              <w:t>Susanne Schnüttgen, Head of Unit, Capacity Building and Heritage Policy, Living Heritage Entity</w:t>
            </w:r>
          </w:p>
        </w:tc>
      </w:tr>
      <w:tr w:rsidR="00925A18" w:rsidRPr="00423C72" w14:paraId="70F3D932" w14:textId="77777777" w:rsidTr="00555110">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276B4EA7" w14:textId="77777777" w:rsidR="00925A18" w:rsidRPr="00E67A04" w:rsidRDefault="00925A18" w:rsidP="00555110">
            <w:pPr>
              <w:widowControl w:val="0"/>
              <w:autoSpaceDE w:val="0"/>
              <w:autoSpaceDN w:val="0"/>
              <w:adjustRightInd w:val="0"/>
              <w:rPr>
                <w:rFonts w:ascii="Arial" w:hAnsi="Arial" w:cs="Arial"/>
                <w:b/>
                <w:color w:val="0070C0"/>
                <w:szCs w:val="22"/>
              </w:rPr>
            </w:pPr>
            <w:r w:rsidRPr="00E67A04">
              <w:rPr>
                <w:rFonts w:ascii="Arial" w:hAnsi="Arial" w:cs="Arial"/>
                <w:b/>
                <w:color w:val="0070C0"/>
                <w:szCs w:val="22"/>
              </w:rPr>
              <w:t>Partner(s) institutions:</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5AB51BAE" w14:textId="77777777" w:rsidR="00925A18" w:rsidRPr="00E67A04" w:rsidRDefault="00925A18" w:rsidP="00555110">
            <w:pPr>
              <w:widowControl w:val="0"/>
              <w:autoSpaceDE w:val="0"/>
              <w:autoSpaceDN w:val="0"/>
              <w:adjustRightInd w:val="0"/>
              <w:rPr>
                <w:rFonts w:ascii="Arial" w:eastAsia="Batang" w:hAnsi="Arial" w:cs="Arial"/>
                <w:szCs w:val="22"/>
              </w:rPr>
            </w:pPr>
            <w:r w:rsidRPr="00E67A04">
              <w:rPr>
                <w:rFonts w:ascii="Arial" w:eastAsia="Calibri" w:hAnsi="Arial" w:cs="Arial"/>
                <w:szCs w:val="22"/>
              </w:rPr>
              <w:t>Ministries in charge of intangible cultural heritage and/or other governmental and non-governmental institutions with responsibilities relevant to intangible cultural heritage</w:t>
            </w:r>
          </w:p>
        </w:tc>
      </w:tr>
      <w:tr w:rsidR="00925A18" w:rsidRPr="00423C72" w14:paraId="1389CE9B" w14:textId="77777777" w:rsidTr="00555110">
        <w:tc>
          <w:tcPr>
            <w:tcW w:w="3685" w:type="dxa"/>
            <w:tcBorders>
              <w:top w:val="single" w:sz="4" w:space="0" w:color="EEBBC0"/>
              <w:left w:val="single" w:sz="2" w:space="0" w:color="FFFFFF"/>
              <w:bottom w:val="single" w:sz="2" w:space="0" w:color="FFFFFF"/>
              <w:right w:val="single" w:sz="2" w:space="0" w:color="0077D4"/>
            </w:tcBorders>
            <w:shd w:val="clear" w:color="auto" w:fill="D8E2F4"/>
            <w:noWrap/>
            <w:tcMar>
              <w:top w:w="113" w:type="dxa"/>
              <w:left w:w="113" w:type="dxa"/>
              <w:bottom w:w="0" w:type="dxa"/>
              <w:right w:w="113" w:type="dxa"/>
            </w:tcMar>
            <w:hideMark/>
          </w:tcPr>
          <w:p w14:paraId="55E03E16" w14:textId="77777777" w:rsidR="00925A18" w:rsidRPr="00E67A04" w:rsidRDefault="00925A18" w:rsidP="00555110">
            <w:pPr>
              <w:widowControl w:val="0"/>
              <w:autoSpaceDE w:val="0"/>
              <w:autoSpaceDN w:val="0"/>
              <w:adjustRightInd w:val="0"/>
              <w:rPr>
                <w:rFonts w:ascii="Arial" w:hAnsi="Arial" w:cs="Arial"/>
                <w:b/>
                <w:color w:val="0070C0"/>
                <w:szCs w:val="22"/>
              </w:rPr>
            </w:pPr>
            <w:r w:rsidRPr="00E67A04">
              <w:rPr>
                <w:rFonts w:ascii="Arial" w:hAnsi="Arial" w:cs="Arial"/>
                <w:b/>
                <w:color w:val="0070C0"/>
                <w:szCs w:val="22"/>
              </w:rPr>
              <w:t>Tentative budget inclusive of Programme Support costs:</w:t>
            </w:r>
          </w:p>
        </w:tc>
        <w:tc>
          <w:tcPr>
            <w:tcW w:w="5953" w:type="dxa"/>
            <w:tcBorders>
              <w:top w:val="single" w:sz="4" w:space="0" w:color="EEBBC0"/>
              <w:left w:val="single" w:sz="2" w:space="0" w:color="0077D4"/>
              <w:bottom w:val="single" w:sz="2" w:space="0" w:color="FFFFFF"/>
              <w:right w:val="single" w:sz="2" w:space="0" w:color="FFFFFF"/>
            </w:tcBorders>
            <w:shd w:val="clear" w:color="auto" w:fill="ECF0FA"/>
            <w:noWrap/>
            <w:tcMar>
              <w:top w:w="113" w:type="dxa"/>
              <w:left w:w="113" w:type="dxa"/>
              <w:bottom w:w="0" w:type="dxa"/>
              <w:right w:w="113" w:type="dxa"/>
            </w:tcMar>
            <w:hideMark/>
          </w:tcPr>
          <w:p w14:paraId="16BAB3A0" w14:textId="27FB08F0" w:rsidR="00925A18" w:rsidRPr="00E67A04" w:rsidRDefault="00925A18" w:rsidP="00555110">
            <w:pPr>
              <w:widowControl w:val="0"/>
              <w:autoSpaceDE w:val="0"/>
              <w:autoSpaceDN w:val="0"/>
              <w:adjustRightInd w:val="0"/>
              <w:rPr>
                <w:rFonts w:ascii="Arial" w:eastAsia="Batang" w:hAnsi="Arial" w:cs="Arial"/>
                <w:szCs w:val="22"/>
              </w:rPr>
            </w:pPr>
            <w:r w:rsidRPr="00E67A04">
              <w:rPr>
                <w:rFonts w:ascii="Arial" w:eastAsia="Calibri" w:hAnsi="Arial" w:cs="Arial"/>
                <w:szCs w:val="22"/>
              </w:rPr>
              <w:t>US$5 million</w:t>
            </w:r>
          </w:p>
        </w:tc>
      </w:tr>
    </w:tbl>
    <w:p w14:paraId="28C7BCBE" w14:textId="77777777" w:rsidR="00925A18" w:rsidRPr="00E67A04" w:rsidRDefault="00925A18" w:rsidP="00925A18">
      <w:pPr>
        <w:shd w:val="clear" w:color="auto" w:fill="0077D4"/>
        <w:tabs>
          <w:tab w:val="left" w:pos="567"/>
        </w:tabs>
        <w:snapToGrid w:val="0"/>
        <w:spacing w:before="240"/>
        <w:rPr>
          <w:rFonts w:ascii="Arial" w:eastAsia="Calibri" w:hAnsi="Arial" w:cs="Arial"/>
          <w:color w:val="FFFFFF"/>
          <w:sz w:val="28"/>
          <w:szCs w:val="28"/>
          <w:lang w:eastAsia="en-US"/>
        </w:rPr>
      </w:pPr>
      <w:r w:rsidRPr="00E67A04">
        <w:rPr>
          <w:rFonts w:ascii="Arial" w:eastAsia="Calibri" w:hAnsi="Arial" w:cs="Arial"/>
          <w:color w:val="FFFFFF"/>
          <w:sz w:val="28"/>
          <w:szCs w:val="28"/>
          <w:lang w:eastAsia="en-US"/>
        </w:rPr>
        <w:t>Rationale and overall purpose</w:t>
      </w:r>
    </w:p>
    <w:p w14:paraId="11A093DA" w14:textId="78388760" w:rsidR="00925A18" w:rsidRDefault="00925A18" w:rsidP="00925A18">
      <w:pPr>
        <w:spacing w:before="120"/>
        <w:jc w:val="both"/>
        <w:rPr>
          <w:rFonts w:ascii="Arial" w:eastAsia="Calibri" w:hAnsi="Arial" w:cs="Arial"/>
          <w:szCs w:val="22"/>
          <w:lang w:eastAsia="en-US"/>
        </w:rPr>
      </w:pPr>
      <w:r>
        <w:rPr>
          <w:rFonts w:ascii="Arial" w:eastAsia="Calibri" w:hAnsi="Arial" w:cs="Arial"/>
          <w:noProof/>
          <w:szCs w:val="22"/>
          <w:lang w:eastAsia="en-US"/>
        </w:rPr>
        <w:drawing>
          <wp:anchor distT="0" distB="0" distL="114300" distR="114300" simplePos="0" relativeHeight="251667456" behindDoc="1" locked="0" layoutInCell="1" allowOverlap="1" wp14:anchorId="552841B8" wp14:editId="046DFFF2">
            <wp:simplePos x="0" y="0"/>
            <wp:positionH relativeFrom="margin">
              <wp:posOffset>3268345</wp:posOffset>
            </wp:positionH>
            <wp:positionV relativeFrom="paragraph">
              <wp:posOffset>131445</wp:posOffset>
            </wp:positionV>
            <wp:extent cx="2807335" cy="1734820"/>
            <wp:effectExtent l="133350" t="114300" r="145415" b="170180"/>
            <wp:wrapTight wrapText="bothSides">
              <wp:wrapPolygon edited="0">
                <wp:start x="-879" y="-1423"/>
                <wp:lineTo x="-1026" y="22059"/>
                <wp:lineTo x="-586" y="23482"/>
                <wp:lineTo x="21986" y="23482"/>
                <wp:lineTo x="22572" y="21821"/>
                <wp:lineTo x="22572" y="2846"/>
                <wp:lineTo x="22279" y="-1423"/>
                <wp:lineTo x="-879" y="-1423"/>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07335" cy="1734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A6A40">
        <w:rPr>
          <w:rFonts w:ascii="Arial" w:hAnsi="Arial"/>
          <w:noProof/>
          <w:lang w:eastAsia="ko-KR"/>
        </w:rPr>
        <mc:AlternateContent>
          <mc:Choice Requires="wps">
            <w:drawing>
              <wp:anchor distT="0" distB="0" distL="114300" distR="114300" simplePos="0" relativeHeight="251668480" behindDoc="0" locked="0" layoutInCell="1" allowOverlap="1" wp14:anchorId="0B00A110" wp14:editId="322F947E">
                <wp:simplePos x="0" y="0"/>
                <wp:positionH relativeFrom="margin">
                  <wp:align>right</wp:align>
                </wp:positionH>
                <wp:positionV relativeFrom="paragraph">
                  <wp:posOffset>1921321</wp:posOffset>
                </wp:positionV>
                <wp:extent cx="2881630" cy="1498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2881630" cy="149860"/>
                        </a:xfrm>
                        <a:prstGeom prst="rect">
                          <a:avLst/>
                        </a:prstGeom>
                        <a:solidFill>
                          <a:prstClr val="white"/>
                        </a:solidFill>
                        <a:ln>
                          <a:noFill/>
                        </a:ln>
                      </wps:spPr>
                      <wps:txbx>
                        <w:txbxContent>
                          <w:p w14:paraId="2F2906E9" w14:textId="77777777" w:rsidR="00D54374" w:rsidRPr="009F04D9" w:rsidRDefault="00D54374" w:rsidP="00925A18">
                            <w:pPr>
                              <w:pStyle w:val="Caption"/>
                              <w:rPr>
                                <w:rFonts w:ascii="Arial" w:eastAsia="Calibri" w:hAnsi="Arial" w:cs="Arial"/>
                                <w:noProof/>
                                <w:color w:val="0077D4"/>
                              </w:rPr>
                            </w:pPr>
                            <w:r w:rsidRPr="007E435C">
                              <w:rPr>
                                <w:color w:val="0077D4"/>
                              </w:rPr>
                              <w:t xml:space="preserve">© </w:t>
                            </w:r>
                            <w:r w:rsidRPr="0098454B">
                              <w:rPr>
                                <w:color w:val="0077D4"/>
                              </w:rPr>
                              <w:t>Philippe Bordas / UNESCO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00A110" id="_x0000_t202" coordsize="21600,21600" o:spt="202" path="m,l,21600r21600,l21600,xe">
                <v:stroke joinstyle="miter"/>
                <v:path gradientshapeok="t" o:connecttype="rect"/>
              </v:shapetype>
              <v:shape id="Text Box 6" o:spid="_x0000_s1026" type="#_x0000_t202" style="position:absolute;left:0;text-align:left;margin-left:175.7pt;margin-top:151.3pt;width:226.9pt;height:1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" stroked="f">
                <v:textbox inset="0,0,0,0">
                  <w:txbxContent>
                    <w:p w14:paraId="2F2906E9" w14:textId="77777777" w:rsidR="00D54374" w:rsidRPr="009F04D9" w:rsidRDefault="00D54374" w:rsidP="00925A18">
                      <w:pPr>
                        <w:pStyle w:val="Caption"/>
                        <w:rPr>
                          <w:rFonts w:ascii="Arial" w:eastAsia="Calibri" w:hAnsi="Arial" w:cs="Arial"/>
                          <w:noProof/>
                          <w:color w:val="0077D4"/>
                        </w:rPr>
                      </w:pPr>
                      <w:r w:rsidRPr="007E435C">
                        <w:rPr>
                          <w:color w:val="0077D4"/>
                        </w:rPr>
                        <w:t xml:space="preserve">© </w:t>
                      </w:r>
                      <w:r w:rsidRPr="0098454B">
                        <w:rPr>
                          <w:color w:val="0077D4"/>
                        </w:rPr>
                        <w:t>Philippe Bordas / UNESCO</w:t>
                      </w:r>
                    </w:p>
                  </w:txbxContent>
                </v:textbox>
                <w10:wrap type="square" anchorx="margin"/>
              </v:shape>
            </w:pict>
          </mc:Fallback>
        </mc:AlternateContent>
      </w:r>
      <w:r>
        <w:rPr>
          <w:rFonts w:ascii="Arial" w:eastAsia="Calibri" w:hAnsi="Arial" w:cs="Arial"/>
          <w:szCs w:val="22"/>
          <w:lang w:eastAsia="en-US"/>
        </w:rPr>
        <w:t>With a decade-long experience of delivering in-person training</w:t>
      </w:r>
      <w:r w:rsidRPr="00B6497A">
        <w:rPr>
          <w:rFonts w:ascii="Arial" w:eastAsia="Calibri" w:hAnsi="Arial" w:cs="Arial"/>
          <w:szCs w:val="22"/>
          <w:lang w:eastAsia="en-US"/>
        </w:rPr>
        <w:t xml:space="preserve">, the global capacity-building programme has become an integral part of the implementation of the </w:t>
      </w:r>
      <w:r>
        <w:rPr>
          <w:rFonts w:ascii="Arial" w:eastAsia="Calibri" w:hAnsi="Arial" w:cs="Arial"/>
          <w:szCs w:val="22"/>
          <w:lang w:eastAsia="en-US"/>
        </w:rPr>
        <w:t>2003 </w:t>
      </w:r>
      <w:r w:rsidRPr="00B6497A">
        <w:rPr>
          <w:rFonts w:ascii="Arial" w:eastAsia="Calibri" w:hAnsi="Arial" w:cs="Arial"/>
          <w:szCs w:val="22"/>
          <w:lang w:eastAsia="en-US"/>
        </w:rPr>
        <w:t xml:space="preserve">Convention for the Safeguarding of the Intangible Cultural Heritage at the national level. </w:t>
      </w:r>
      <w:r w:rsidRPr="00A41EB7">
        <w:rPr>
          <w:rFonts w:ascii="Arial" w:eastAsia="Calibri" w:hAnsi="Arial" w:cs="Arial"/>
          <w:i/>
          <w:iCs/>
          <w:szCs w:val="22"/>
          <w:lang w:eastAsia="en-US"/>
        </w:rPr>
        <w:t>“</w:t>
      </w:r>
      <w:r>
        <w:rPr>
          <w:rFonts w:ascii="Arial" w:eastAsia="Calibri" w:hAnsi="Arial" w:cs="Arial"/>
          <w:i/>
          <w:iCs/>
          <w:szCs w:val="22"/>
          <w:lang w:eastAsia="en-US"/>
        </w:rPr>
        <w:t xml:space="preserve">(…) </w:t>
      </w:r>
      <w:r w:rsidRPr="00A41EB7">
        <w:rPr>
          <w:rFonts w:ascii="Arial" w:eastAsia="Calibri" w:hAnsi="Arial" w:cs="Arial"/>
          <w:i/>
          <w:iCs/>
          <w:szCs w:val="22"/>
          <w:lang w:eastAsia="en-US"/>
        </w:rPr>
        <w:t>capacity-building is at the core of what UNESCO is and should be doing,”</w:t>
      </w:r>
      <w:r w:rsidRPr="00D32C80">
        <w:rPr>
          <w:rFonts w:ascii="Arial" w:eastAsia="Calibri" w:hAnsi="Arial" w:cs="Arial"/>
          <w:i/>
          <w:iCs/>
          <w:szCs w:val="22"/>
          <w:lang w:eastAsia="en-US"/>
        </w:rPr>
        <w:t xml:space="preserve"> </w:t>
      </w:r>
      <w:r w:rsidRPr="00A41EB7">
        <w:rPr>
          <w:rFonts w:ascii="Arial" w:eastAsia="Calibri" w:hAnsi="Arial" w:cs="Arial"/>
          <w:szCs w:val="22"/>
          <w:lang w:eastAsia="en-US"/>
        </w:rPr>
        <w:t xml:space="preserve">underlines the </w:t>
      </w:r>
      <w:r w:rsidRPr="00DD008B">
        <w:rPr>
          <w:rFonts w:ascii="Arial" w:eastAsia="Calibri" w:hAnsi="Arial" w:cs="Arial"/>
          <w:szCs w:val="22"/>
          <w:lang w:eastAsia="en-US"/>
        </w:rPr>
        <w:t xml:space="preserve">evaluation of the </w:t>
      </w:r>
      <w:r w:rsidRPr="00D32C80">
        <w:rPr>
          <w:rFonts w:ascii="Arial" w:eastAsia="Calibri" w:hAnsi="Arial" w:cs="Arial"/>
          <w:szCs w:val="22"/>
          <w:lang w:eastAsia="en-US"/>
        </w:rPr>
        <w:t>Internal Oversight S</w:t>
      </w:r>
      <w:r w:rsidRPr="00FF57E1">
        <w:rPr>
          <w:rFonts w:ascii="Arial" w:eastAsia="Calibri" w:hAnsi="Arial" w:cs="Arial"/>
          <w:szCs w:val="22"/>
          <w:lang w:eastAsia="en-US"/>
        </w:rPr>
        <w:t>ervice</w:t>
      </w:r>
      <w:r>
        <w:rPr>
          <w:rFonts w:ascii="Arial" w:eastAsia="Calibri" w:hAnsi="Arial" w:cs="Arial"/>
          <w:szCs w:val="22"/>
          <w:lang w:eastAsia="en-US"/>
        </w:rPr>
        <w:t xml:space="preserve">, 2021 </w:t>
      </w:r>
      <w:r w:rsidRPr="00DD008B">
        <w:rPr>
          <w:rFonts w:ascii="Arial" w:hAnsi="Arial" w:cs="Arial"/>
          <w:lang w:eastAsia="en-US"/>
        </w:rPr>
        <w:t xml:space="preserve">(see </w:t>
      </w:r>
      <w:r w:rsidRPr="00A41EB7">
        <w:rPr>
          <w:rFonts w:ascii="Arial" w:hAnsi="Arial" w:cs="Arial"/>
          <w:lang w:eastAsia="en-US"/>
        </w:rPr>
        <w:t>document</w:t>
      </w:r>
      <w:r w:rsidR="00827A96">
        <w:rPr>
          <w:rFonts w:ascii="Arial" w:hAnsi="Arial" w:cs="Arial"/>
          <w:lang w:eastAsia="en-US"/>
        </w:rPr>
        <w:t xml:space="preserve"> </w:t>
      </w:r>
      <w:hyperlink r:id="rId36" w:history="1">
        <w:r w:rsidR="00C74F94">
          <w:rPr>
            <w:rStyle w:val="Hyperlink"/>
            <w:rFonts w:ascii="Arial" w:hAnsi="Arial" w:cs="Arial"/>
            <w:lang w:eastAsia="en-US"/>
          </w:rPr>
          <w:t>LHE/21/16.COM/10</w:t>
        </w:r>
      </w:hyperlink>
      <w:r w:rsidRPr="00D32C80">
        <w:rPr>
          <w:rFonts w:ascii="Arial" w:hAnsi="Arial" w:cs="Arial"/>
          <w:lang w:eastAsia="en-US"/>
        </w:rPr>
        <w:t>)</w:t>
      </w:r>
      <w:r w:rsidRPr="00FF57E1">
        <w:rPr>
          <w:rFonts w:ascii="Arial" w:eastAsia="Calibri" w:hAnsi="Arial" w:cs="Arial"/>
          <w:szCs w:val="22"/>
          <w:lang w:eastAsia="en-US"/>
        </w:rPr>
        <w:t xml:space="preserve">. </w:t>
      </w:r>
      <w:r>
        <w:rPr>
          <w:rFonts w:ascii="Arial" w:eastAsia="Calibri" w:hAnsi="Arial" w:cs="Arial"/>
          <w:szCs w:val="22"/>
          <w:lang w:eastAsia="en-US"/>
        </w:rPr>
        <w:t>T</w:t>
      </w:r>
      <w:r w:rsidRPr="00A41EB7">
        <w:rPr>
          <w:rFonts w:ascii="Arial" w:hAnsi="Arial" w:cs="Arial"/>
          <w:szCs w:val="22"/>
          <w:lang w:eastAsia="en-US"/>
        </w:rPr>
        <w:t>he emergence of the COVID-19 crisis and the related restrictions made particularly clear that the capacity-building programme needs to adapt</w:t>
      </w:r>
      <w:r w:rsidRPr="00D32C80">
        <w:rPr>
          <w:rFonts w:ascii="Arial" w:eastAsia="Calibri" w:hAnsi="Arial" w:cs="Arial"/>
          <w:szCs w:val="22"/>
          <w:lang w:eastAsia="en-US"/>
        </w:rPr>
        <w:t xml:space="preserve">, calling </w:t>
      </w:r>
      <w:r w:rsidRPr="00B6497A">
        <w:rPr>
          <w:rFonts w:ascii="Arial" w:eastAsia="Calibri" w:hAnsi="Arial" w:cs="Arial"/>
          <w:szCs w:val="22"/>
          <w:lang w:eastAsia="en-US"/>
        </w:rPr>
        <w:t>for creative and innovative ways for programme delivery in an online environment. The programme has successfully pilot</w:t>
      </w:r>
      <w:r>
        <w:rPr>
          <w:rFonts w:ascii="Arial" w:eastAsia="Calibri" w:hAnsi="Arial" w:cs="Arial"/>
          <w:szCs w:val="22"/>
          <w:lang w:eastAsia="en-US"/>
        </w:rPr>
        <w:t>ed</w:t>
      </w:r>
      <w:r w:rsidRPr="00B6497A">
        <w:rPr>
          <w:rFonts w:ascii="Arial" w:eastAsia="Calibri" w:hAnsi="Arial" w:cs="Arial"/>
          <w:szCs w:val="22"/>
          <w:lang w:eastAsia="en-US"/>
        </w:rPr>
        <w:t xml:space="preserve"> new online and hybrid delivery formats. </w:t>
      </w:r>
      <w:r w:rsidRPr="00383461">
        <w:rPr>
          <w:rFonts w:ascii="Arial" w:eastAsia="Calibri" w:hAnsi="Arial" w:cs="Arial"/>
          <w:szCs w:val="22"/>
          <w:lang w:eastAsia="en-US"/>
        </w:rPr>
        <w:t>Building on the lessons learnt</w:t>
      </w:r>
      <w:r>
        <w:rPr>
          <w:rFonts w:ascii="Arial" w:eastAsia="Calibri" w:hAnsi="Arial" w:cs="Arial"/>
          <w:szCs w:val="22"/>
          <w:lang w:eastAsia="en-US"/>
        </w:rPr>
        <w:t>, the programme is now undergoing a reorientation to include a multi</w:t>
      </w:r>
      <w:r w:rsidR="00425833">
        <w:rPr>
          <w:rFonts w:ascii="Arial" w:eastAsia="Calibri" w:hAnsi="Arial" w:cs="Arial"/>
          <w:szCs w:val="22"/>
          <w:lang w:eastAsia="en-US"/>
        </w:rPr>
        <w:t>-</w:t>
      </w:r>
      <w:r>
        <w:rPr>
          <w:rFonts w:ascii="Arial" w:eastAsia="Calibri" w:hAnsi="Arial" w:cs="Arial"/>
          <w:szCs w:val="22"/>
          <w:lang w:eastAsia="en-US"/>
        </w:rPr>
        <w:t xml:space="preserve">modal delivery approach, thus providing opportunities for expanding programme outreach to new audiences and harnessing innovative pedagogy, while ensuring cost-effectiveness </w:t>
      </w:r>
      <w:r w:rsidRPr="00F44BBA">
        <w:rPr>
          <w:rFonts w:ascii="Arial" w:hAnsi="Arial" w:cs="Arial"/>
          <w:szCs w:val="22"/>
          <w:lang w:eastAsia="en-US"/>
        </w:rPr>
        <w:t>(</w:t>
      </w:r>
      <w:hyperlink r:id="rId37" w:history="1">
        <w:r w:rsidRPr="00F44BBA">
          <w:rPr>
            <w:rStyle w:val="Hyperlink"/>
            <w:rFonts w:ascii="Arial" w:hAnsi="Arial" w:cs="Arial"/>
            <w:szCs w:val="22"/>
            <w:lang w:eastAsia="en-US"/>
          </w:rPr>
          <w:t>LHE/20/8.GA/7 Rev.</w:t>
        </w:r>
        <w:r w:rsidRPr="00F44BBA">
          <w:rPr>
            <w:rStyle w:val="Hyperlink"/>
            <w:rFonts w:ascii="Arial" w:hAnsi="Arial" w:cs="Arial"/>
            <w:color w:val="auto"/>
            <w:szCs w:val="22"/>
            <w:u w:val="none"/>
            <w:lang w:eastAsia="en-US"/>
          </w:rPr>
          <w:t>)</w:t>
        </w:r>
      </w:hyperlink>
      <w:r w:rsidRPr="00F44BBA">
        <w:rPr>
          <w:rFonts w:ascii="Arial" w:eastAsia="Calibri" w:hAnsi="Arial" w:cs="Arial"/>
          <w:szCs w:val="22"/>
          <w:lang w:eastAsia="en-US"/>
        </w:rPr>
        <w:t>.</w:t>
      </w:r>
    </w:p>
    <w:p w14:paraId="5854C8F7" w14:textId="77777777" w:rsidR="00925A18" w:rsidRPr="00A41EB7" w:rsidRDefault="00925A18" w:rsidP="0051163A">
      <w:pPr>
        <w:keepNext/>
        <w:spacing w:before="240"/>
        <w:jc w:val="both"/>
        <w:rPr>
          <w:rFonts w:ascii="Arial" w:eastAsia="Calibri" w:hAnsi="Arial" w:cs="Arial"/>
          <w:b/>
          <w:bCs/>
          <w:i/>
          <w:iCs/>
          <w:szCs w:val="22"/>
          <w:lang w:eastAsia="en-US"/>
        </w:rPr>
      </w:pPr>
      <w:r>
        <w:rPr>
          <w:rFonts w:ascii="Arial" w:eastAsia="Calibri" w:hAnsi="Arial" w:cs="Arial"/>
          <w:b/>
          <w:bCs/>
          <w:i/>
          <w:iCs/>
          <w:szCs w:val="22"/>
          <w:lang w:eastAsia="en-US"/>
        </w:rPr>
        <w:t>Progress and achievements</w:t>
      </w:r>
    </w:p>
    <w:p w14:paraId="47AEA377" w14:textId="77777777" w:rsidR="00925A18" w:rsidRDefault="00925A18" w:rsidP="00925A18">
      <w:pPr>
        <w:spacing w:before="120"/>
        <w:jc w:val="both"/>
        <w:rPr>
          <w:rFonts w:ascii="Arial" w:eastAsia="Calibri" w:hAnsi="Arial" w:cs="Arial"/>
          <w:szCs w:val="22"/>
          <w:lang w:eastAsia="en-US"/>
        </w:rPr>
      </w:pPr>
      <w:r>
        <w:rPr>
          <w:rFonts w:ascii="Arial" w:eastAsia="Calibri" w:hAnsi="Arial" w:cs="Arial"/>
          <w:szCs w:val="22"/>
          <w:lang w:eastAsia="en-US"/>
        </w:rPr>
        <w:t xml:space="preserve">The Programme has continued to address the core actions for safeguarding living heritage while also making progress in addressing new training needs. A specific capacity-building approach was developed for the roll-out of the reformed periodic reporting mechanism and implemented in the first </w:t>
      </w:r>
      <w:r>
        <w:rPr>
          <w:rFonts w:ascii="Arial" w:eastAsia="Calibri" w:hAnsi="Arial" w:cs="Arial"/>
          <w:szCs w:val="22"/>
          <w:lang w:eastAsia="en-US"/>
        </w:rPr>
        <w:lastRenderedPageBreak/>
        <w:t xml:space="preserve">regional cycle of reporting (Latin America and the Caribbean, Europe). Within the thematic scope, the programme has further developed and piloted training approaches in various areas. </w:t>
      </w:r>
    </w:p>
    <w:tbl>
      <w:tblPr>
        <w:tblStyle w:val="TableGrid"/>
        <w:tblW w:w="0" w:type="auto"/>
        <w:tblBorders>
          <w:top w:val="dotted" w:sz="4" w:space="0" w:color="8064A2" w:themeColor="accent4"/>
          <w:left w:val="dotted" w:sz="4" w:space="0" w:color="8064A2" w:themeColor="accent4"/>
          <w:bottom w:val="none" w:sz="0" w:space="0" w:color="auto"/>
          <w:right w:val="dotted" w:sz="4" w:space="0" w:color="8064A2" w:themeColor="accent4"/>
          <w:insideH w:val="dotted" w:sz="4" w:space="0" w:color="8064A2" w:themeColor="accent4"/>
          <w:insideV w:val="dotted" w:sz="4" w:space="0" w:color="8064A2" w:themeColor="accent4"/>
        </w:tblBorders>
        <w:shd w:val="clear" w:color="auto" w:fill="DBE5F1" w:themeFill="accent1" w:themeFillTint="33"/>
        <w:tblLook w:val="04A0" w:firstRow="1" w:lastRow="0" w:firstColumn="1" w:lastColumn="0" w:noHBand="0" w:noVBand="1"/>
      </w:tblPr>
      <w:tblGrid>
        <w:gridCol w:w="5035"/>
        <w:gridCol w:w="4590"/>
      </w:tblGrid>
      <w:tr w:rsidR="00925A18" w14:paraId="2836E85B" w14:textId="77777777" w:rsidTr="00555110">
        <w:trPr>
          <w:trHeight w:val="273"/>
        </w:trPr>
        <w:tc>
          <w:tcPr>
            <w:tcW w:w="5035" w:type="dxa"/>
            <w:shd w:val="clear" w:color="auto" w:fill="95B3D7" w:themeFill="accent1" w:themeFillTint="99"/>
            <w:vAlign w:val="center"/>
          </w:tcPr>
          <w:p w14:paraId="11C1F01D" w14:textId="77777777" w:rsidR="00925A18" w:rsidRPr="00A41EB7" w:rsidRDefault="00925A18" w:rsidP="00555110">
            <w:pPr>
              <w:spacing w:after="0"/>
              <w:jc w:val="center"/>
              <w:rPr>
                <w:rFonts w:ascii="Arial" w:eastAsia="Calibri" w:hAnsi="Arial" w:cs="Arial"/>
                <w:b/>
                <w:bCs/>
                <w:sz w:val="20"/>
                <w:szCs w:val="20"/>
                <w:lang w:eastAsia="en-US"/>
              </w:rPr>
            </w:pPr>
            <w:r w:rsidRPr="00A41EB7">
              <w:rPr>
                <w:rFonts w:ascii="Arial" w:eastAsia="Calibri" w:hAnsi="Arial" w:cs="Arial"/>
                <w:b/>
                <w:bCs/>
                <w:sz w:val="20"/>
                <w:szCs w:val="20"/>
                <w:lang w:eastAsia="en-US"/>
              </w:rPr>
              <w:t>Core actions</w:t>
            </w:r>
          </w:p>
        </w:tc>
        <w:tc>
          <w:tcPr>
            <w:tcW w:w="4590" w:type="dxa"/>
            <w:shd w:val="clear" w:color="auto" w:fill="95B3D7" w:themeFill="accent1" w:themeFillTint="99"/>
            <w:vAlign w:val="center"/>
          </w:tcPr>
          <w:p w14:paraId="582540E1" w14:textId="77777777" w:rsidR="00925A18" w:rsidRPr="00A41EB7" w:rsidRDefault="00925A18" w:rsidP="00555110">
            <w:pPr>
              <w:spacing w:after="0"/>
              <w:jc w:val="center"/>
              <w:rPr>
                <w:rFonts w:ascii="Arial" w:eastAsia="Calibri" w:hAnsi="Arial" w:cs="Arial"/>
                <w:b/>
                <w:bCs/>
                <w:sz w:val="20"/>
                <w:szCs w:val="20"/>
                <w:lang w:eastAsia="en-US"/>
              </w:rPr>
            </w:pPr>
            <w:r w:rsidRPr="00A41EB7">
              <w:rPr>
                <w:rFonts w:ascii="Arial" w:eastAsia="Calibri" w:hAnsi="Arial" w:cs="Arial"/>
                <w:b/>
                <w:bCs/>
                <w:sz w:val="20"/>
                <w:szCs w:val="20"/>
                <w:lang w:eastAsia="en-US"/>
              </w:rPr>
              <w:t>Thematic areas to date</w:t>
            </w:r>
          </w:p>
        </w:tc>
      </w:tr>
      <w:tr w:rsidR="00925A18" w14:paraId="6BE06A30" w14:textId="77777777" w:rsidTr="00555110">
        <w:trPr>
          <w:trHeight w:val="1191"/>
        </w:trPr>
        <w:tc>
          <w:tcPr>
            <w:tcW w:w="5035" w:type="dxa"/>
            <w:shd w:val="clear" w:color="auto" w:fill="DBE5F1" w:themeFill="accent1" w:themeFillTint="33"/>
          </w:tcPr>
          <w:p w14:paraId="5D7CC51F" w14:textId="77777777" w:rsidR="00925A18" w:rsidRPr="00ED3B52" w:rsidRDefault="00925A18" w:rsidP="00925A18">
            <w:pPr>
              <w:pStyle w:val="ListParagraph"/>
              <w:numPr>
                <w:ilvl w:val="0"/>
                <w:numId w:val="23"/>
              </w:numPr>
              <w:spacing w:after="0"/>
              <w:ind w:left="600" w:hanging="240"/>
              <w:rPr>
                <w:rFonts w:eastAsia="Calibri"/>
                <w:sz w:val="20"/>
                <w:szCs w:val="20"/>
              </w:rPr>
            </w:pPr>
            <w:r w:rsidRPr="00ED3B52">
              <w:rPr>
                <w:rFonts w:eastAsia="Calibri"/>
                <w:sz w:val="20"/>
                <w:szCs w:val="20"/>
              </w:rPr>
              <w:t>implementing the Convention</w:t>
            </w:r>
          </w:p>
          <w:p w14:paraId="16A31CD7" w14:textId="77777777" w:rsidR="00925A18" w:rsidRPr="00ED3B52" w:rsidRDefault="00925A18" w:rsidP="00925A18">
            <w:pPr>
              <w:pStyle w:val="ListParagraph"/>
              <w:numPr>
                <w:ilvl w:val="0"/>
                <w:numId w:val="23"/>
              </w:numPr>
              <w:spacing w:after="0"/>
              <w:ind w:left="600" w:hanging="240"/>
              <w:rPr>
                <w:rFonts w:eastAsia="Calibri"/>
                <w:sz w:val="20"/>
                <w:szCs w:val="20"/>
              </w:rPr>
            </w:pPr>
            <w:r w:rsidRPr="00ED3B52">
              <w:rPr>
                <w:rFonts w:eastAsia="Calibri"/>
                <w:sz w:val="20"/>
                <w:szCs w:val="20"/>
              </w:rPr>
              <w:t>community-based inventorying</w:t>
            </w:r>
          </w:p>
          <w:p w14:paraId="0A963123" w14:textId="77777777" w:rsidR="00925A18" w:rsidRPr="00ED3B52" w:rsidRDefault="00925A18" w:rsidP="00925A18">
            <w:pPr>
              <w:pStyle w:val="ListParagraph"/>
              <w:numPr>
                <w:ilvl w:val="0"/>
                <w:numId w:val="23"/>
              </w:numPr>
              <w:spacing w:after="0"/>
              <w:ind w:left="600" w:hanging="240"/>
              <w:rPr>
                <w:rFonts w:eastAsia="Calibri"/>
                <w:sz w:val="20"/>
                <w:szCs w:val="20"/>
              </w:rPr>
            </w:pPr>
            <w:r w:rsidRPr="00ED3B52">
              <w:rPr>
                <w:rFonts w:eastAsia="Calibri"/>
                <w:sz w:val="20"/>
                <w:szCs w:val="20"/>
              </w:rPr>
              <w:t xml:space="preserve">safeguarding plans </w:t>
            </w:r>
          </w:p>
          <w:p w14:paraId="3EE7B4B3" w14:textId="77777777" w:rsidR="00925A18" w:rsidRPr="00ED3B52" w:rsidRDefault="00925A18" w:rsidP="00925A18">
            <w:pPr>
              <w:pStyle w:val="ListParagraph"/>
              <w:numPr>
                <w:ilvl w:val="0"/>
                <w:numId w:val="23"/>
              </w:numPr>
              <w:spacing w:after="0"/>
              <w:ind w:left="600" w:hanging="240"/>
              <w:rPr>
                <w:rFonts w:eastAsia="Calibri"/>
                <w:sz w:val="20"/>
                <w:szCs w:val="20"/>
              </w:rPr>
            </w:pPr>
            <w:r w:rsidRPr="00ED3B52">
              <w:rPr>
                <w:rFonts w:eastAsia="Calibri"/>
                <w:sz w:val="20"/>
                <w:szCs w:val="20"/>
              </w:rPr>
              <w:t>nominations and international assistance</w:t>
            </w:r>
          </w:p>
          <w:p w14:paraId="5A0C1E94" w14:textId="77777777" w:rsidR="00925A18" w:rsidRPr="00ED3B52" w:rsidRDefault="00925A18" w:rsidP="00925A18">
            <w:pPr>
              <w:pStyle w:val="ListParagraph"/>
              <w:numPr>
                <w:ilvl w:val="0"/>
                <w:numId w:val="23"/>
              </w:numPr>
              <w:spacing w:after="0"/>
              <w:ind w:left="600" w:hanging="240"/>
              <w:rPr>
                <w:rFonts w:eastAsia="Calibri"/>
                <w:sz w:val="20"/>
                <w:szCs w:val="20"/>
              </w:rPr>
            </w:pPr>
            <w:r w:rsidRPr="00ED3B52">
              <w:rPr>
                <w:rFonts w:eastAsia="Calibri"/>
                <w:sz w:val="20"/>
                <w:szCs w:val="20"/>
              </w:rPr>
              <w:t>overall results framework &amp; related periodic reporting</w:t>
            </w:r>
          </w:p>
        </w:tc>
        <w:tc>
          <w:tcPr>
            <w:tcW w:w="4590" w:type="dxa"/>
            <w:shd w:val="clear" w:color="auto" w:fill="DBE5F1" w:themeFill="accent1" w:themeFillTint="33"/>
          </w:tcPr>
          <w:p w14:paraId="1DFDEEA8" w14:textId="77777777" w:rsidR="00925A18" w:rsidRPr="00ED3B52" w:rsidRDefault="00925A18" w:rsidP="00925A18">
            <w:pPr>
              <w:pStyle w:val="ListParagraph"/>
              <w:numPr>
                <w:ilvl w:val="0"/>
                <w:numId w:val="24"/>
              </w:numPr>
              <w:spacing w:after="0"/>
              <w:ind w:left="600" w:hanging="240"/>
              <w:rPr>
                <w:rFonts w:eastAsia="Calibri"/>
                <w:sz w:val="20"/>
                <w:szCs w:val="20"/>
              </w:rPr>
            </w:pPr>
            <w:r w:rsidRPr="00ED3B52">
              <w:rPr>
                <w:rFonts w:eastAsia="Calibri"/>
                <w:sz w:val="20"/>
                <w:szCs w:val="20"/>
              </w:rPr>
              <w:t>education</w:t>
            </w:r>
          </w:p>
          <w:p w14:paraId="31B9632C" w14:textId="77777777" w:rsidR="00925A18" w:rsidRPr="00ED3B52" w:rsidRDefault="00925A18" w:rsidP="00925A18">
            <w:pPr>
              <w:pStyle w:val="ListParagraph"/>
              <w:numPr>
                <w:ilvl w:val="0"/>
                <w:numId w:val="24"/>
              </w:numPr>
              <w:spacing w:after="0"/>
              <w:ind w:left="600" w:hanging="240"/>
              <w:rPr>
                <w:rFonts w:eastAsia="Calibri"/>
                <w:sz w:val="20"/>
                <w:szCs w:val="20"/>
              </w:rPr>
            </w:pPr>
            <w:r w:rsidRPr="00ED3B52">
              <w:rPr>
                <w:rFonts w:eastAsia="Calibri"/>
                <w:sz w:val="20"/>
                <w:szCs w:val="20"/>
              </w:rPr>
              <w:t>sustainable development</w:t>
            </w:r>
          </w:p>
          <w:p w14:paraId="301E550B" w14:textId="77777777" w:rsidR="00925A18" w:rsidRPr="00ED3B52" w:rsidRDefault="00925A18" w:rsidP="00925A18">
            <w:pPr>
              <w:pStyle w:val="ListParagraph"/>
              <w:numPr>
                <w:ilvl w:val="0"/>
                <w:numId w:val="24"/>
              </w:numPr>
              <w:spacing w:after="0"/>
              <w:ind w:left="600" w:hanging="240"/>
              <w:rPr>
                <w:rFonts w:eastAsia="Calibri"/>
                <w:sz w:val="20"/>
                <w:szCs w:val="20"/>
              </w:rPr>
            </w:pPr>
            <w:r w:rsidRPr="00ED3B52">
              <w:rPr>
                <w:rFonts w:eastAsia="Calibri"/>
                <w:sz w:val="20"/>
                <w:szCs w:val="20"/>
              </w:rPr>
              <w:t>gender</w:t>
            </w:r>
          </w:p>
          <w:p w14:paraId="16B15A78" w14:textId="77777777" w:rsidR="00925A18" w:rsidRPr="00ED3B52" w:rsidRDefault="00925A18" w:rsidP="00925A18">
            <w:pPr>
              <w:pStyle w:val="ListParagraph"/>
              <w:numPr>
                <w:ilvl w:val="0"/>
                <w:numId w:val="24"/>
              </w:numPr>
              <w:spacing w:after="0"/>
              <w:ind w:left="600" w:hanging="240"/>
              <w:rPr>
                <w:rFonts w:eastAsia="Calibri"/>
                <w:sz w:val="20"/>
                <w:szCs w:val="20"/>
              </w:rPr>
            </w:pPr>
            <w:r w:rsidRPr="00ED3B52">
              <w:rPr>
                <w:rFonts w:eastAsia="Calibri"/>
                <w:sz w:val="20"/>
                <w:szCs w:val="20"/>
              </w:rPr>
              <w:t>emergencies</w:t>
            </w:r>
          </w:p>
          <w:p w14:paraId="2CE86E69" w14:textId="77777777" w:rsidR="00925A18" w:rsidRPr="00ED3B52" w:rsidRDefault="00925A18" w:rsidP="00925A18">
            <w:pPr>
              <w:pStyle w:val="ListParagraph"/>
              <w:numPr>
                <w:ilvl w:val="0"/>
                <w:numId w:val="24"/>
              </w:numPr>
              <w:spacing w:after="0"/>
              <w:ind w:left="600" w:hanging="240"/>
              <w:rPr>
                <w:rFonts w:eastAsia="Calibri"/>
                <w:sz w:val="20"/>
                <w:szCs w:val="20"/>
              </w:rPr>
            </w:pPr>
            <w:r w:rsidRPr="00ED3B52">
              <w:rPr>
                <w:rFonts w:eastAsia="Calibri"/>
                <w:sz w:val="20"/>
                <w:szCs w:val="20"/>
              </w:rPr>
              <w:t>urban context</w:t>
            </w:r>
            <w:r>
              <w:rPr>
                <w:rFonts w:eastAsia="Calibri"/>
                <w:sz w:val="20"/>
                <w:szCs w:val="20"/>
              </w:rPr>
              <w:t>s</w:t>
            </w:r>
          </w:p>
        </w:tc>
      </w:tr>
    </w:tbl>
    <w:p w14:paraId="1B56AE8C" w14:textId="2DBC59FA" w:rsidR="00925A18" w:rsidRDefault="00925A18" w:rsidP="00925A18">
      <w:pPr>
        <w:tabs>
          <w:tab w:val="left" w:pos="851"/>
        </w:tabs>
        <w:snapToGrid w:val="0"/>
        <w:spacing w:before="120"/>
        <w:jc w:val="both"/>
        <w:rPr>
          <w:rFonts w:ascii="Arial" w:hAnsi="Arial"/>
          <w:lang w:eastAsia="en-US"/>
        </w:rPr>
      </w:pPr>
      <w:r>
        <w:rPr>
          <w:rFonts w:ascii="Arial" w:eastAsia="Calibri" w:hAnsi="Arial" w:cs="Arial"/>
          <w:szCs w:val="22"/>
          <w:lang w:eastAsia="en-US"/>
        </w:rPr>
        <w:t>Over the past fo</w:t>
      </w:r>
      <w:r w:rsidR="000D10AB">
        <w:rPr>
          <w:rFonts w:ascii="Arial" w:eastAsia="Calibri" w:hAnsi="Arial" w:cs="Arial"/>
          <w:szCs w:val="22"/>
          <w:lang w:eastAsia="en-US"/>
        </w:rPr>
        <w:t>u</w:t>
      </w:r>
      <w:r>
        <w:rPr>
          <w:rFonts w:ascii="Arial" w:eastAsia="Calibri" w:hAnsi="Arial" w:cs="Arial"/>
          <w:szCs w:val="22"/>
          <w:lang w:eastAsia="en-US"/>
        </w:rPr>
        <w:t xml:space="preserve">r years the number of countries benefitting from the Programme has reached over </w:t>
      </w:r>
      <w:bookmarkStart w:id="3" w:name="_Hlk85399530"/>
      <w:r w:rsidRPr="00B44D14">
        <w:rPr>
          <w:rFonts w:ascii="Arial" w:hAnsi="Arial"/>
          <w:lang w:eastAsia="en-US"/>
        </w:rPr>
        <w:t>120 countries and trained over 2400 individuals</w:t>
      </w:r>
      <w:r w:rsidRPr="00E67A04">
        <w:rPr>
          <w:rFonts w:ascii="Arial" w:hAnsi="Arial"/>
          <w:lang w:eastAsia="en-US"/>
        </w:rPr>
        <w:t xml:space="preserve"> from government, civil society and communities. The </w:t>
      </w:r>
      <w:r>
        <w:rPr>
          <w:rFonts w:ascii="Arial" w:hAnsi="Arial"/>
          <w:lang w:eastAsia="en-US"/>
        </w:rPr>
        <w:t xml:space="preserve">information </w:t>
      </w:r>
      <w:r w:rsidRPr="00E67A04">
        <w:rPr>
          <w:rFonts w:ascii="Arial" w:hAnsi="Arial"/>
          <w:lang w:eastAsia="en-US"/>
        </w:rPr>
        <w:t>gathered in project reports and evaluations suggests that capacity building in these areas, together with the advisory services provided for policy analysis and revision, are effectively contributing to the establishment of the professional and institutional environment required to support communities and groups in their efforts to transmit and recreate their ICH.</w:t>
      </w:r>
    </w:p>
    <w:p w14:paraId="6772F51E" w14:textId="77777777" w:rsidR="00925A18" w:rsidRPr="00A41EB7" w:rsidRDefault="00925A18" w:rsidP="00004DFA">
      <w:pPr>
        <w:tabs>
          <w:tab w:val="left" w:pos="851"/>
        </w:tabs>
        <w:snapToGrid w:val="0"/>
        <w:spacing w:before="240"/>
        <w:jc w:val="both"/>
        <w:rPr>
          <w:rFonts w:ascii="Arial" w:hAnsi="Arial" w:cs="Arial"/>
          <w:b/>
          <w:bCs/>
          <w:i/>
          <w:iCs/>
          <w:lang w:eastAsia="en-US"/>
        </w:rPr>
      </w:pPr>
      <w:r w:rsidRPr="00A41EB7">
        <w:rPr>
          <w:rFonts w:ascii="Arial" w:hAnsi="Arial"/>
          <w:b/>
          <w:bCs/>
          <w:i/>
          <w:iCs/>
          <w:lang w:eastAsia="en-US"/>
        </w:rPr>
        <w:t>Challenges and ways forward</w:t>
      </w:r>
    </w:p>
    <w:p w14:paraId="40326BF2" w14:textId="157F38C6" w:rsidR="00925A18" w:rsidRPr="00A41EB7" w:rsidRDefault="00925A18" w:rsidP="00925A18">
      <w:pPr>
        <w:tabs>
          <w:tab w:val="left" w:pos="851"/>
        </w:tabs>
        <w:snapToGrid w:val="0"/>
        <w:jc w:val="both"/>
        <w:rPr>
          <w:rFonts w:ascii="Arial" w:hAnsi="Arial" w:cs="Arial"/>
          <w:lang w:eastAsia="en-US"/>
        </w:rPr>
      </w:pPr>
      <w:r>
        <w:rPr>
          <w:rFonts w:ascii="Arial" w:hAnsi="Arial" w:cs="Arial"/>
          <w:lang w:eastAsia="en-US"/>
        </w:rPr>
        <w:t>While t</w:t>
      </w:r>
      <w:r w:rsidRPr="00A41EB7">
        <w:rPr>
          <w:rFonts w:ascii="Arial" w:hAnsi="Arial" w:cs="Arial"/>
          <w:lang w:eastAsia="en-US"/>
        </w:rPr>
        <w:t>he 2021 IOS evaluation further confirmed the centrality of the global capacity-building Programme for the implementation of the Conventio</w:t>
      </w:r>
      <w:r w:rsidRPr="008E1E0B">
        <w:rPr>
          <w:rFonts w:ascii="Arial" w:hAnsi="Arial" w:cs="Arial"/>
          <w:lang w:eastAsia="en-US"/>
        </w:rPr>
        <w:t>n</w:t>
      </w:r>
      <w:r>
        <w:rPr>
          <w:rFonts w:ascii="Arial" w:hAnsi="Arial" w:cs="Arial"/>
          <w:lang w:eastAsia="en-US"/>
        </w:rPr>
        <w:t xml:space="preserve">, </w:t>
      </w:r>
      <w:r w:rsidRPr="00DD4223">
        <w:rPr>
          <w:rFonts w:ascii="Arial" w:hAnsi="Arial" w:cs="Arial"/>
          <w:szCs w:val="22"/>
          <w:lang w:eastAsia="en-US"/>
        </w:rPr>
        <w:t xml:space="preserve">the context and conditions for implementing the </w:t>
      </w:r>
      <w:r>
        <w:rPr>
          <w:rFonts w:ascii="Arial" w:hAnsi="Arial" w:cs="Arial"/>
          <w:szCs w:val="22"/>
          <w:lang w:eastAsia="en-US"/>
        </w:rPr>
        <w:t>P</w:t>
      </w:r>
      <w:r w:rsidRPr="00DD4223">
        <w:rPr>
          <w:rFonts w:ascii="Arial" w:hAnsi="Arial" w:cs="Arial"/>
          <w:szCs w:val="22"/>
          <w:lang w:eastAsia="en-US"/>
        </w:rPr>
        <w:t>rogramme are evolving</w:t>
      </w:r>
      <w:r>
        <w:rPr>
          <w:rFonts w:ascii="Arial" w:hAnsi="Arial" w:cs="Arial"/>
          <w:szCs w:val="22"/>
          <w:lang w:eastAsia="en-US"/>
        </w:rPr>
        <w:t xml:space="preserve">. </w:t>
      </w:r>
      <w:r>
        <w:rPr>
          <w:rFonts w:ascii="Arial" w:hAnsi="Arial" w:cs="Arial"/>
          <w:lang w:eastAsia="en-US"/>
        </w:rPr>
        <w:t>Increasing and continued</w:t>
      </w:r>
      <w:r w:rsidRPr="00E67A04">
        <w:rPr>
          <w:rFonts w:ascii="Arial" w:hAnsi="Arial" w:cs="Arial"/>
          <w:lang w:eastAsia="en-US"/>
        </w:rPr>
        <w:t xml:space="preserve"> demand for capacity-building services is expressed individually by Member States</w:t>
      </w:r>
      <w:r w:rsidRPr="00E67A04">
        <w:rPr>
          <w:rFonts w:ascii="Arial" w:hAnsi="Arial" w:cs="Arial"/>
          <w:vertAlign w:val="superscript"/>
          <w:lang w:eastAsia="en-US"/>
        </w:rPr>
        <w:footnoteReference w:id="5"/>
      </w:r>
      <w:r w:rsidRPr="00E67A04">
        <w:rPr>
          <w:rFonts w:ascii="Arial" w:hAnsi="Arial" w:cs="Arial"/>
          <w:lang w:eastAsia="en-US"/>
        </w:rPr>
        <w:t xml:space="preserve"> </w:t>
      </w:r>
      <w:r>
        <w:rPr>
          <w:rFonts w:ascii="Arial" w:hAnsi="Arial" w:cs="Arial"/>
          <w:lang w:eastAsia="en-US"/>
        </w:rPr>
        <w:t xml:space="preserve">and by </w:t>
      </w:r>
      <w:r w:rsidRPr="00E67A04">
        <w:rPr>
          <w:rFonts w:ascii="Arial" w:hAnsi="Arial" w:cs="Arial"/>
          <w:lang w:eastAsia="en-US"/>
        </w:rPr>
        <w:t>different stakeholder groups, such as non-governmental organizations</w:t>
      </w:r>
      <w:r>
        <w:rPr>
          <w:rFonts w:ascii="Arial" w:hAnsi="Arial" w:cs="Arial"/>
          <w:lang w:eastAsia="en-US"/>
        </w:rPr>
        <w:t>, universities,</w:t>
      </w:r>
      <w:r w:rsidRPr="00E67A04">
        <w:rPr>
          <w:rFonts w:ascii="Arial" w:hAnsi="Arial" w:cs="Arial"/>
          <w:lang w:eastAsia="en-US"/>
        </w:rPr>
        <w:t xml:space="preserve"> and culture centres.</w:t>
      </w:r>
      <w:r w:rsidRPr="004506DB">
        <w:rPr>
          <w:rFonts w:ascii="Arial" w:hAnsi="Arial" w:cs="Arial"/>
          <w:szCs w:val="22"/>
          <w:lang w:eastAsia="en-US"/>
        </w:rPr>
        <w:t xml:space="preserve"> </w:t>
      </w:r>
      <w:r>
        <w:rPr>
          <w:rFonts w:ascii="Arial" w:hAnsi="Arial" w:cs="Arial"/>
          <w:szCs w:val="22"/>
          <w:lang w:eastAsia="en-US"/>
        </w:rPr>
        <w:t>Although</w:t>
      </w:r>
      <w:r w:rsidRPr="006E1EF2">
        <w:rPr>
          <w:rFonts w:ascii="Arial" w:hAnsi="Arial" w:cs="Arial"/>
          <w:szCs w:val="22"/>
          <w:lang w:eastAsia="en-US"/>
        </w:rPr>
        <w:t xml:space="preserve"> </w:t>
      </w:r>
      <w:r>
        <w:rPr>
          <w:rFonts w:ascii="Arial" w:hAnsi="Arial" w:cs="Arial"/>
          <w:szCs w:val="22"/>
          <w:lang w:eastAsia="en-US"/>
        </w:rPr>
        <w:t xml:space="preserve">the </w:t>
      </w:r>
      <w:r w:rsidRPr="006E1EF2">
        <w:rPr>
          <w:rFonts w:ascii="Arial" w:hAnsi="Arial" w:cs="Arial"/>
          <w:szCs w:val="22"/>
          <w:lang w:eastAsia="en-US"/>
        </w:rPr>
        <w:t>demand exceed</w:t>
      </w:r>
      <w:r>
        <w:rPr>
          <w:rFonts w:ascii="Arial" w:hAnsi="Arial" w:cs="Arial"/>
          <w:szCs w:val="22"/>
          <w:lang w:eastAsia="en-US"/>
        </w:rPr>
        <w:t>s</w:t>
      </w:r>
      <w:r w:rsidRPr="006E1EF2">
        <w:rPr>
          <w:rFonts w:ascii="Arial" w:hAnsi="Arial" w:cs="Arial"/>
          <w:szCs w:val="22"/>
          <w:lang w:eastAsia="en-US"/>
        </w:rPr>
        <w:t xml:space="preserve"> the </w:t>
      </w:r>
      <w:r>
        <w:rPr>
          <w:rFonts w:ascii="Arial" w:hAnsi="Arial" w:cs="Arial"/>
          <w:szCs w:val="22"/>
          <w:lang w:eastAsia="en-US"/>
        </w:rPr>
        <w:t xml:space="preserve">Programme’s </w:t>
      </w:r>
      <w:r w:rsidRPr="006E1EF2">
        <w:rPr>
          <w:rFonts w:ascii="Arial" w:hAnsi="Arial" w:cs="Arial"/>
          <w:szCs w:val="22"/>
          <w:lang w:eastAsia="en-US"/>
        </w:rPr>
        <w:t xml:space="preserve">delivery capacity, </w:t>
      </w:r>
      <w:r>
        <w:rPr>
          <w:rFonts w:ascii="Arial" w:hAnsi="Arial" w:cs="Arial"/>
          <w:szCs w:val="22"/>
          <w:lang w:eastAsia="en-US"/>
        </w:rPr>
        <w:t>it</w:t>
      </w:r>
      <w:r w:rsidRPr="006E1EF2">
        <w:rPr>
          <w:rFonts w:ascii="Arial" w:hAnsi="Arial" w:cs="Arial"/>
          <w:szCs w:val="22"/>
          <w:lang w:eastAsia="en-US"/>
        </w:rPr>
        <w:t xml:space="preserve"> has experienced a decline in funding.</w:t>
      </w:r>
      <w:r w:rsidRPr="00010FA1">
        <w:rPr>
          <w:rFonts w:ascii="Arial" w:hAnsi="Arial" w:cs="Arial"/>
          <w:szCs w:val="22"/>
          <w:lang w:eastAsia="en-US"/>
        </w:rPr>
        <w:t xml:space="preserve"> </w:t>
      </w:r>
      <w:r>
        <w:rPr>
          <w:rFonts w:ascii="Arial" w:hAnsi="Arial" w:cs="Arial"/>
          <w:szCs w:val="22"/>
          <w:lang w:eastAsia="en-US"/>
        </w:rPr>
        <w:t>Therefore, efforts to develop and sustain collaboration and build new partnerships with diverse actors including category</w:t>
      </w:r>
      <w:r w:rsidR="00B7448D">
        <w:rPr>
          <w:rFonts w:ascii="Arial" w:hAnsi="Arial" w:cs="Arial"/>
          <w:szCs w:val="22"/>
          <w:lang w:eastAsia="en-US"/>
        </w:rPr>
        <w:t xml:space="preserve"> </w:t>
      </w:r>
      <w:r>
        <w:rPr>
          <w:rFonts w:ascii="Arial" w:hAnsi="Arial" w:cs="Arial"/>
          <w:szCs w:val="22"/>
          <w:lang w:eastAsia="en-US"/>
        </w:rPr>
        <w:t>2</w:t>
      </w:r>
      <w:r w:rsidR="00B7448D">
        <w:rPr>
          <w:rFonts w:ascii="Arial" w:hAnsi="Arial" w:cs="Arial"/>
          <w:szCs w:val="22"/>
          <w:lang w:eastAsia="en-US"/>
        </w:rPr>
        <w:t xml:space="preserve"> </w:t>
      </w:r>
      <w:r>
        <w:rPr>
          <w:rFonts w:ascii="Arial" w:hAnsi="Arial" w:cs="Arial"/>
          <w:szCs w:val="22"/>
          <w:lang w:eastAsia="en-US"/>
        </w:rPr>
        <w:t>centres, development agencies, heritage institutions, universities, and UNESCO university chairs</w:t>
      </w:r>
      <w:r w:rsidR="004B008B">
        <w:rPr>
          <w:rFonts w:ascii="Arial" w:hAnsi="Arial" w:cs="Arial"/>
          <w:szCs w:val="22"/>
          <w:lang w:eastAsia="en-US"/>
        </w:rPr>
        <w:t>, are underway</w:t>
      </w:r>
      <w:r>
        <w:rPr>
          <w:rFonts w:ascii="Arial" w:hAnsi="Arial" w:cs="Arial"/>
          <w:szCs w:val="22"/>
          <w:lang w:eastAsia="en-US"/>
        </w:rPr>
        <w:t>.</w:t>
      </w:r>
    </w:p>
    <w:tbl>
      <w:tblPr>
        <w:tblStyle w:val="TableGrid"/>
        <w:tblpPr w:leftFromText="180" w:rightFromText="180" w:vertAnchor="page" w:horzAnchor="margin" w:tblpXSpec="right" w:tblpY="11070"/>
        <w:tblW w:w="0" w:type="auto"/>
        <w:tblBorders>
          <w:top w:val="dotted" w:sz="4" w:space="0" w:color="8064A2" w:themeColor="accent4"/>
          <w:left w:val="dotted" w:sz="4" w:space="0" w:color="8064A2" w:themeColor="accent4"/>
          <w:bottom w:val="none" w:sz="0" w:space="0" w:color="auto"/>
          <w:right w:val="dotted" w:sz="4" w:space="0" w:color="8064A2" w:themeColor="accent4"/>
          <w:insideH w:val="dotted" w:sz="4" w:space="0" w:color="8064A2" w:themeColor="accent4"/>
          <w:insideV w:val="dotted" w:sz="4" w:space="0" w:color="8064A2" w:themeColor="accent4"/>
        </w:tblBorders>
        <w:shd w:val="clear" w:color="auto" w:fill="DBE5F1" w:themeFill="accent1" w:themeFillTint="33"/>
        <w:tblLook w:val="04A0" w:firstRow="1" w:lastRow="0" w:firstColumn="1" w:lastColumn="0" w:noHBand="0" w:noVBand="1"/>
      </w:tblPr>
      <w:tblGrid>
        <w:gridCol w:w="3494"/>
      </w:tblGrid>
      <w:tr w:rsidR="00925A18" w14:paraId="3B770EB3" w14:textId="77777777" w:rsidTr="00555110">
        <w:trPr>
          <w:trHeight w:val="353"/>
        </w:trPr>
        <w:tc>
          <w:tcPr>
            <w:tcW w:w="3494" w:type="dxa"/>
            <w:shd w:val="clear" w:color="auto" w:fill="95B3D7" w:themeFill="accent1" w:themeFillTint="99"/>
            <w:vAlign w:val="center"/>
          </w:tcPr>
          <w:p w14:paraId="6963F9E7" w14:textId="77777777" w:rsidR="00925A18" w:rsidRPr="000754EB" w:rsidRDefault="00925A18" w:rsidP="00555110">
            <w:pPr>
              <w:jc w:val="center"/>
              <w:rPr>
                <w:rFonts w:ascii="Arial" w:eastAsia="Calibri" w:hAnsi="Arial" w:cs="Arial"/>
                <w:b/>
                <w:bCs/>
                <w:sz w:val="20"/>
                <w:szCs w:val="20"/>
                <w:lang w:eastAsia="en-US"/>
              </w:rPr>
            </w:pPr>
            <w:r>
              <w:rPr>
                <w:rFonts w:ascii="Arial" w:eastAsia="Calibri" w:hAnsi="Arial" w:cs="Arial"/>
                <w:b/>
                <w:bCs/>
                <w:sz w:val="20"/>
                <w:szCs w:val="20"/>
                <w:lang w:eastAsia="en-US"/>
              </w:rPr>
              <w:t xml:space="preserve">Potential new programme areas </w:t>
            </w:r>
          </w:p>
        </w:tc>
      </w:tr>
      <w:tr w:rsidR="00925A18" w14:paraId="337E757D" w14:textId="77777777" w:rsidTr="00555110">
        <w:trPr>
          <w:trHeight w:val="1543"/>
        </w:trPr>
        <w:tc>
          <w:tcPr>
            <w:tcW w:w="3494" w:type="dxa"/>
            <w:shd w:val="clear" w:color="auto" w:fill="DBE5F1" w:themeFill="accent1" w:themeFillTint="33"/>
          </w:tcPr>
          <w:p w14:paraId="617BC590" w14:textId="77777777" w:rsidR="00925A18" w:rsidRPr="00ED3B52" w:rsidRDefault="00925A18" w:rsidP="00555110">
            <w:pPr>
              <w:pStyle w:val="ListParagraph"/>
              <w:numPr>
                <w:ilvl w:val="0"/>
                <w:numId w:val="25"/>
              </w:numPr>
              <w:spacing w:after="0"/>
              <w:rPr>
                <w:rFonts w:eastAsia="Calibri"/>
                <w:sz w:val="20"/>
                <w:szCs w:val="20"/>
              </w:rPr>
            </w:pPr>
            <w:r w:rsidRPr="00ED3B52">
              <w:rPr>
                <w:rFonts w:eastAsia="Calibri"/>
                <w:sz w:val="20"/>
                <w:szCs w:val="20"/>
              </w:rPr>
              <w:t>commercialization of ICH</w:t>
            </w:r>
          </w:p>
          <w:p w14:paraId="64570BAA" w14:textId="77777777" w:rsidR="00925A18" w:rsidRPr="00ED3B52" w:rsidRDefault="00925A18" w:rsidP="00555110">
            <w:pPr>
              <w:pStyle w:val="ListParagraph"/>
              <w:numPr>
                <w:ilvl w:val="0"/>
                <w:numId w:val="25"/>
              </w:numPr>
              <w:spacing w:after="0"/>
              <w:rPr>
                <w:rFonts w:eastAsia="Calibri"/>
                <w:sz w:val="20"/>
                <w:szCs w:val="20"/>
              </w:rPr>
            </w:pPr>
            <w:r w:rsidRPr="00ED3B52">
              <w:rPr>
                <w:rFonts w:eastAsia="Calibri"/>
                <w:sz w:val="20"/>
                <w:szCs w:val="20"/>
              </w:rPr>
              <w:t>climate change</w:t>
            </w:r>
          </w:p>
          <w:p w14:paraId="7A67573D" w14:textId="77777777" w:rsidR="00925A18" w:rsidRPr="00ED3B52" w:rsidRDefault="00925A18" w:rsidP="00555110">
            <w:pPr>
              <w:pStyle w:val="ListParagraph"/>
              <w:numPr>
                <w:ilvl w:val="0"/>
                <w:numId w:val="25"/>
              </w:numPr>
              <w:spacing w:after="0"/>
              <w:rPr>
                <w:rFonts w:eastAsia="Calibri"/>
                <w:sz w:val="20"/>
                <w:szCs w:val="20"/>
              </w:rPr>
            </w:pPr>
            <w:r w:rsidRPr="00ED3B52">
              <w:rPr>
                <w:rFonts w:eastAsia="Calibri"/>
                <w:sz w:val="20"/>
                <w:szCs w:val="20"/>
              </w:rPr>
              <w:t>sustainable tourism</w:t>
            </w:r>
          </w:p>
          <w:p w14:paraId="698AC13C" w14:textId="77777777" w:rsidR="00925A18" w:rsidRPr="00ED3B52" w:rsidRDefault="00925A18" w:rsidP="00555110">
            <w:pPr>
              <w:pStyle w:val="ListParagraph"/>
              <w:numPr>
                <w:ilvl w:val="0"/>
                <w:numId w:val="25"/>
              </w:numPr>
              <w:tabs>
                <w:tab w:val="clear" w:pos="567"/>
                <w:tab w:val="left" w:pos="607"/>
              </w:tabs>
              <w:spacing w:after="0"/>
              <w:ind w:left="607" w:hanging="247"/>
              <w:rPr>
                <w:rFonts w:eastAsia="Calibri"/>
                <w:sz w:val="20"/>
                <w:szCs w:val="20"/>
              </w:rPr>
            </w:pPr>
            <w:r w:rsidRPr="00ED3B52">
              <w:rPr>
                <w:rFonts w:eastAsia="Calibri"/>
                <w:sz w:val="20"/>
                <w:szCs w:val="20"/>
              </w:rPr>
              <w:t>nominations under reformed listing mechanism</w:t>
            </w:r>
          </w:p>
          <w:p w14:paraId="0B24013A" w14:textId="77777777" w:rsidR="00925A18" w:rsidRPr="00ED3B52" w:rsidRDefault="00925A18" w:rsidP="00555110">
            <w:pPr>
              <w:pStyle w:val="ListParagraph"/>
              <w:numPr>
                <w:ilvl w:val="0"/>
                <w:numId w:val="25"/>
              </w:numPr>
              <w:spacing w:after="0"/>
              <w:rPr>
                <w:rFonts w:eastAsia="Calibri"/>
                <w:sz w:val="20"/>
                <w:szCs w:val="20"/>
              </w:rPr>
            </w:pPr>
            <w:r w:rsidRPr="00ED3B52">
              <w:rPr>
                <w:rFonts w:eastAsia="Calibri"/>
                <w:sz w:val="20"/>
                <w:szCs w:val="20"/>
              </w:rPr>
              <w:t>international assistance</w:t>
            </w:r>
          </w:p>
          <w:p w14:paraId="7F4FCD28" w14:textId="77777777" w:rsidR="00925A18" w:rsidRPr="000754EB" w:rsidRDefault="00925A18" w:rsidP="00555110">
            <w:pPr>
              <w:pStyle w:val="ListParagraph"/>
              <w:numPr>
                <w:ilvl w:val="0"/>
                <w:numId w:val="25"/>
              </w:numPr>
              <w:spacing w:after="0"/>
              <w:rPr>
                <w:rFonts w:eastAsia="Calibri"/>
                <w:sz w:val="18"/>
                <w:szCs w:val="18"/>
              </w:rPr>
            </w:pPr>
            <w:r w:rsidRPr="00ED3B52">
              <w:rPr>
                <w:rFonts w:eastAsia="Calibri"/>
                <w:sz w:val="20"/>
                <w:szCs w:val="20"/>
              </w:rPr>
              <w:t>others</w:t>
            </w:r>
          </w:p>
        </w:tc>
      </w:tr>
    </w:tbl>
    <w:p w14:paraId="156DFCED" w14:textId="77777777" w:rsidR="00925A18" w:rsidRDefault="00925A18" w:rsidP="00925A18">
      <w:pPr>
        <w:tabs>
          <w:tab w:val="left" w:pos="851"/>
        </w:tabs>
        <w:snapToGrid w:val="0"/>
        <w:jc w:val="both"/>
        <w:rPr>
          <w:rFonts w:ascii="Arial" w:hAnsi="Arial" w:cs="Arial"/>
          <w:szCs w:val="22"/>
          <w:lang w:eastAsia="en-US"/>
        </w:rPr>
      </w:pPr>
      <w:r>
        <w:rPr>
          <w:rFonts w:ascii="Arial" w:hAnsi="Arial" w:cs="Arial"/>
          <w:szCs w:val="22"/>
          <w:lang w:eastAsia="en-US"/>
        </w:rPr>
        <w:t>The ongoing strategic reorientation of the Programme will</w:t>
      </w:r>
      <w:r w:rsidRPr="00A41EB7">
        <w:rPr>
          <w:rFonts w:ascii="Arial" w:hAnsi="Arial" w:cs="Arial"/>
          <w:szCs w:val="22"/>
          <w:lang w:eastAsia="en-US"/>
        </w:rPr>
        <w:t xml:space="preserve"> </w:t>
      </w:r>
      <w:r>
        <w:rPr>
          <w:rFonts w:ascii="Arial" w:hAnsi="Arial" w:cs="Arial"/>
          <w:szCs w:val="22"/>
          <w:lang w:eastAsia="en-US"/>
        </w:rPr>
        <w:t xml:space="preserve">capitalize on the </w:t>
      </w:r>
      <w:r w:rsidRPr="00A41EB7">
        <w:rPr>
          <w:rFonts w:ascii="Arial" w:hAnsi="Arial" w:cs="Arial"/>
          <w:szCs w:val="22"/>
          <w:lang w:eastAsia="en-US"/>
        </w:rPr>
        <w:t>opportunities and advantages of online and in-person training</w:t>
      </w:r>
      <w:r>
        <w:rPr>
          <w:rFonts w:ascii="Arial" w:hAnsi="Arial" w:cs="Arial"/>
          <w:szCs w:val="22"/>
          <w:lang w:eastAsia="en-US"/>
        </w:rPr>
        <w:t xml:space="preserve"> (blended, hybrid and online modalities), to address the evolving demand. At the same time, the Programme will strengthen the facilitators network to broaden its geographic scope and thematic expertise utilizing the new technology and social media platforms. The roll out of the reformed periodic reporting mechanism will provide new opportunities to develop national networks of trainers </w:t>
      </w:r>
      <w:r w:rsidRPr="00A41EB7">
        <w:rPr>
          <w:rFonts w:ascii="Arial" w:hAnsi="Arial"/>
          <w:lang w:eastAsia="en-US"/>
        </w:rPr>
        <w:t>(</w:t>
      </w:r>
      <w:r w:rsidRPr="00A41EB7">
        <w:rPr>
          <w:rFonts w:ascii="Arial" w:hAnsi="Arial" w:cs="Arial"/>
          <w:bCs/>
          <w:szCs w:val="22"/>
          <w:lang w:eastAsia="en-US"/>
        </w:rPr>
        <w:t>or equivalent mechanisms)</w:t>
      </w:r>
      <w:r w:rsidRPr="00A41EB7">
        <w:rPr>
          <w:rFonts w:ascii="Arial" w:hAnsi="Arial"/>
          <w:lang w:eastAsia="en-US"/>
        </w:rPr>
        <w:t xml:space="preserve"> </w:t>
      </w:r>
      <w:r>
        <w:rPr>
          <w:rFonts w:ascii="Arial" w:hAnsi="Arial"/>
          <w:lang w:eastAsia="en-US"/>
        </w:rPr>
        <w:t xml:space="preserve">to strengthen and </w:t>
      </w:r>
      <w:r w:rsidRPr="00A41EB7">
        <w:rPr>
          <w:rFonts w:ascii="Arial" w:hAnsi="Arial"/>
          <w:lang w:eastAsia="en-US"/>
        </w:rPr>
        <w:t>sustain capacity building</w:t>
      </w:r>
      <w:r>
        <w:rPr>
          <w:rFonts w:ascii="Arial" w:hAnsi="Arial"/>
          <w:lang w:eastAsia="en-US"/>
        </w:rPr>
        <w:t xml:space="preserve"> in countries. Training on the Convention’s Overall results framework and its related periodic reporting will continue to enjoy high priority.</w:t>
      </w:r>
    </w:p>
    <w:p w14:paraId="378CD2A3" w14:textId="6492A4A5" w:rsidR="00925A18" w:rsidRDefault="00925A18" w:rsidP="00925A18">
      <w:pPr>
        <w:tabs>
          <w:tab w:val="left" w:pos="851"/>
        </w:tabs>
        <w:snapToGrid w:val="0"/>
        <w:spacing w:before="120"/>
        <w:jc w:val="both"/>
        <w:rPr>
          <w:rFonts w:ascii="Arial" w:hAnsi="Arial" w:cs="Arial"/>
          <w:szCs w:val="22"/>
          <w:lang w:eastAsia="en-US"/>
        </w:rPr>
      </w:pPr>
      <w:r>
        <w:rPr>
          <w:rFonts w:ascii="Arial" w:hAnsi="Arial"/>
          <w:lang w:eastAsia="en-US"/>
        </w:rPr>
        <w:t xml:space="preserve">At the thematic level, the Programme will continue to roll out capacity building related to emergencies, ICH in urban contexts, education, gender, and sustainable development, while taking on new areas. </w:t>
      </w:r>
      <w:r>
        <w:rPr>
          <w:rFonts w:ascii="Arial" w:hAnsi="Arial" w:cs="Arial"/>
          <w:szCs w:val="22"/>
          <w:lang w:eastAsia="en-US"/>
        </w:rPr>
        <w:t>It will also address capacity</w:t>
      </w:r>
      <w:r w:rsidR="002D1458">
        <w:rPr>
          <w:rFonts w:ascii="Arial" w:hAnsi="Arial" w:cs="Arial"/>
          <w:szCs w:val="22"/>
          <w:lang w:eastAsia="en-US"/>
        </w:rPr>
        <w:t>-</w:t>
      </w:r>
      <w:r>
        <w:rPr>
          <w:rFonts w:ascii="Arial" w:hAnsi="Arial" w:cs="Arial"/>
          <w:szCs w:val="22"/>
          <w:lang w:eastAsia="en-US"/>
        </w:rPr>
        <w:t>building needs resulting from the new developments under the Convention.</w:t>
      </w:r>
    </w:p>
    <w:bookmarkEnd w:id="3"/>
    <w:p w14:paraId="30797615" w14:textId="6F749C87" w:rsidR="00925A18" w:rsidRDefault="00925A18" w:rsidP="0051163A">
      <w:pPr>
        <w:spacing w:before="120"/>
        <w:jc w:val="both"/>
        <w:rPr>
          <w:rFonts w:ascii="Arial" w:eastAsia="Calibri" w:hAnsi="Arial" w:cs="Arial"/>
          <w:szCs w:val="20"/>
          <w:lang w:eastAsia="en-US"/>
        </w:rPr>
      </w:pPr>
      <w:r w:rsidRPr="00F37DA0">
        <w:rPr>
          <w:rFonts w:ascii="Arial" w:hAnsi="Arial"/>
          <w:lang w:eastAsia="en-US"/>
        </w:rPr>
        <w:t>The expected impact of this Programme</w:t>
      </w:r>
      <w:r w:rsidRPr="00A41EB7">
        <w:rPr>
          <w:rFonts w:ascii="Arial" w:hAnsi="Arial"/>
          <w:lang w:eastAsia="en-US"/>
        </w:rPr>
        <w:t xml:space="preserve"> is a vibrant collaboration between governmental and non-governmental institutions, universities, and communities in an increasing number of countries to guarantee that the latter can sustainably recreate, maintain, and transmit their living heritage to the next generation, while respecting the principles of the Convention. Furthermore, the Programme intends to strengthen the recognition of ICH in sustainable development and contribute to the 2030 Agenda</w:t>
      </w:r>
      <w:r w:rsidRPr="00F37DA0">
        <w:rPr>
          <w:rFonts w:ascii="Calibri" w:eastAsia="Calibri" w:hAnsi="Calibri"/>
          <w:sz w:val="20"/>
          <w:szCs w:val="20"/>
          <w:vertAlign w:val="superscript"/>
          <w:lang w:eastAsia="en-US"/>
        </w:rPr>
        <w:footnoteReference w:id="6"/>
      </w:r>
      <w:r w:rsidRPr="00F37DA0">
        <w:rPr>
          <w:rFonts w:ascii="Arial" w:hAnsi="Arial"/>
          <w:lang w:eastAsia="en-US"/>
        </w:rPr>
        <w:t xml:space="preserve"> and </w:t>
      </w:r>
      <w:r w:rsidRPr="00A41EB7">
        <w:rPr>
          <w:rFonts w:ascii="Arial" w:eastAsia="Calibri" w:hAnsi="Arial" w:cs="Arial"/>
          <w:szCs w:val="20"/>
          <w:lang w:eastAsia="en-US"/>
        </w:rPr>
        <w:t>other internationally agreed regional or global development agendas, such as the African Union’s Agenda 2063: The Africa We Want</w:t>
      </w:r>
      <w:r w:rsidR="004B008B">
        <w:rPr>
          <w:rFonts w:ascii="Arial" w:eastAsia="Calibri" w:hAnsi="Arial" w:cs="Arial"/>
          <w:szCs w:val="20"/>
          <w:lang w:eastAsia="en-US"/>
        </w:rPr>
        <w:t xml:space="preserve"> and</w:t>
      </w:r>
      <w:r w:rsidRPr="00A41EB7">
        <w:rPr>
          <w:rFonts w:ascii="Arial" w:eastAsia="Calibri" w:hAnsi="Arial" w:cs="Arial"/>
          <w:szCs w:val="20"/>
          <w:lang w:eastAsia="en-US"/>
        </w:rPr>
        <w:t xml:space="preserve"> the Paris Agreement on Climate Change, amongst others.</w:t>
      </w:r>
    </w:p>
    <w:p w14:paraId="3EB3C651" w14:textId="77777777" w:rsidR="00925A18" w:rsidRPr="00072EE1" w:rsidRDefault="00925A18" w:rsidP="0051163A">
      <w:pPr>
        <w:keepNext/>
        <w:shd w:val="clear" w:color="auto" w:fill="0077D4"/>
        <w:tabs>
          <w:tab w:val="left" w:pos="567"/>
        </w:tabs>
        <w:snapToGrid w:val="0"/>
        <w:spacing w:before="360"/>
        <w:rPr>
          <w:rFonts w:ascii="Arial" w:eastAsia="Calibri" w:hAnsi="Arial" w:cs="Arial"/>
          <w:color w:val="FFFFFF"/>
          <w:sz w:val="28"/>
          <w:szCs w:val="28"/>
          <w:lang w:eastAsia="en-US"/>
        </w:rPr>
      </w:pPr>
      <w:r w:rsidRPr="00E67A04">
        <w:rPr>
          <w:rFonts w:ascii="Arial" w:eastAsia="Calibri" w:hAnsi="Arial" w:cs="Arial"/>
          <w:color w:val="FFFFFF"/>
          <w:sz w:val="28"/>
          <w:szCs w:val="28"/>
          <w:lang w:eastAsia="en-US"/>
        </w:rPr>
        <w:lastRenderedPageBreak/>
        <w:t>Summary of outcomes</w:t>
      </w:r>
      <w:r>
        <w:rPr>
          <w:rFonts w:ascii="Arial" w:eastAsia="Calibri" w:hAnsi="Arial" w:cs="Arial"/>
          <w:color w:val="FFFFFF"/>
          <w:sz w:val="28"/>
          <w:szCs w:val="28"/>
          <w:lang w:eastAsia="en-US"/>
        </w:rPr>
        <w:t xml:space="preserve"> and </w:t>
      </w:r>
      <w:r w:rsidRPr="00E67A04">
        <w:rPr>
          <w:rFonts w:ascii="Arial" w:eastAsia="Calibri" w:hAnsi="Arial" w:cs="Arial"/>
          <w:color w:val="FFFFFF"/>
          <w:sz w:val="28"/>
          <w:szCs w:val="28"/>
          <w:lang w:eastAsia="en-US"/>
        </w:rPr>
        <w:t xml:space="preserve">outputs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1"/>
        <w:gridCol w:w="9212"/>
      </w:tblGrid>
      <w:tr w:rsidR="00925A18" w:rsidRPr="00423C72" w14:paraId="551937E0" w14:textId="77777777" w:rsidTr="00555110">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11CBDE3B" w14:textId="6D09D5BC" w:rsidR="00925A18" w:rsidRPr="00E67A04" w:rsidRDefault="00925A18" w:rsidP="00555110">
            <w:pPr>
              <w:autoSpaceDE w:val="0"/>
              <w:autoSpaceDN w:val="0"/>
              <w:adjustRightInd w:val="0"/>
              <w:spacing w:after="60" w:line="256" w:lineRule="auto"/>
              <w:jc w:val="both"/>
              <w:rPr>
                <w:rFonts w:ascii="Arial" w:hAnsi="Arial" w:cs="Arial"/>
                <w:b/>
                <w:bCs/>
                <w:szCs w:val="22"/>
                <w:lang w:eastAsia="en-US"/>
              </w:rPr>
            </w:pPr>
            <w:r w:rsidRPr="00E67A04">
              <w:rPr>
                <w:rFonts w:ascii="Arial" w:hAnsi="Arial" w:cs="Arial"/>
                <w:b/>
                <w:bCs/>
                <w:szCs w:val="22"/>
                <w:lang w:eastAsia="en-US"/>
              </w:rPr>
              <w:t xml:space="preserve">Outcome N°1: </w:t>
            </w:r>
            <w:r>
              <w:rPr>
                <w:rFonts w:ascii="Arial" w:eastAsia="Calibri" w:hAnsi="Arial" w:cs="Arial"/>
                <w:szCs w:val="22"/>
                <w:lang w:eastAsia="en-US"/>
              </w:rPr>
              <w:t>Countries</w:t>
            </w:r>
            <w:r w:rsidRPr="00E67A04">
              <w:rPr>
                <w:rFonts w:ascii="Arial" w:eastAsia="Calibri" w:hAnsi="Arial" w:cs="Arial"/>
                <w:szCs w:val="22"/>
                <w:lang w:eastAsia="en-US"/>
              </w:rPr>
              <w:t xml:space="preserve"> integrate the safeguarding of ICH into their plans, policies</w:t>
            </w:r>
            <w:r>
              <w:rPr>
                <w:rFonts w:ascii="Arial" w:eastAsia="Calibri" w:hAnsi="Arial" w:cs="Arial"/>
                <w:szCs w:val="22"/>
                <w:lang w:eastAsia="en-US"/>
              </w:rPr>
              <w:t>,</w:t>
            </w:r>
            <w:r w:rsidRPr="00E67A04">
              <w:rPr>
                <w:rFonts w:ascii="Arial" w:eastAsia="Calibri" w:hAnsi="Arial" w:cs="Arial"/>
                <w:szCs w:val="22"/>
                <w:lang w:eastAsia="en-US"/>
              </w:rPr>
              <w:t xml:space="preserve"> and programmes, </w:t>
            </w:r>
            <w:r>
              <w:rPr>
                <w:rFonts w:ascii="Arial" w:eastAsia="Calibri" w:hAnsi="Arial" w:cs="Arial"/>
                <w:szCs w:val="22"/>
                <w:lang w:eastAsia="en-US"/>
              </w:rPr>
              <w:t>utilizing the 2003 Convention’s Overall Results Framework and</w:t>
            </w:r>
            <w:r w:rsidRPr="00E67A04">
              <w:rPr>
                <w:rFonts w:ascii="Arial" w:eastAsia="Calibri" w:hAnsi="Arial" w:cs="Arial"/>
                <w:szCs w:val="22"/>
                <w:lang w:eastAsia="en-US"/>
              </w:rPr>
              <w:t xml:space="preserve"> applying an inclusive </w:t>
            </w:r>
            <w:r>
              <w:rPr>
                <w:rFonts w:ascii="Arial" w:eastAsia="Calibri" w:hAnsi="Arial" w:cs="Arial"/>
                <w:szCs w:val="22"/>
                <w:lang w:eastAsia="en-US"/>
              </w:rPr>
              <w:t xml:space="preserve">and gender-responsive </w:t>
            </w:r>
            <w:r w:rsidRPr="00E67A04">
              <w:rPr>
                <w:rFonts w:ascii="Arial" w:eastAsia="Calibri" w:hAnsi="Arial" w:cs="Arial"/>
                <w:szCs w:val="22"/>
                <w:lang w:eastAsia="en-US"/>
              </w:rPr>
              <w:t>approach</w:t>
            </w:r>
            <w:r w:rsidR="00497EF8">
              <w:rPr>
                <w:rFonts w:ascii="Arial" w:eastAsia="Calibri" w:hAnsi="Arial" w:cs="Arial"/>
                <w:szCs w:val="22"/>
                <w:lang w:eastAsia="en-US"/>
              </w:rPr>
              <w:t>.</w:t>
            </w:r>
            <w:r w:rsidRPr="00E67A04">
              <w:rPr>
                <w:rFonts w:ascii="Arial" w:eastAsia="Calibri" w:hAnsi="Arial" w:cs="Arial"/>
                <w:szCs w:val="22"/>
                <w:vertAlign w:val="superscript"/>
                <w:lang w:eastAsia="en-US"/>
              </w:rPr>
              <w:footnoteReference w:id="7"/>
            </w:r>
          </w:p>
        </w:tc>
      </w:tr>
      <w:tr w:rsidR="00925A18" w:rsidRPr="00423C72" w14:paraId="5A2370A5" w14:textId="77777777" w:rsidTr="00555110">
        <w:trPr>
          <w:gridBefore w:val="1"/>
          <w:wBefore w:w="400" w:type="dxa"/>
          <w:trHeight w:val="567"/>
          <w:jc w:val="center"/>
        </w:trPr>
        <w:tc>
          <w:tcPr>
            <w:tcW w:w="923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4381804A" w14:textId="0C5EDC60" w:rsidR="00925A18" w:rsidRPr="00E67A04" w:rsidRDefault="00925A18" w:rsidP="00555110">
            <w:pPr>
              <w:autoSpaceDE w:val="0"/>
              <w:autoSpaceDN w:val="0"/>
              <w:adjustRightInd w:val="0"/>
              <w:spacing w:after="60" w:line="256" w:lineRule="auto"/>
              <w:jc w:val="both"/>
              <w:rPr>
                <w:rFonts w:ascii="Arial" w:hAnsi="Arial" w:cs="Arial"/>
                <w:b/>
                <w:bCs/>
                <w:color w:val="3392DD"/>
                <w:szCs w:val="22"/>
                <w:lang w:eastAsia="en-US"/>
              </w:rPr>
            </w:pPr>
            <w:r w:rsidRPr="00E67A04">
              <w:rPr>
                <w:rFonts w:ascii="Arial" w:hAnsi="Arial" w:cs="Arial"/>
                <w:b/>
                <w:bCs/>
                <w:szCs w:val="22"/>
                <w:lang w:eastAsia="en-US"/>
              </w:rPr>
              <w:t xml:space="preserve">Output N°1.1: </w:t>
            </w:r>
            <w:r w:rsidRPr="00E67A04">
              <w:rPr>
                <w:rFonts w:ascii="Arial" w:hAnsi="Arial" w:cs="Arial"/>
                <w:bCs/>
                <w:szCs w:val="22"/>
                <w:lang w:eastAsia="en-US"/>
              </w:rPr>
              <w:t>Technical assistance provided for policy and programme development, including the integration of ICH safeguarding in national development programmes</w:t>
            </w:r>
            <w:r w:rsidR="00D61CC6">
              <w:rPr>
                <w:rFonts w:ascii="Arial" w:hAnsi="Arial" w:cs="Arial"/>
                <w:bCs/>
                <w:szCs w:val="22"/>
                <w:lang w:eastAsia="en-US"/>
              </w:rPr>
              <w:t>.</w:t>
            </w:r>
          </w:p>
        </w:tc>
      </w:tr>
      <w:tr w:rsidR="00925A18" w:rsidRPr="00423C72" w14:paraId="0EA1393E"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1CA55B03" w14:textId="77777777" w:rsidR="00925A18" w:rsidRPr="00E67A04" w:rsidRDefault="00925A18" w:rsidP="00555110">
            <w:pPr>
              <w:autoSpaceDE w:val="0"/>
              <w:autoSpaceDN w:val="0"/>
              <w:adjustRightInd w:val="0"/>
              <w:spacing w:after="60" w:line="256" w:lineRule="auto"/>
              <w:jc w:val="both"/>
              <w:rPr>
                <w:rFonts w:ascii="Arial" w:hAnsi="Arial" w:cs="Arial"/>
                <w:b/>
                <w:bCs/>
                <w:color w:val="3392DD"/>
                <w:szCs w:val="22"/>
                <w:lang w:eastAsia="en-US"/>
              </w:rPr>
            </w:pPr>
            <w:r w:rsidRPr="00E67A04">
              <w:rPr>
                <w:rFonts w:ascii="Arial" w:hAnsi="Arial" w:cs="Arial"/>
                <w:b/>
                <w:bCs/>
                <w:szCs w:val="22"/>
                <w:lang w:eastAsia="en-US"/>
              </w:rPr>
              <w:t xml:space="preserve">Output N°1.2: </w:t>
            </w:r>
            <w:r w:rsidRPr="00E67A04">
              <w:rPr>
                <w:rFonts w:ascii="Arial" w:hAnsi="Arial" w:cs="Arial"/>
                <w:bCs/>
                <w:szCs w:val="22"/>
                <w:lang w:eastAsia="en-US"/>
              </w:rPr>
              <w:t>Capacity reinforced for</w:t>
            </w:r>
            <w:r>
              <w:rPr>
                <w:rFonts w:ascii="Arial" w:hAnsi="Arial" w:cs="Arial"/>
                <w:bCs/>
                <w:szCs w:val="22"/>
                <w:lang w:eastAsia="en-US"/>
              </w:rPr>
              <w:t xml:space="preserve"> ICH-related</w:t>
            </w:r>
            <w:r w:rsidRPr="00E67A04">
              <w:rPr>
                <w:rFonts w:ascii="Arial" w:hAnsi="Arial" w:cs="Arial"/>
                <w:bCs/>
                <w:szCs w:val="22"/>
                <w:lang w:eastAsia="en-US"/>
              </w:rPr>
              <w:t xml:space="preserve"> policy and legal development.</w:t>
            </w:r>
          </w:p>
        </w:tc>
      </w:tr>
      <w:tr w:rsidR="00925A18" w:rsidRPr="00423C72" w14:paraId="3E9CED5D" w14:textId="77777777" w:rsidTr="00555110">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5A1DA702" w14:textId="77777777" w:rsidR="00925A18" w:rsidRPr="00E67A04" w:rsidRDefault="00925A18" w:rsidP="00555110">
            <w:pPr>
              <w:autoSpaceDE w:val="0"/>
              <w:autoSpaceDN w:val="0"/>
              <w:adjustRightInd w:val="0"/>
              <w:spacing w:after="60" w:line="256" w:lineRule="auto"/>
              <w:jc w:val="both"/>
              <w:rPr>
                <w:rFonts w:ascii="Arial" w:hAnsi="Arial" w:cs="Arial"/>
                <w:b/>
                <w:bCs/>
                <w:szCs w:val="22"/>
                <w:lang w:eastAsia="en-US"/>
              </w:rPr>
            </w:pPr>
            <w:r w:rsidRPr="00E67A04">
              <w:rPr>
                <w:rFonts w:ascii="Arial" w:hAnsi="Arial" w:cs="Arial"/>
                <w:b/>
                <w:bCs/>
                <w:szCs w:val="22"/>
                <w:lang w:eastAsia="en-US"/>
              </w:rPr>
              <w:t xml:space="preserve">Outcome N°2: </w:t>
            </w:r>
            <w:r>
              <w:rPr>
                <w:rFonts w:ascii="Arial" w:eastAsia="Calibri" w:hAnsi="Arial" w:cs="Arial"/>
                <w:szCs w:val="22"/>
                <w:lang w:eastAsia="en-US"/>
              </w:rPr>
              <w:t>Countries</w:t>
            </w:r>
            <w:r w:rsidRPr="00E67A04">
              <w:rPr>
                <w:rFonts w:ascii="Arial" w:eastAsia="Calibri" w:hAnsi="Arial" w:cs="Arial"/>
                <w:szCs w:val="22"/>
                <w:lang w:eastAsia="en-US"/>
              </w:rPr>
              <w:t xml:space="preserve"> draw upon competent bodies, institutions</w:t>
            </w:r>
            <w:r>
              <w:rPr>
                <w:rFonts w:ascii="Arial" w:eastAsia="Calibri" w:hAnsi="Arial" w:cs="Arial"/>
                <w:szCs w:val="22"/>
                <w:lang w:eastAsia="en-US"/>
              </w:rPr>
              <w:t>,</w:t>
            </w:r>
            <w:r w:rsidRPr="00E67A04">
              <w:rPr>
                <w:rFonts w:ascii="Arial" w:eastAsia="Calibri" w:hAnsi="Arial" w:cs="Arial"/>
                <w:szCs w:val="22"/>
                <w:lang w:eastAsia="en-US"/>
              </w:rPr>
              <w:t xml:space="preserve"> and networks at the national level to support the continued practice and transmission of ICH.</w:t>
            </w:r>
          </w:p>
        </w:tc>
      </w:tr>
      <w:tr w:rsidR="00925A18" w:rsidRPr="00423C72" w14:paraId="45E79A28"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254AE95F" w14:textId="77777777" w:rsidR="00925A18" w:rsidRPr="00E67A04" w:rsidRDefault="00925A18" w:rsidP="00555110">
            <w:pPr>
              <w:autoSpaceDE w:val="0"/>
              <w:autoSpaceDN w:val="0"/>
              <w:adjustRightInd w:val="0"/>
              <w:spacing w:after="60" w:line="256" w:lineRule="auto"/>
              <w:jc w:val="both"/>
              <w:rPr>
                <w:rFonts w:ascii="Arial" w:hAnsi="Arial" w:cs="Arial"/>
                <w:b/>
                <w:bCs/>
                <w:szCs w:val="22"/>
                <w:lang w:eastAsia="en-US"/>
              </w:rPr>
            </w:pPr>
            <w:r w:rsidRPr="00E67A04">
              <w:rPr>
                <w:rFonts w:ascii="Arial" w:hAnsi="Arial" w:cs="Arial"/>
                <w:b/>
                <w:bCs/>
                <w:szCs w:val="22"/>
                <w:lang w:eastAsia="en-US"/>
              </w:rPr>
              <w:t>Output</w:t>
            </w:r>
            <w:r>
              <w:rPr>
                <w:rFonts w:ascii="Arial" w:hAnsi="Arial" w:cs="Arial"/>
                <w:b/>
                <w:bCs/>
                <w:szCs w:val="22"/>
                <w:lang w:eastAsia="en-US"/>
              </w:rPr>
              <w:t> </w:t>
            </w:r>
            <w:r w:rsidRPr="00E67A04">
              <w:rPr>
                <w:rFonts w:ascii="Arial" w:hAnsi="Arial" w:cs="Arial"/>
                <w:b/>
                <w:bCs/>
                <w:szCs w:val="22"/>
                <w:lang w:eastAsia="en-US"/>
              </w:rPr>
              <w:t xml:space="preserve">N°2.1: </w:t>
            </w:r>
            <w:r w:rsidRPr="00E67A04">
              <w:rPr>
                <w:rFonts w:ascii="Arial" w:eastAsia="Calibri" w:hAnsi="Arial" w:cs="Arial"/>
                <w:szCs w:val="22"/>
                <w:lang w:eastAsia="en-US"/>
              </w:rPr>
              <w:t>Capacities of competent bodies and institutions for safeguarding ICH strengthened.</w:t>
            </w:r>
          </w:p>
        </w:tc>
      </w:tr>
      <w:tr w:rsidR="00925A18" w:rsidRPr="00423C72" w14:paraId="0464DAFA"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6111D6A8" w14:textId="77777777" w:rsidR="00925A18" w:rsidRPr="00E67A04" w:rsidRDefault="00925A18" w:rsidP="00555110">
            <w:pPr>
              <w:autoSpaceDE w:val="0"/>
              <w:autoSpaceDN w:val="0"/>
              <w:adjustRightInd w:val="0"/>
              <w:spacing w:after="60" w:line="256" w:lineRule="auto"/>
              <w:jc w:val="both"/>
              <w:rPr>
                <w:rFonts w:ascii="Arial" w:hAnsi="Arial" w:cs="Arial"/>
                <w:bCs/>
                <w:szCs w:val="22"/>
                <w:lang w:eastAsia="en-US"/>
              </w:rPr>
            </w:pPr>
            <w:r w:rsidRPr="00E67A04">
              <w:rPr>
                <w:rFonts w:ascii="Arial" w:hAnsi="Arial" w:cs="Arial"/>
                <w:b/>
                <w:bCs/>
                <w:szCs w:val="22"/>
                <w:lang w:eastAsia="en-US"/>
              </w:rPr>
              <w:t>Output N°2.2:</w:t>
            </w:r>
            <w:r w:rsidRPr="00E67A04">
              <w:rPr>
                <w:rFonts w:ascii="Arial" w:hAnsi="Arial" w:cs="Arial"/>
                <w:bCs/>
                <w:szCs w:val="22"/>
                <w:lang w:eastAsia="en-US"/>
              </w:rPr>
              <w:t xml:space="preserve"> National network of trainers (or equivalent mechanism)</w:t>
            </w:r>
            <w:r>
              <w:rPr>
                <w:rFonts w:ascii="Arial" w:hAnsi="Arial" w:cs="Arial"/>
                <w:bCs/>
                <w:szCs w:val="22"/>
                <w:lang w:eastAsia="en-US"/>
              </w:rPr>
              <w:t>, and university networks</w:t>
            </w:r>
            <w:r w:rsidRPr="00E67A04">
              <w:rPr>
                <w:rFonts w:ascii="Arial" w:hAnsi="Arial" w:cs="Arial"/>
                <w:bCs/>
                <w:szCs w:val="22"/>
                <w:lang w:eastAsia="en-US"/>
              </w:rPr>
              <w:t xml:space="preserve"> initiated or strengthened </w:t>
            </w:r>
            <w:r w:rsidRPr="00E67A04">
              <w:rPr>
                <w:rFonts w:ascii="Arial" w:eastAsia="Calibri" w:hAnsi="Arial" w:cs="Arial"/>
                <w:szCs w:val="22"/>
                <w:lang w:eastAsia="en-US"/>
              </w:rPr>
              <w:t xml:space="preserve">to respond to capacity-building needs at national and decentralized levels. </w:t>
            </w:r>
          </w:p>
        </w:tc>
      </w:tr>
      <w:tr w:rsidR="00925A18" w:rsidRPr="00423C72" w14:paraId="7ED0C8B5" w14:textId="77777777" w:rsidTr="00555110">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2C316A89" w14:textId="77777777" w:rsidR="00925A18" w:rsidRPr="00E67A04" w:rsidRDefault="00925A18" w:rsidP="00555110">
            <w:pPr>
              <w:autoSpaceDE w:val="0"/>
              <w:autoSpaceDN w:val="0"/>
              <w:adjustRightInd w:val="0"/>
              <w:spacing w:after="60" w:line="256" w:lineRule="auto"/>
              <w:jc w:val="both"/>
              <w:rPr>
                <w:rFonts w:ascii="Arial" w:hAnsi="Arial" w:cs="Arial"/>
                <w:b/>
                <w:bCs/>
                <w:szCs w:val="22"/>
                <w:lang w:eastAsia="en-US"/>
              </w:rPr>
            </w:pPr>
            <w:r w:rsidRPr="00E67A04">
              <w:rPr>
                <w:rFonts w:ascii="Arial" w:hAnsi="Arial" w:cs="Arial"/>
                <w:b/>
                <w:bCs/>
                <w:szCs w:val="22"/>
                <w:lang w:eastAsia="en-US"/>
              </w:rPr>
              <w:t>Outcome N°3:</w:t>
            </w:r>
            <w:r w:rsidRPr="00E67A04">
              <w:rPr>
                <w:rFonts w:ascii="Arial" w:eastAsia="Calibri" w:hAnsi="Arial" w:cs="Arial"/>
                <w:szCs w:val="22"/>
                <w:lang w:eastAsia="en-US"/>
              </w:rPr>
              <w:t xml:space="preserve"> </w:t>
            </w:r>
            <w:r>
              <w:rPr>
                <w:rFonts w:ascii="Arial" w:eastAsia="Calibri" w:hAnsi="Arial" w:cs="Arial"/>
                <w:szCs w:val="22"/>
                <w:lang w:eastAsia="en-US"/>
              </w:rPr>
              <w:t>Countries</w:t>
            </w:r>
            <w:r w:rsidRPr="00E67A04">
              <w:rPr>
                <w:rFonts w:ascii="Arial" w:eastAsia="Calibri" w:hAnsi="Arial" w:cs="Arial"/>
                <w:szCs w:val="22"/>
                <w:lang w:eastAsia="en-US"/>
              </w:rPr>
              <w:t xml:space="preserve"> establish or revise a framework and methodology for inventorying which is inclusive, respects the diversity of ICH and its practitioners, and supports safeguarding by the communities, groups and individuals concerned.</w:t>
            </w:r>
          </w:p>
        </w:tc>
      </w:tr>
      <w:tr w:rsidR="00925A18" w:rsidRPr="00423C72" w14:paraId="5886EFAF"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center"/>
            <w:hideMark/>
          </w:tcPr>
          <w:p w14:paraId="2AB0B7C6" w14:textId="77777777" w:rsidR="00925A18" w:rsidRPr="00E67A04" w:rsidRDefault="00925A18" w:rsidP="00555110">
            <w:pPr>
              <w:spacing w:after="60" w:line="256" w:lineRule="auto"/>
              <w:rPr>
                <w:rFonts w:ascii="Arial" w:hAnsi="Arial" w:cs="Arial"/>
                <w:b/>
                <w:bCs/>
                <w:szCs w:val="22"/>
                <w:lang w:eastAsia="en-US"/>
              </w:rPr>
            </w:pPr>
            <w:r w:rsidRPr="00E67A04">
              <w:rPr>
                <w:rFonts w:ascii="Arial" w:eastAsia="Calibri" w:hAnsi="Arial" w:cs="Arial"/>
                <w:b/>
                <w:bCs/>
                <w:szCs w:val="22"/>
                <w:lang w:eastAsia="en-US"/>
              </w:rPr>
              <w:t>Output</w:t>
            </w:r>
            <w:r w:rsidRPr="00E67A04">
              <w:rPr>
                <w:rFonts w:ascii="Arial" w:hAnsi="Arial" w:cs="Arial"/>
                <w:b/>
                <w:bCs/>
                <w:szCs w:val="22"/>
                <w:lang w:eastAsia="en-US"/>
              </w:rPr>
              <w:t xml:space="preserve"> N°</w:t>
            </w:r>
            <w:r w:rsidRPr="00E67A04">
              <w:rPr>
                <w:rFonts w:ascii="Arial" w:eastAsia="Calibri" w:hAnsi="Arial" w:cs="Arial"/>
                <w:b/>
                <w:bCs/>
                <w:szCs w:val="22"/>
                <w:lang w:eastAsia="en-US"/>
              </w:rPr>
              <w:t>3.1:</w:t>
            </w:r>
            <w:r w:rsidRPr="00E67A04">
              <w:rPr>
                <w:rFonts w:ascii="Arial" w:eastAsia="Calibri" w:hAnsi="Arial" w:cs="Arial"/>
                <w:szCs w:val="22"/>
                <w:lang w:eastAsia="en-US"/>
              </w:rPr>
              <w:t xml:space="preserve"> Knowledge and practical skills for community-based inventorying reinforced, applying an inclusive </w:t>
            </w:r>
            <w:r>
              <w:rPr>
                <w:rFonts w:ascii="Arial" w:eastAsia="Calibri" w:hAnsi="Arial" w:cs="Arial"/>
                <w:szCs w:val="22"/>
                <w:lang w:eastAsia="en-US"/>
              </w:rPr>
              <w:t xml:space="preserve">and gender-responsive </w:t>
            </w:r>
            <w:r w:rsidRPr="00E67A04">
              <w:rPr>
                <w:rFonts w:ascii="Arial" w:eastAsia="Calibri" w:hAnsi="Arial" w:cs="Arial"/>
                <w:szCs w:val="22"/>
                <w:lang w:eastAsia="en-US"/>
              </w:rPr>
              <w:t>approach.</w:t>
            </w:r>
          </w:p>
        </w:tc>
      </w:tr>
      <w:tr w:rsidR="00925A18" w:rsidRPr="00423C72" w14:paraId="38AA497B" w14:textId="77777777" w:rsidTr="00555110">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4BA5F4B9" w14:textId="77777777" w:rsidR="00925A18" w:rsidRPr="00E67A04" w:rsidRDefault="00925A18" w:rsidP="00555110">
            <w:pPr>
              <w:spacing w:after="60" w:line="257" w:lineRule="auto"/>
              <w:jc w:val="both"/>
              <w:rPr>
                <w:rFonts w:ascii="Arial" w:eastAsia="Calibri" w:hAnsi="Arial" w:cs="Arial"/>
                <w:szCs w:val="22"/>
                <w:lang w:eastAsia="en-US"/>
              </w:rPr>
            </w:pPr>
            <w:r w:rsidRPr="00E67A04">
              <w:rPr>
                <w:rFonts w:ascii="Arial" w:eastAsia="Calibri" w:hAnsi="Arial" w:cs="Arial"/>
                <w:b/>
                <w:bCs/>
                <w:szCs w:val="22"/>
                <w:lang w:eastAsia="en-US"/>
              </w:rPr>
              <w:t>Outcome</w:t>
            </w:r>
            <w:r>
              <w:rPr>
                <w:rFonts w:ascii="Arial" w:eastAsia="Calibri" w:hAnsi="Arial" w:cs="Arial"/>
                <w:b/>
                <w:bCs/>
                <w:szCs w:val="22"/>
                <w:lang w:eastAsia="en-US"/>
              </w:rPr>
              <w:t> </w:t>
            </w:r>
            <w:r w:rsidRPr="00E67A04">
              <w:rPr>
                <w:rFonts w:ascii="Arial" w:hAnsi="Arial" w:cs="Arial"/>
                <w:b/>
                <w:bCs/>
                <w:szCs w:val="22"/>
                <w:lang w:eastAsia="en-US"/>
              </w:rPr>
              <w:t>N°4</w:t>
            </w:r>
            <w:r w:rsidRPr="00E67A04">
              <w:rPr>
                <w:rFonts w:ascii="Arial" w:eastAsia="Calibri" w:hAnsi="Arial" w:cs="Arial"/>
                <w:b/>
                <w:bCs/>
                <w:szCs w:val="22"/>
                <w:lang w:eastAsia="en-US"/>
              </w:rPr>
              <w:t>:</w:t>
            </w:r>
            <w:r w:rsidRPr="00E67A04">
              <w:rPr>
                <w:rFonts w:ascii="Arial" w:eastAsia="Calibri" w:hAnsi="Arial" w:cs="Arial"/>
                <w:szCs w:val="22"/>
                <w:lang w:eastAsia="en-US"/>
              </w:rPr>
              <w:t xml:space="preserve"> </w:t>
            </w:r>
            <w:r>
              <w:rPr>
                <w:rFonts w:ascii="Arial" w:eastAsia="Calibri" w:hAnsi="Arial" w:cs="Arial"/>
                <w:szCs w:val="22"/>
                <w:lang w:eastAsia="en-US"/>
              </w:rPr>
              <w:t>Countries</w:t>
            </w:r>
            <w:r w:rsidRPr="00E67A04">
              <w:rPr>
                <w:rFonts w:ascii="Arial" w:eastAsia="Calibri" w:hAnsi="Arial" w:cs="Arial"/>
                <w:szCs w:val="22"/>
                <w:lang w:eastAsia="en-US"/>
              </w:rPr>
              <w:t xml:space="preserve"> utilize strengthened human resources for safeguarding ICH, </w:t>
            </w:r>
            <w:r>
              <w:rPr>
                <w:rFonts w:ascii="Arial" w:eastAsia="Calibri" w:hAnsi="Arial" w:cs="Arial"/>
                <w:szCs w:val="22"/>
                <w:lang w:eastAsia="en-US"/>
              </w:rPr>
              <w:t xml:space="preserve">in different thematic areas, </w:t>
            </w:r>
            <w:r w:rsidRPr="00E67A04">
              <w:rPr>
                <w:rFonts w:ascii="Arial" w:eastAsia="Calibri" w:hAnsi="Arial" w:cs="Arial"/>
                <w:szCs w:val="22"/>
                <w:lang w:eastAsia="en-US"/>
              </w:rPr>
              <w:t>thereby contributing to sustainable development.</w:t>
            </w:r>
          </w:p>
        </w:tc>
      </w:tr>
      <w:tr w:rsidR="00925A18" w:rsidRPr="00423C72" w14:paraId="43BB6266"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center"/>
            <w:hideMark/>
          </w:tcPr>
          <w:p w14:paraId="77D1B937" w14:textId="77777777" w:rsidR="00925A18" w:rsidRPr="00E67A04" w:rsidRDefault="00925A18" w:rsidP="00555110">
            <w:pPr>
              <w:spacing w:after="60" w:line="256" w:lineRule="auto"/>
              <w:jc w:val="both"/>
              <w:rPr>
                <w:rFonts w:ascii="Arial" w:eastAsia="Calibri" w:hAnsi="Arial" w:cs="Arial"/>
                <w:szCs w:val="22"/>
                <w:lang w:eastAsia="en-US"/>
              </w:rPr>
            </w:pPr>
            <w:r w:rsidRPr="00E67A04">
              <w:rPr>
                <w:rFonts w:ascii="Arial" w:eastAsia="Calibri" w:hAnsi="Arial" w:cs="Arial"/>
                <w:b/>
                <w:bCs/>
                <w:szCs w:val="22"/>
                <w:lang w:eastAsia="en-US"/>
              </w:rPr>
              <w:t>Output</w:t>
            </w:r>
            <w:r>
              <w:rPr>
                <w:rFonts w:ascii="Arial" w:eastAsia="Calibri" w:hAnsi="Arial" w:cs="Arial"/>
                <w:b/>
                <w:bCs/>
                <w:szCs w:val="22"/>
                <w:lang w:eastAsia="en-US"/>
              </w:rPr>
              <w:t> </w:t>
            </w:r>
            <w:r w:rsidRPr="00E67A04">
              <w:rPr>
                <w:rFonts w:ascii="Arial" w:hAnsi="Arial" w:cs="Arial"/>
                <w:b/>
                <w:bCs/>
                <w:szCs w:val="22"/>
                <w:lang w:eastAsia="en-US"/>
              </w:rPr>
              <w:t>N°</w:t>
            </w:r>
            <w:r w:rsidRPr="00E67A04">
              <w:rPr>
                <w:rFonts w:ascii="Arial" w:eastAsia="Calibri" w:hAnsi="Arial" w:cs="Arial"/>
                <w:b/>
                <w:bCs/>
                <w:szCs w:val="22"/>
                <w:lang w:eastAsia="en-US"/>
              </w:rPr>
              <w:t>4.1:</w:t>
            </w:r>
            <w:r w:rsidRPr="00E67A04">
              <w:rPr>
                <w:rFonts w:ascii="Arial" w:eastAsia="Calibri" w:hAnsi="Arial" w:cs="Arial"/>
                <w:szCs w:val="22"/>
                <w:lang w:eastAsia="en-US"/>
              </w:rPr>
              <w:t xml:space="preserve"> Capacities and skills of communities, groups and individuals to develop safeguarding plans for ICH reinforced.</w:t>
            </w:r>
          </w:p>
        </w:tc>
      </w:tr>
      <w:tr w:rsidR="00925A18" w:rsidRPr="00423C72" w14:paraId="4582E823"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center"/>
          </w:tcPr>
          <w:p w14:paraId="06BAC0CB" w14:textId="67A5D257" w:rsidR="00925A18" w:rsidRPr="00A41EB7" w:rsidDel="00D217AB" w:rsidRDefault="00925A18" w:rsidP="00555110">
            <w:pPr>
              <w:spacing w:after="60" w:line="256" w:lineRule="auto"/>
              <w:jc w:val="both"/>
              <w:rPr>
                <w:rFonts w:ascii="Arial" w:eastAsia="Calibri" w:hAnsi="Arial" w:cs="Arial"/>
                <w:szCs w:val="22"/>
                <w:lang w:eastAsia="en-US"/>
              </w:rPr>
            </w:pPr>
            <w:r w:rsidRPr="00E67A04">
              <w:rPr>
                <w:rFonts w:ascii="Arial" w:eastAsia="Calibri" w:hAnsi="Arial" w:cs="Arial"/>
                <w:b/>
                <w:bCs/>
                <w:szCs w:val="22"/>
                <w:lang w:eastAsia="en-US"/>
              </w:rPr>
              <w:t>Output</w:t>
            </w:r>
            <w:r>
              <w:rPr>
                <w:rFonts w:ascii="Arial" w:eastAsia="Calibri" w:hAnsi="Arial" w:cs="Arial"/>
                <w:b/>
                <w:bCs/>
                <w:szCs w:val="22"/>
                <w:lang w:eastAsia="en-US"/>
              </w:rPr>
              <w:t> </w:t>
            </w:r>
            <w:r w:rsidRPr="00E67A04">
              <w:rPr>
                <w:rFonts w:ascii="Arial" w:hAnsi="Arial" w:cs="Arial"/>
                <w:b/>
                <w:bCs/>
                <w:szCs w:val="22"/>
                <w:lang w:eastAsia="en-US"/>
              </w:rPr>
              <w:t>N°</w:t>
            </w:r>
            <w:r w:rsidRPr="00E67A04">
              <w:rPr>
                <w:rFonts w:ascii="Arial" w:eastAsia="Calibri" w:hAnsi="Arial" w:cs="Arial"/>
                <w:b/>
                <w:bCs/>
                <w:szCs w:val="22"/>
                <w:lang w:eastAsia="en-US"/>
              </w:rPr>
              <w:t>4.1:</w:t>
            </w:r>
            <w:r>
              <w:rPr>
                <w:rFonts w:ascii="Arial" w:eastAsia="Calibri" w:hAnsi="Arial" w:cs="Arial"/>
                <w:b/>
                <w:bCs/>
                <w:szCs w:val="22"/>
                <w:lang w:eastAsia="en-US"/>
              </w:rPr>
              <w:t xml:space="preserve"> </w:t>
            </w:r>
            <w:r w:rsidRPr="00A41EB7">
              <w:rPr>
                <w:rFonts w:ascii="Arial" w:eastAsia="Calibri" w:hAnsi="Arial" w:cs="Arial"/>
                <w:szCs w:val="22"/>
                <w:lang w:eastAsia="en-US"/>
              </w:rPr>
              <w:t xml:space="preserve">Capacities </w:t>
            </w:r>
            <w:r w:rsidRPr="00E67A04">
              <w:rPr>
                <w:rFonts w:ascii="Arial" w:eastAsia="Calibri" w:hAnsi="Arial" w:cs="Arial"/>
                <w:szCs w:val="22"/>
                <w:lang w:eastAsia="en-US"/>
              </w:rPr>
              <w:t xml:space="preserve">of </w:t>
            </w:r>
            <w:r>
              <w:rPr>
                <w:rFonts w:ascii="Arial" w:eastAsia="Calibri" w:hAnsi="Arial" w:cs="Arial"/>
                <w:szCs w:val="22"/>
                <w:lang w:eastAsia="en-US"/>
              </w:rPr>
              <w:t xml:space="preserve">actors from culture and other sectors strengthened for </w:t>
            </w:r>
            <w:r w:rsidRPr="00A41EB7">
              <w:rPr>
                <w:rFonts w:ascii="Arial" w:eastAsia="Calibri" w:hAnsi="Arial" w:cs="Arial"/>
                <w:szCs w:val="22"/>
                <w:lang w:eastAsia="en-US"/>
              </w:rPr>
              <w:t>safeguarding ICH</w:t>
            </w:r>
            <w:r>
              <w:rPr>
                <w:rFonts w:ascii="Arial" w:eastAsia="Calibri" w:hAnsi="Arial" w:cs="Arial"/>
                <w:b/>
                <w:bCs/>
                <w:szCs w:val="22"/>
                <w:lang w:eastAsia="en-US"/>
              </w:rPr>
              <w:t xml:space="preserve"> </w:t>
            </w:r>
            <w:r>
              <w:rPr>
                <w:rFonts w:ascii="Arial" w:eastAsia="Calibri" w:hAnsi="Arial" w:cs="Arial"/>
                <w:szCs w:val="22"/>
                <w:lang w:eastAsia="en-US"/>
              </w:rPr>
              <w:t>in thematic areas such as emergences, education</w:t>
            </w:r>
            <w:r w:rsidR="004B008B">
              <w:rPr>
                <w:rFonts w:ascii="Arial" w:eastAsia="Calibri" w:hAnsi="Arial" w:cs="Arial"/>
                <w:szCs w:val="22"/>
                <w:lang w:eastAsia="en-US"/>
              </w:rPr>
              <w:t xml:space="preserve"> and</w:t>
            </w:r>
            <w:r>
              <w:rPr>
                <w:rFonts w:ascii="Arial" w:eastAsia="Calibri" w:hAnsi="Arial" w:cs="Arial"/>
                <w:szCs w:val="22"/>
                <w:lang w:eastAsia="en-US"/>
              </w:rPr>
              <w:t xml:space="preserve"> urban context, responding to country needs.</w:t>
            </w:r>
          </w:p>
        </w:tc>
      </w:tr>
      <w:tr w:rsidR="00925A18" w:rsidRPr="00423C72" w14:paraId="73A51E9D" w14:textId="77777777" w:rsidTr="00555110">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4A106FFD" w14:textId="77777777" w:rsidR="00925A18" w:rsidRPr="00E67A04" w:rsidRDefault="00925A18" w:rsidP="00555110">
            <w:pPr>
              <w:tabs>
                <w:tab w:val="center" w:pos="3780"/>
              </w:tabs>
              <w:autoSpaceDE w:val="0"/>
              <w:autoSpaceDN w:val="0"/>
              <w:adjustRightInd w:val="0"/>
              <w:spacing w:after="60" w:line="256" w:lineRule="auto"/>
              <w:jc w:val="both"/>
              <w:rPr>
                <w:rFonts w:ascii="Arial" w:hAnsi="Arial" w:cs="Arial"/>
                <w:b/>
                <w:bCs/>
                <w:szCs w:val="22"/>
                <w:lang w:eastAsia="en-US"/>
              </w:rPr>
            </w:pPr>
            <w:r w:rsidRPr="00A41EB7">
              <w:rPr>
                <w:rFonts w:ascii="Arial" w:hAnsi="Arial" w:cs="Arial"/>
                <w:b/>
                <w:bCs/>
                <w:szCs w:val="22"/>
                <w:shd w:val="clear" w:color="auto" w:fill="548DD4" w:themeFill="text2" w:themeFillTint="99"/>
                <w:lang w:eastAsia="en-US"/>
              </w:rPr>
              <w:t xml:space="preserve">Outcome N°5: </w:t>
            </w:r>
            <w:r>
              <w:rPr>
                <w:rFonts w:ascii="Arial" w:eastAsia="Calibri" w:hAnsi="Arial" w:cs="Arial"/>
                <w:szCs w:val="22"/>
                <w:shd w:val="clear" w:color="auto" w:fill="548DD4" w:themeFill="text2" w:themeFillTint="99"/>
                <w:lang w:eastAsia="en-US"/>
              </w:rPr>
              <w:t>Countries</w:t>
            </w:r>
            <w:r w:rsidRPr="00A41EB7">
              <w:rPr>
                <w:rFonts w:ascii="Arial" w:eastAsia="Calibri" w:hAnsi="Arial" w:cs="Arial"/>
                <w:szCs w:val="22"/>
                <w:shd w:val="clear" w:color="auto" w:fill="548DD4" w:themeFill="text2" w:themeFillTint="99"/>
                <w:lang w:eastAsia="en-US"/>
              </w:rPr>
              <w:t xml:space="preserve"> participate actively in the Convention’s mechanisms for international cooperation, including the International</w:t>
            </w:r>
            <w:r w:rsidRPr="00E67A04">
              <w:rPr>
                <w:rFonts w:ascii="Arial" w:eastAsia="Calibri" w:hAnsi="Arial" w:cs="Arial"/>
                <w:szCs w:val="22"/>
                <w:lang w:eastAsia="en-US"/>
              </w:rPr>
              <w:t xml:space="preserve"> Assistance mechanism where relevant.</w:t>
            </w:r>
          </w:p>
        </w:tc>
      </w:tr>
      <w:tr w:rsidR="00925A18" w:rsidRPr="00423C72" w14:paraId="78609837"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209467D8" w14:textId="77777777" w:rsidR="00925A18" w:rsidRPr="00E67A04" w:rsidRDefault="00925A18" w:rsidP="00555110">
            <w:pPr>
              <w:autoSpaceDE w:val="0"/>
              <w:autoSpaceDN w:val="0"/>
              <w:adjustRightInd w:val="0"/>
              <w:spacing w:after="60" w:line="256" w:lineRule="auto"/>
              <w:jc w:val="both"/>
              <w:rPr>
                <w:rFonts w:ascii="Arial" w:hAnsi="Arial" w:cs="Arial"/>
                <w:b/>
                <w:bCs/>
                <w:szCs w:val="22"/>
                <w:lang w:eastAsia="en-US"/>
              </w:rPr>
            </w:pPr>
            <w:r w:rsidRPr="00E67A04">
              <w:rPr>
                <w:rFonts w:ascii="Arial" w:hAnsi="Arial" w:cs="Arial"/>
                <w:b/>
                <w:bCs/>
                <w:szCs w:val="22"/>
                <w:lang w:eastAsia="en-US"/>
              </w:rPr>
              <w:t xml:space="preserve">Output N°5.1: </w:t>
            </w:r>
            <w:r w:rsidRPr="00E67A04">
              <w:rPr>
                <w:rFonts w:ascii="Arial" w:hAnsi="Arial" w:cs="Arial"/>
                <w:bCs/>
                <w:szCs w:val="22"/>
                <w:lang w:eastAsia="en-US"/>
              </w:rPr>
              <w:t xml:space="preserve">Capacities for participation in </w:t>
            </w:r>
            <w:r w:rsidRPr="00E67A04">
              <w:rPr>
                <w:rFonts w:ascii="Arial" w:eastAsia="Calibri" w:hAnsi="Arial" w:cs="Arial"/>
                <w:szCs w:val="22"/>
                <w:lang w:eastAsia="en-US"/>
              </w:rPr>
              <w:t xml:space="preserve">the international mechanisms of the Convention, including the preparation of International Assistance requests and/or nominations </w:t>
            </w:r>
            <w:r>
              <w:rPr>
                <w:rFonts w:ascii="Arial" w:eastAsia="Calibri" w:hAnsi="Arial" w:cs="Arial"/>
                <w:szCs w:val="22"/>
                <w:lang w:eastAsia="en-US"/>
              </w:rPr>
              <w:t xml:space="preserve">under the reformed listing mechanism </w:t>
            </w:r>
            <w:r w:rsidRPr="00E67A04">
              <w:rPr>
                <w:rFonts w:ascii="Arial" w:eastAsia="Calibri" w:hAnsi="Arial" w:cs="Arial"/>
                <w:szCs w:val="22"/>
                <w:lang w:eastAsia="en-US"/>
              </w:rPr>
              <w:t>reinforced.</w:t>
            </w:r>
          </w:p>
        </w:tc>
      </w:tr>
      <w:tr w:rsidR="00925A18" w:rsidRPr="00E67A04" w14:paraId="5481E13B" w14:textId="77777777" w:rsidTr="00555110">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2CBC7283" w14:textId="2E390AD2" w:rsidR="00925A18" w:rsidRPr="00E67A04" w:rsidRDefault="00925A18" w:rsidP="00555110">
            <w:pPr>
              <w:autoSpaceDE w:val="0"/>
              <w:autoSpaceDN w:val="0"/>
              <w:adjustRightInd w:val="0"/>
              <w:spacing w:after="60" w:line="257" w:lineRule="auto"/>
              <w:jc w:val="both"/>
              <w:rPr>
                <w:rFonts w:ascii="Arial" w:hAnsi="Arial" w:cs="Arial"/>
                <w:b/>
                <w:bCs/>
                <w:szCs w:val="22"/>
                <w:lang w:eastAsia="en-US"/>
              </w:rPr>
            </w:pPr>
            <w:r w:rsidRPr="00E67A04">
              <w:rPr>
                <w:rFonts w:ascii="Arial" w:hAnsi="Arial" w:cs="Arial"/>
                <w:b/>
                <w:bCs/>
                <w:szCs w:val="22"/>
                <w:lang w:eastAsia="en-US"/>
              </w:rPr>
              <w:t>Outcome N°</w:t>
            </w:r>
            <w:r>
              <w:rPr>
                <w:rFonts w:ascii="Arial" w:hAnsi="Arial" w:cs="Arial"/>
                <w:b/>
                <w:bCs/>
                <w:szCs w:val="22"/>
                <w:lang w:eastAsia="en-US"/>
              </w:rPr>
              <w:t>6</w:t>
            </w:r>
            <w:r w:rsidRPr="00E67A04">
              <w:rPr>
                <w:rFonts w:ascii="Arial" w:hAnsi="Arial" w:cs="Arial"/>
                <w:b/>
                <w:bCs/>
                <w:szCs w:val="22"/>
                <w:lang w:eastAsia="en-US"/>
              </w:rPr>
              <w:t xml:space="preserve">: </w:t>
            </w:r>
            <w:r>
              <w:rPr>
                <w:rFonts w:ascii="Arial" w:hAnsi="Arial" w:cs="Arial"/>
                <w:szCs w:val="22"/>
                <w:lang w:eastAsia="en-US"/>
              </w:rPr>
              <w:t>Countries</w:t>
            </w:r>
            <w:r w:rsidRPr="00A41EB7">
              <w:rPr>
                <w:rFonts w:ascii="Arial" w:hAnsi="Arial" w:cs="Arial"/>
                <w:szCs w:val="22"/>
                <w:lang w:eastAsia="en-US"/>
              </w:rPr>
              <w:t xml:space="preserve"> utilize </w:t>
            </w:r>
            <w:r>
              <w:rPr>
                <w:rFonts w:ascii="Arial" w:hAnsi="Arial" w:cs="Arial"/>
                <w:szCs w:val="22"/>
                <w:lang w:eastAsia="en-US"/>
              </w:rPr>
              <w:t xml:space="preserve">the Overall </w:t>
            </w:r>
            <w:r w:rsidR="004B008B">
              <w:rPr>
                <w:rFonts w:ascii="Arial" w:hAnsi="Arial" w:cs="Arial"/>
                <w:szCs w:val="22"/>
                <w:lang w:eastAsia="en-US"/>
              </w:rPr>
              <w:t>R</w:t>
            </w:r>
            <w:r>
              <w:rPr>
                <w:rFonts w:ascii="Arial" w:hAnsi="Arial" w:cs="Arial"/>
                <w:szCs w:val="22"/>
                <w:lang w:eastAsia="en-US"/>
              </w:rPr>
              <w:t xml:space="preserve">esults </w:t>
            </w:r>
            <w:r w:rsidR="004B008B">
              <w:rPr>
                <w:rFonts w:ascii="Arial" w:hAnsi="Arial" w:cs="Arial"/>
                <w:szCs w:val="22"/>
                <w:lang w:eastAsia="en-US"/>
              </w:rPr>
              <w:t>F</w:t>
            </w:r>
            <w:r>
              <w:rPr>
                <w:rFonts w:ascii="Arial" w:hAnsi="Arial" w:cs="Arial"/>
                <w:szCs w:val="22"/>
                <w:lang w:eastAsia="en-US"/>
              </w:rPr>
              <w:t xml:space="preserve">ramework for the implementation of the 2003 Convention in their </w:t>
            </w:r>
            <w:r w:rsidRPr="00A41EB7">
              <w:rPr>
                <w:rFonts w:ascii="Arial" w:hAnsi="Arial" w:cs="Arial"/>
                <w:szCs w:val="22"/>
                <w:lang w:eastAsia="en-US"/>
              </w:rPr>
              <w:t>monitoring</w:t>
            </w:r>
            <w:r>
              <w:rPr>
                <w:rFonts w:ascii="Arial" w:hAnsi="Arial" w:cs="Arial"/>
                <w:szCs w:val="22"/>
                <w:lang w:eastAsia="en-US"/>
              </w:rPr>
              <w:t>,</w:t>
            </w:r>
            <w:r w:rsidRPr="00A41EB7">
              <w:rPr>
                <w:rFonts w:ascii="Arial" w:hAnsi="Arial" w:cs="Arial"/>
                <w:szCs w:val="22"/>
                <w:lang w:eastAsia="en-US"/>
              </w:rPr>
              <w:t xml:space="preserve"> and reporting activities</w:t>
            </w:r>
            <w:r w:rsidR="00D61CC6">
              <w:rPr>
                <w:rFonts w:ascii="Arial" w:hAnsi="Arial" w:cs="Arial"/>
                <w:szCs w:val="22"/>
                <w:lang w:eastAsia="en-US"/>
              </w:rPr>
              <w:t>.</w:t>
            </w:r>
          </w:p>
        </w:tc>
      </w:tr>
      <w:tr w:rsidR="00925A18" w:rsidRPr="00E67A04" w14:paraId="49DEBC5D"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15AA85E1" w14:textId="5D60D9C0" w:rsidR="00925A18" w:rsidRPr="00E67A04" w:rsidRDefault="00925A18" w:rsidP="00555110">
            <w:pPr>
              <w:autoSpaceDE w:val="0"/>
              <w:autoSpaceDN w:val="0"/>
              <w:adjustRightInd w:val="0"/>
              <w:spacing w:after="60" w:line="256" w:lineRule="auto"/>
              <w:jc w:val="both"/>
              <w:rPr>
                <w:rFonts w:ascii="Arial" w:hAnsi="Arial" w:cs="Arial"/>
                <w:b/>
                <w:bCs/>
                <w:szCs w:val="22"/>
                <w:lang w:eastAsia="en-US"/>
              </w:rPr>
            </w:pPr>
            <w:r w:rsidRPr="00E67A04">
              <w:rPr>
                <w:rFonts w:ascii="Arial" w:hAnsi="Arial" w:cs="Arial"/>
                <w:b/>
                <w:bCs/>
                <w:szCs w:val="22"/>
                <w:lang w:eastAsia="en-US"/>
              </w:rPr>
              <w:t>Output N°</w:t>
            </w:r>
            <w:r>
              <w:rPr>
                <w:rFonts w:ascii="Arial" w:hAnsi="Arial" w:cs="Arial"/>
                <w:b/>
                <w:bCs/>
                <w:szCs w:val="22"/>
                <w:lang w:eastAsia="en-US"/>
              </w:rPr>
              <w:t>6</w:t>
            </w:r>
            <w:r w:rsidRPr="00E67A04">
              <w:rPr>
                <w:rFonts w:ascii="Arial" w:hAnsi="Arial" w:cs="Arial"/>
                <w:b/>
                <w:bCs/>
                <w:szCs w:val="22"/>
                <w:lang w:eastAsia="en-US"/>
              </w:rPr>
              <w:t xml:space="preserve">.1: </w:t>
            </w:r>
            <w:r w:rsidRPr="00E67A04">
              <w:rPr>
                <w:rFonts w:ascii="Arial" w:hAnsi="Arial" w:cs="Arial"/>
                <w:szCs w:val="22"/>
                <w:lang w:eastAsia="en-US"/>
              </w:rPr>
              <w:t xml:space="preserve">Capacities </w:t>
            </w:r>
            <w:r>
              <w:rPr>
                <w:rFonts w:ascii="Arial" w:hAnsi="Arial" w:cs="Arial"/>
                <w:szCs w:val="22"/>
                <w:lang w:eastAsia="en-US"/>
              </w:rPr>
              <w:t xml:space="preserve">for results-based reporting of </w:t>
            </w:r>
            <w:r w:rsidR="004B008B">
              <w:rPr>
                <w:rFonts w:ascii="Arial" w:hAnsi="Arial" w:cs="Arial"/>
                <w:szCs w:val="22"/>
                <w:lang w:eastAsia="en-US"/>
              </w:rPr>
              <w:t>c</w:t>
            </w:r>
            <w:r>
              <w:rPr>
                <w:rFonts w:ascii="Arial" w:hAnsi="Arial" w:cs="Arial"/>
                <w:szCs w:val="22"/>
                <w:lang w:eastAsia="en-US"/>
              </w:rPr>
              <w:t>ountries, communities, groups, individuals and other ICH related institutions developed</w:t>
            </w:r>
            <w:r w:rsidR="00D61CC6">
              <w:rPr>
                <w:rFonts w:ascii="Arial" w:hAnsi="Arial" w:cs="Arial"/>
                <w:szCs w:val="22"/>
                <w:lang w:eastAsia="en-US"/>
              </w:rPr>
              <w:t>.</w:t>
            </w:r>
          </w:p>
        </w:tc>
      </w:tr>
      <w:tr w:rsidR="00925A18" w:rsidRPr="00E67A04" w14:paraId="2340C2D7" w14:textId="77777777" w:rsidTr="00555110">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tcPr>
          <w:p w14:paraId="00ED1B66" w14:textId="678E952E" w:rsidR="00925A18" w:rsidRPr="00E67A04" w:rsidRDefault="00925A18" w:rsidP="00555110">
            <w:pPr>
              <w:autoSpaceDE w:val="0"/>
              <w:autoSpaceDN w:val="0"/>
              <w:adjustRightInd w:val="0"/>
              <w:spacing w:after="60" w:line="256" w:lineRule="auto"/>
              <w:jc w:val="both"/>
              <w:rPr>
                <w:rFonts w:ascii="Arial" w:hAnsi="Arial" w:cs="Arial"/>
                <w:b/>
                <w:bCs/>
                <w:szCs w:val="22"/>
                <w:lang w:eastAsia="en-US"/>
              </w:rPr>
            </w:pPr>
            <w:r>
              <w:rPr>
                <w:rFonts w:ascii="Arial" w:hAnsi="Arial" w:cs="Arial"/>
                <w:b/>
                <w:bCs/>
                <w:szCs w:val="22"/>
                <w:lang w:eastAsia="en-US"/>
              </w:rPr>
              <w:t>Output N°6.2:</w:t>
            </w:r>
            <w:r w:rsidRPr="00A41EB7">
              <w:rPr>
                <w:rFonts w:ascii="Arial" w:hAnsi="Arial" w:cs="Arial"/>
                <w:szCs w:val="22"/>
                <w:lang w:eastAsia="en-US"/>
              </w:rPr>
              <w:t xml:space="preserve"> </w:t>
            </w:r>
            <w:r>
              <w:rPr>
                <w:rFonts w:ascii="Arial" w:hAnsi="Arial" w:cs="Arial"/>
                <w:szCs w:val="22"/>
                <w:lang w:eastAsia="en-US"/>
              </w:rPr>
              <w:t>Knowledge of i</w:t>
            </w:r>
            <w:r w:rsidRPr="00A41EB7">
              <w:rPr>
                <w:rFonts w:ascii="Arial" w:hAnsi="Arial" w:cs="Arial"/>
                <w:szCs w:val="22"/>
                <w:lang w:eastAsia="en-US"/>
              </w:rPr>
              <w:t>ntersectoral</w:t>
            </w:r>
            <w:r>
              <w:rPr>
                <w:rFonts w:ascii="Arial" w:hAnsi="Arial" w:cs="Arial"/>
                <w:b/>
                <w:bCs/>
                <w:szCs w:val="22"/>
                <w:lang w:eastAsia="en-US"/>
              </w:rPr>
              <w:t xml:space="preserve"> </w:t>
            </w:r>
            <w:r w:rsidRPr="00A41EB7">
              <w:rPr>
                <w:rFonts w:ascii="Arial" w:hAnsi="Arial" w:cs="Arial"/>
                <w:szCs w:val="22"/>
                <w:lang w:eastAsia="en-US"/>
              </w:rPr>
              <w:t xml:space="preserve">synergies </w:t>
            </w:r>
            <w:r>
              <w:rPr>
                <w:rFonts w:ascii="Arial" w:hAnsi="Arial" w:cs="Arial"/>
                <w:szCs w:val="22"/>
                <w:lang w:eastAsia="en-US"/>
              </w:rPr>
              <w:t>and collaboration for safeguarding ICH strengthened</w:t>
            </w:r>
            <w:r w:rsidR="00D61CC6">
              <w:rPr>
                <w:rFonts w:ascii="Arial" w:hAnsi="Arial" w:cs="Arial"/>
                <w:szCs w:val="22"/>
                <w:lang w:eastAsia="en-US"/>
              </w:rPr>
              <w:t>.</w:t>
            </w:r>
          </w:p>
        </w:tc>
      </w:tr>
    </w:tbl>
    <w:p w14:paraId="067F8116" w14:textId="77777777" w:rsidR="00925A18" w:rsidRPr="00E67A04" w:rsidRDefault="00925A18" w:rsidP="00925A18">
      <w:pPr>
        <w:keepNext/>
        <w:shd w:val="clear" w:color="auto" w:fill="0077D4"/>
        <w:tabs>
          <w:tab w:val="left" w:pos="567"/>
        </w:tabs>
        <w:snapToGrid w:val="0"/>
        <w:spacing w:before="360"/>
        <w:rPr>
          <w:rFonts w:ascii="Arial" w:eastAsia="Calibri" w:hAnsi="Arial" w:cs="Arial"/>
          <w:color w:val="FFFFFF"/>
          <w:sz w:val="28"/>
          <w:szCs w:val="28"/>
          <w:lang w:eastAsia="en-US"/>
        </w:rPr>
      </w:pPr>
      <w:r w:rsidRPr="00E67A04">
        <w:rPr>
          <w:rFonts w:ascii="Arial" w:eastAsia="Calibri" w:hAnsi="Arial" w:cs="Arial"/>
          <w:color w:val="FFFFFF"/>
          <w:sz w:val="28"/>
          <w:szCs w:val="28"/>
          <w:lang w:eastAsia="en-US"/>
        </w:rPr>
        <w:lastRenderedPageBreak/>
        <w:t>Implementation strategy</w:t>
      </w:r>
    </w:p>
    <w:p w14:paraId="6487D2D6" w14:textId="77777777" w:rsidR="00925A18" w:rsidRPr="00E67A04" w:rsidRDefault="00925A18" w:rsidP="00925A18">
      <w:pPr>
        <w:autoSpaceDE w:val="0"/>
        <w:autoSpaceDN w:val="0"/>
        <w:adjustRightInd w:val="0"/>
        <w:spacing w:before="120"/>
        <w:jc w:val="both"/>
        <w:rPr>
          <w:rFonts w:ascii="Arial" w:eastAsia="Calibri" w:hAnsi="Arial" w:cs="Arial"/>
          <w:lang w:eastAsia="en-US"/>
        </w:rPr>
      </w:pPr>
      <w:r w:rsidRPr="00A41EB7">
        <w:rPr>
          <w:rFonts w:ascii="Arial" w:eastAsia="Calibri" w:hAnsi="Arial" w:cs="Arial"/>
          <w:lang w:eastAsia="en-US"/>
        </w:rPr>
        <w:t>The capacity-building process is steered by UNESCO’s network of field offices, in cooperation with national counterparts and with on-going technical support from the Living Heritage Entity</w:t>
      </w:r>
      <w:r>
        <w:rPr>
          <w:rFonts w:ascii="Arial" w:eastAsia="Calibri" w:hAnsi="Arial" w:cs="Arial"/>
          <w:lang w:eastAsia="en-US"/>
        </w:rPr>
        <w:t xml:space="preserve">. The multi-modal programme delivery approach will allow UNESCO to offer different delivery option to States Parties (hybrid, in-person, online), taking into </w:t>
      </w:r>
      <w:r>
        <w:rPr>
          <w:rFonts w:ascii="Arial" w:hAnsi="Arial" w:cs="Arial"/>
          <w:szCs w:val="22"/>
          <w:lang w:eastAsia="en-US"/>
        </w:rPr>
        <w:t xml:space="preserve">account the </w:t>
      </w:r>
      <w:r>
        <w:rPr>
          <w:rFonts w:ascii="Arial" w:eastAsia="Calibri" w:hAnsi="Arial" w:cs="Arial"/>
          <w:lang w:eastAsia="en-US"/>
        </w:rPr>
        <w:t>context, pedagogic considerations, feasibility, and cost effectiveness.</w:t>
      </w:r>
      <w:r w:rsidRPr="00CA4EA2">
        <w:rPr>
          <w:rFonts w:ascii="Arial" w:eastAsia="Calibri" w:hAnsi="Arial" w:cs="Arial"/>
          <w:lang w:eastAsia="en-US"/>
        </w:rPr>
        <w:t xml:space="preserve"> </w:t>
      </w:r>
      <w:r w:rsidRPr="00E67A04">
        <w:rPr>
          <w:rFonts w:ascii="Arial" w:eastAsia="Calibri" w:hAnsi="Arial" w:cs="Arial"/>
          <w:lang w:eastAsia="en-US"/>
        </w:rPr>
        <w:t>States are provided with a diverse complement of interventions designed – according to each State’s needs</w:t>
      </w:r>
      <w:r>
        <w:rPr>
          <w:rFonts w:ascii="Arial" w:eastAsia="Calibri" w:hAnsi="Arial" w:cs="Arial"/>
          <w:lang w:eastAsia="en-US"/>
        </w:rPr>
        <w:t>.</w:t>
      </w:r>
    </w:p>
    <w:p w14:paraId="49B059E2" w14:textId="68E5F241" w:rsidR="00925A18" w:rsidRPr="00E67A04" w:rsidRDefault="00925A18" w:rsidP="00925A18">
      <w:pPr>
        <w:autoSpaceDE w:val="0"/>
        <w:autoSpaceDN w:val="0"/>
        <w:adjustRightInd w:val="0"/>
        <w:spacing w:before="120"/>
        <w:jc w:val="both"/>
        <w:rPr>
          <w:rFonts w:ascii="Arial" w:eastAsia="Batang" w:hAnsi="Arial" w:cs="Arial"/>
          <w:lang w:eastAsia="en-US"/>
        </w:rPr>
      </w:pPr>
      <w:r w:rsidRPr="00E67A04">
        <w:rPr>
          <w:rFonts w:ascii="Arial" w:eastAsia="Calibri" w:hAnsi="Arial" w:cs="Arial"/>
          <w:snapToGrid w:val="0"/>
          <w:szCs w:val="18"/>
          <w:lang w:eastAsia="en-US"/>
        </w:rPr>
        <w:t xml:space="preserve">Technical assistance will be </w:t>
      </w:r>
      <w:r>
        <w:rPr>
          <w:rFonts w:ascii="Arial" w:eastAsia="Calibri" w:hAnsi="Arial" w:cs="Arial"/>
          <w:snapToGrid w:val="0"/>
          <w:szCs w:val="18"/>
          <w:lang w:eastAsia="en-US"/>
        </w:rPr>
        <w:t>provided</w:t>
      </w:r>
      <w:r w:rsidRPr="00E67A04">
        <w:rPr>
          <w:rFonts w:ascii="Arial" w:eastAsia="Calibri" w:hAnsi="Arial" w:cs="Arial"/>
          <w:snapToGrid w:val="0"/>
          <w:szCs w:val="18"/>
          <w:lang w:eastAsia="en-US"/>
        </w:rPr>
        <w:t xml:space="preserve"> using content and materials developed by UNESCO as part of its capacity-building curriculum. UNESCO </w:t>
      </w:r>
      <w:r>
        <w:rPr>
          <w:rFonts w:ascii="Arial" w:eastAsia="Calibri" w:hAnsi="Arial" w:cs="Arial"/>
          <w:snapToGrid w:val="0"/>
          <w:szCs w:val="18"/>
          <w:lang w:eastAsia="en-US"/>
        </w:rPr>
        <w:t xml:space="preserve">has </w:t>
      </w:r>
      <w:r w:rsidRPr="00E67A04">
        <w:rPr>
          <w:rFonts w:ascii="Arial" w:eastAsia="Calibri" w:hAnsi="Arial" w:cs="Arial"/>
          <w:snapToGrid w:val="0"/>
          <w:szCs w:val="18"/>
          <w:lang w:eastAsia="en-US"/>
        </w:rPr>
        <w:t xml:space="preserve">developed training materials and guidance tools on </w:t>
      </w:r>
      <w:r w:rsidR="004B008B">
        <w:rPr>
          <w:rFonts w:ascii="Arial" w:eastAsia="Calibri" w:hAnsi="Arial" w:cs="Arial"/>
          <w:snapToGrid w:val="0"/>
          <w:szCs w:val="18"/>
          <w:lang w:eastAsia="en-US"/>
        </w:rPr>
        <w:t>several</w:t>
      </w:r>
      <w:r w:rsidRPr="00E67A04">
        <w:rPr>
          <w:rFonts w:ascii="Arial" w:eastAsia="Calibri" w:hAnsi="Arial" w:cs="Arial"/>
          <w:snapToGrid w:val="0"/>
          <w:szCs w:val="18"/>
          <w:lang w:eastAsia="en-US"/>
        </w:rPr>
        <w:t xml:space="preserve"> topics, </w:t>
      </w:r>
      <w:r w:rsidRPr="00590695">
        <w:rPr>
          <w:rFonts w:ascii="Arial" w:eastAsia="Calibri" w:hAnsi="Arial" w:cs="Arial"/>
          <w:snapToGrid w:val="0"/>
          <w:szCs w:val="18"/>
          <w:lang w:eastAsia="en-US"/>
        </w:rPr>
        <w:t>ranging from the</w:t>
      </w:r>
      <w:r w:rsidRPr="00C30FA5">
        <w:rPr>
          <w:rFonts w:ascii="Arial" w:eastAsia="Calibri" w:hAnsi="Arial" w:cs="Arial"/>
          <w:szCs w:val="22"/>
          <w:lang w:eastAsia="en-US"/>
        </w:rPr>
        <w:t xml:space="preserve"> core </w:t>
      </w:r>
      <w:r w:rsidRPr="00590695">
        <w:rPr>
          <w:rFonts w:ascii="Arial" w:eastAsia="Calibri" w:hAnsi="Arial" w:cs="Arial"/>
          <w:szCs w:val="22"/>
          <w:lang w:eastAsia="en-US"/>
        </w:rPr>
        <w:t>actions of the Convention</w:t>
      </w:r>
      <w:r>
        <w:rPr>
          <w:rFonts w:ascii="Arial" w:eastAsia="Calibri" w:hAnsi="Arial" w:cs="Arial"/>
          <w:szCs w:val="22"/>
          <w:lang w:eastAsia="en-US"/>
        </w:rPr>
        <w:t xml:space="preserve"> to different thematic areas</w:t>
      </w:r>
      <w:r w:rsidRPr="00E67A04">
        <w:rPr>
          <w:rFonts w:ascii="Arial" w:eastAsia="Calibri" w:hAnsi="Arial" w:cs="Arial"/>
          <w:snapToGrid w:val="0"/>
          <w:szCs w:val="18"/>
          <w:lang w:eastAsia="en-US"/>
        </w:rPr>
        <w:t xml:space="preserve">. The </w:t>
      </w:r>
      <w:r>
        <w:rPr>
          <w:rFonts w:ascii="Arial" w:eastAsia="Calibri" w:hAnsi="Arial" w:cs="Arial"/>
          <w:snapToGrid w:val="0"/>
          <w:szCs w:val="18"/>
          <w:lang w:eastAsia="en-US"/>
        </w:rPr>
        <w:t xml:space="preserve">in-person </w:t>
      </w:r>
      <w:r w:rsidRPr="00E67A04">
        <w:rPr>
          <w:rFonts w:ascii="Arial" w:eastAsia="Calibri" w:hAnsi="Arial" w:cs="Arial"/>
          <w:snapToGrid w:val="0"/>
          <w:szCs w:val="18"/>
          <w:lang w:eastAsia="en-US"/>
        </w:rPr>
        <w:t xml:space="preserve">materials are available </w:t>
      </w:r>
      <w:r>
        <w:rPr>
          <w:rFonts w:ascii="Arial" w:eastAsia="Calibri" w:hAnsi="Arial" w:cs="Arial"/>
          <w:snapToGrid w:val="0"/>
          <w:szCs w:val="18"/>
          <w:lang w:eastAsia="en-US"/>
        </w:rPr>
        <w:t>online and are being converted for the multi-modal programme delivery approach. T</w:t>
      </w:r>
      <w:r w:rsidRPr="00E67A04">
        <w:rPr>
          <w:rFonts w:ascii="Arial" w:eastAsia="Calibri" w:hAnsi="Arial" w:cs="Arial"/>
          <w:snapToGrid w:val="0"/>
          <w:szCs w:val="18"/>
          <w:lang w:eastAsia="en-US"/>
        </w:rPr>
        <w:t xml:space="preserve">ranslation </w:t>
      </w:r>
      <w:r>
        <w:rPr>
          <w:rFonts w:ascii="Arial" w:eastAsia="Calibri" w:hAnsi="Arial" w:cs="Arial"/>
          <w:snapToGrid w:val="0"/>
          <w:szCs w:val="18"/>
          <w:lang w:eastAsia="en-US"/>
        </w:rPr>
        <w:t xml:space="preserve">of materials into local languages </w:t>
      </w:r>
      <w:r w:rsidRPr="00E67A04">
        <w:rPr>
          <w:rFonts w:ascii="Arial" w:eastAsia="Calibri" w:hAnsi="Arial" w:cs="Arial"/>
          <w:snapToGrid w:val="0"/>
          <w:szCs w:val="18"/>
          <w:lang w:eastAsia="en-US"/>
        </w:rPr>
        <w:t>will be built into a country project to support the localization of the curriculum where needed.</w:t>
      </w:r>
      <w:r>
        <w:rPr>
          <w:rFonts w:ascii="Arial" w:eastAsia="Calibri" w:hAnsi="Arial" w:cs="Arial"/>
          <w:snapToGrid w:val="0"/>
          <w:szCs w:val="18"/>
          <w:lang w:eastAsia="en-US"/>
        </w:rPr>
        <w:t xml:space="preserve"> </w:t>
      </w:r>
      <w:r w:rsidRPr="00F026B7">
        <w:rPr>
          <w:rFonts w:ascii="Arial" w:eastAsia="Calibri" w:hAnsi="Arial" w:cs="Arial"/>
          <w:lang w:eastAsia="en-US"/>
        </w:rPr>
        <w:t xml:space="preserve">The </w:t>
      </w:r>
      <w:r>
        <w:rPr>
          <w:rFonts w:ascii="Arial" w:eastAsia="Calibri" w:hAnsi="Arial" w:cs="Arial"/>
          <w:lang w:eastAsia="en-US"/>
        </w:rPr>
        <w:t xml:space="preserve">training and advisory services </w:t>
      </w:r>
      <w:r w:rsidRPr="00F026B7">
        <w:rPr>
          <w:rFonts w:ascii="Arial" w:eastAsia="Calibri" w:hAnsi="Arial" w:cs="Arial"/>
          <w:lang w:eastAsia="en-US"/>
        </w:rPr>
        <w:t xml:space="preserve">are delivered through </w:t>
      </w:r>
      <w:r>
        <w:rPr>
          <w:rFonts w:ascii="Arial" w:eastAsia="Calibri" w:hAnsi="Arial" w:cs="Arial"/>
          <w:lang w:eastAsia="en-US"/>
        </w:rPr>
        <w:t xml:space="preserve">the Programme’s </w:t>
      </w:r>
      <w:r w:rsidRPr="00F026B7">
        <w:rPr>
          <w:rFonts w:ascii="Arial" w:eastAsia="Calibri" w:hAnsi="Arial" w:cs="Arial"/>
          <w:lang w:eastAsia="en-US"/>
        </w:rPr>
        <w:t>dynamic</w:t>
      </w:r>
      <w:r>
        <w:rPr>
          <w:rFonts w:ascii="Arial" w:eastAsia="Calibri" w:hAnsi="Arial" w:cs="Arial"/>
          <w:lang w:eastAsia="en-US"/>
        </w:rPr>
        <w:t xml:space="preserve"> and expanding</w:t>
      </w:r>
      <w:r w:rsidRPr="00F026B7">
        <w:rPr>
          <w:rFonts w:ascii="Arial" w:eastAsia="Calibri" w:hAnsi="Arial" w:cs="Arial"/>
          <w:lang w:eastAsia="en-US"/>
        </w:rPr>
        <w:t xml:space="preserve"> network of </w:t>
      </w:r>
      <w:r>
        <w:rPr>
          <w:rFonts w:ascii="Arial" w:eastAsia="Calibri" w:hAnsi="Arial" w:cs="Arial"/>
          <w:lang w:eastAsia="en-US"/>
        </w:rPr>
        <w:t>140 facilitators (November</w:t>
      </w:r>
      <w:r w:rsidRPr="005B2A75">
        <w:rPr>
          <w:rFonts w:ascii="Arial" w:eastAsia="Calibri" w:hAnsi="Arial" w:cs="Arial"/>
          <w:lang w:val="en-US" w:eastAsia="en-US"/>
        </w:rPr>
        <w:t xml:space="preserve"> </w:t>
      </w:r>
      <w:r>
        <w:rPr>
          <w:rFonts w:ascii="Arial" w:eastAsia="Calibri" w:hAnsi="Arial" w:cs="Arial"/>
          <w:lang w:eastAsia="en-US"/>
        </w:rPr>
        <w:t>2021)</w:t>
      </w:r>
      <w:r w:rsidRPr="00F026B7">
        <w:rPr>
          <w:rFonts w:ascii="Arial" w:eastAsia="Calibri" w:hAnsi="Arial" w:cs="Arial"/>
          <w:lang w:eastAsia="en-US"/>
        </w:rPr>
        <w:t>, trained to deliver capacity-building services in the field of ICH upon demand</w:t>
      </w:r>
      <w:r>
        <w:rPr>
          <w:rFonts w:ascii="Arial" w:eastAsia="Calibri" w:hAnsi="Arial" w:cs="Arial"/>
          <w:lang w:eastAsia="en-US"/>
        </w:rPr>
        <w:t xml:space="preserve"> while creating synergies with national expertise and networks.</w:t>
      </w:r>
    </w:p>
    <w:p w14:paraId="0D75181C" w14:textId="77777777" w:rsidR="00925A18" w:rsidRPr="00E67A04" w:rsidRDefault="00925A18" w:rsidP="00925A18">
      <w:pPr>
        <w:autoSpaceDE w:val="0"/>
        <w:autoSpaceDN w:val="0"/>
        <w:adjustRightInd w:val="0"/>
        <w:spacing w:before="120"/>
        <w:jc w:val="both"/>
        <w:rPr>
          <w:rFonts w:ascii="Arial" w:eastAsia="Calibri" w:hAnsi="Arial" w:cs="Arial"/>
          <w:snapToGrid w:val="0"/>
          <w:szCs w:val="18"/>
          <w:lang w:eastAsia="en-US"/>
        </w:rPr>
      </w:pPr>
      <w:r w:rsidRPr="00E67A04">
        <w:rPr>
          <w:rFonts w:ascii="Arial" w:eastAsia="Calibri" w:hAnsi="Arial" w:cs="Arial"/>
          <w:lang w:eastAsia="en-US"/>
        </w:rPr>
        <w:t>The Programme foresees establishing links with national development strategies, and United Nations Sustainable Development Cooperation Framework and Common Country Assessment (CCA) processes, as part of the policy work, which aims</w:t>
      </w:r>
      <w:r w:rsidRPr="00E67A04">
        <w:rPr>
          <w:rFonts w:ascii="Arial" w:eastAsia="Calibri" w:hAnsi="Arial" w:cs="Arial"/>
          <w:snapToGrid w:val="0"/>
          <w:szCs w:val="18"/>
          <w:lang w:eastAsia="en-US"/>
        </w:rPr>
        <w:t xml:space="preserve"> to create an environment supportive to safeguarding ICH and harness its potential for sustainable development. Attention will be paid to the equal involvement of </w:t>
      </w:r>
      <w:r>
        <w:rPr>
          <w:rFonts w:ascii="Arial" w:eastAsia="Calibri" w:hAnsi="Arial" w:cs="Arial"/>
          <w:snapToGrid w:val="0"/>
          <w:szCs w:val="18"/>
          <w:lang w:eastAsia="en-US"/>
        </w:rPr>
        <w:t>all genders</w:t>
      </w:r>
      <w:r w:rsidRPr="00E67A04">
        <w:rPr>
          <w:rFonts w:ascii="Arial" w:eastAsia="Calibri" w:hAnsi="Arial" w:cs="Arial"/>
          <w:snapToGrid w:val="0"/>
          <w:szCs w:val="18"/>
          <w:lang w:eastAsia="en-US"/>
        </w:rPr>
        <w:t xml:space="preserve"> as part of an inclusive </w:t>
      </w:r>
      <w:r w:rsidRPr="00A41EB7">
        <w:rPr>
          <w:rFonts w:ascii="Arial" w:eastAsia="Calibri" w:hAnsi="Arial" w:cs="Arial"/>
          <w:snapToGrid w:val="0"/>
          <w:szCs w:val="18"/>
          <w:lang w:eastAsia="en-US"/>
        </w:rPr>
        <w:t>approach.</w:t>
      </w:r>
    </w:p>
    <w:p w14:paraId="602A97F4" w14:textId="77777777" w:rsidR="00925A18" w:rsidRPr="00E67A04" w:rsidRDefault="00925A18" w:rsidP="00925A18">
      <w:pPr>
        <w:shd w:val="clear" w:color="auto" w:fill="0077D4"/>
        <w:tabs>
          <w:tab w:val="left" w:pos="567"/>
        </w:tabs>
        <w:snapToGrid w:val="0"/>
        <w:spacing w:before="240"/>
        <w:rPr>
          <w:rFonts w:ascii="Arial" w:eastAsia="Calibri" w:hAnsi="Arial" w:cs="Arial"/>
          <w:color w:val="FFFFFF"/>
          <w:sz w:val="28"/>
          <w:szCs w:val="28"/>
          <w:lang w:eastAsia="en-US"/>
        </w:rPr>
      </w:pPr>
      <w:r w:rsidRPr="00E67A04">
        <w:rPr>
          <w:rFonts w:ascii="Arial" w:eastAsia="Calibri" w:hAnsi="Arial" w:cs="Arial"/>
          <w:color w:val="FFFFFF"/>
          <w:sz w:val="28"/>
          <w:szCs w:val="28"/>
          <w:lang w:eastAsia="en-US"/>
        </w:rPr>
        <w:t>Stakeholders, beneficiaries</w:t>
      </w:r>
      <w:r>
        <w:rPr>
          <w:rFonts w:ascii="Arial" w:eastAsia="Calibri" w:hAnsi="Arial" w:cs="Arial"/>
          <w:color w:val="FFFFFF"/>
          <w:sz w:val="28"/>
          <w:szCs w:val="28"/>
          <w:lang w:eastAsia="en-US"/>
        </w:rPr>
        <w:t>,</w:t>
      </w:r>
      <w:r w:rsidRPr="00E67A04">
        <w:rPr>
          <w:rFonts w:ascii="Arial" w:eastAsia="Calibri" w:hAnsi="Arial" w:cs="Arial"/>
          <w:color w:val="FFFFFF"/>
          <w:sz w:val="28"/>
          <w:szCs w:val="28"/>
          <w:lang w:eastAsia="en-US"/>
        </w:rPr>
        <w:t xml:space="preserve"> and partners</w:t>
      </w:r>
    </w:p>
    <w:p w14:paraId="5D1444CE" w14:textId="77777777" w:rsidR="00925A18" w:rsidRPr="00E67A04" w:rsidRDefault="00925A18" w:rsidP="00925A18">
      <w:pPr>
        <w:spacing w:before="120"/>
        <w:jc w:val="both"/>
        <w:rPr>
          <w:rFonts w:ascii="Arial" w:eastAsia="Batang" w:hAnsi="Arial" w:cs="Arial"/>
          <w:lang w:eastAsia="en-US"/>
        </w:rPr>
      </w:pPr>
      <w:r w:rsidRPr="00E67A04">
        <w:rPr>
          <w:rFonts w:ascii="Arial" w:eastAsia="Calibri" w:hAnsi="Arial" w:cs="Arial"/>
          <w:lang w:eastAsia="en-US"/>
        </w:rPr>
        <w:t xml:space="preserve">Beneficiaries </w:t>
      </w:r>
      <w:r>
        <w:rPr>
          <w:rFonts w:ascii="Arial" w:eastAsia="Calibri" w:hAnsi="Arial" w:cs="Arial"/>
          <w:lang w:eastAsia="en-US"/>
        </w:rPr>
        <w:t>are</w:t>
      </w:r>
      <w:r w:rsidRPr="00E67A04">
        <w:rPr>
          <w:rFonts w:ascii="Arial" w:eastAsia="Calibri" w:hAnsi="Arial" w:cs="Arial"/>
          <w:lang w:eastAsia="en-US"/>
        </w:rPr>
        <w:t xml:space="preserve"> the different actors involved in the decision-making, administration and practical aspects related to safeguarding ICH</w:t>
      </w:r>
      <w:r>
        <w:rPr>
          <w:rFonts w:ascii="Arial" w:eastAsia="Calibri" w:hAnsi="Arial" w:cs="Arial"/>
          <w:lang w:eastAsia="en-US"/>
        </w:rPr>
        <w:t xml:space="preserve"> from the culture and other sectors.</w:t>
      </w:r>
      <w:r w:rsidRPr="00E67A04">
        <w:rPr>
          <w:rFonts w:ascii="Arial" w:eastAsia="Calibri" w:hAnsi="Arial" w:cs="Arial"/>
          <w:lang w:eastAsia="en-US"/>
        </w:rPr>
        <w:t xml:space="preserve"> For the policy component of the Programme, the primary beneficiaries are officials from ministries of culture and other ministries willing to integrate the safeguarding of ICH in their work. The training and advisory process may also include relevant institutes, NGOs, universities and community representatives. For the activities related to community-based inventorying and safeguarding, the primary beneficiaries are field workers and the groups and communities concerned</w:t>
      </w:r>
      <w:r>
        <w:rPr>
          <w:rFonts w:ascii="Arial" w:eastAsia="Calibri" w:hAnsi="Arial" w:cs="Arial"/>
          <w:lang w:eastAsia="en-US"/>
        </w:rPr>
        <w:t>, including youth</w:t>
      </w:r>
      <w:r w:rsidRPr="00E67A04">
        <w:rPr>
          <w:rFonts w:ascii="Arial" w:eastAsia="Calibri" w:hAnsi="Arial" w:cs="Arial"/>
          <w:lang w:eastAsia="en-US"/>
        </w:rPr>
        <w:t>.</w:t>
      </w:r>
    </w:p>
    <w:p w14:paraId="6DA07284" w14:textId="77777777" w:rsidR="00925A18" w:rsidRPr="00E67A04" w:rsidRDefault="00925A18" w:rsidP="00925A18">
      <w:pPr>
        <w:spacing w:before="120"/>
        <w:jc w:val="both"/>
        <w:rPr>
          <w:rFonts w:ascii="Arial" w:eastAsia="Calibri" w:hAnsi="Arial" w:cs="Arial"/>
          <w:lang w:eastAsia="en-US"/>
        </w:rPr>
      </w:pPr>
      <w:r w:rsidRPr="00E67A04">
        <w:rPr>
          <w:rFonts w:ascii="Arial" w:eastAsia="Calibri" w:hAnsi="Arial" w:cs="Arial"/>
          <w:lang w:eastAsia="en-US"/>
        </w:rPr>
        <w:t xml:space="preserve">The Convention recognizes the </w:t>
      </w:r>
      <w:r>
        <w:rPr>
          <w:rFonts w:ascii="Arial" w:eastAsia="Calibri" w:hAnsi="Arial" w:cs="Arial"/>
          <w:lang w:eastAsia="en-US"/>
        </w:rPr>
        <w:t>central</w:t>
      </w:r>
      <w:r w:rsidRPr="00E67A04">
        <w:rPr>
          <w:rFonts w:ascii="Arial" w:eastAsia="Calibri" w:hAnsi="Arial" w:cs="Arial"/>
          <w:lang w:eastAsia="en-US"/>
        </w:rPr>
        <w:t xml:space="preserve"> role of communities in safeguarding their ICH. Therefore, all activities carried out under this Programme will be in line with the Convention’s Ethical Principles for Safeguarding Intangible Cultural Heritage and will obtain the free, prior and informed consent of the communities concerned.</w:t>
      </w:r>
      <w:r w:rsidRPr="00E67A04">
        <w:rPr>
          <w:rFonts w:ascii="Arial" w:eastAsia="Calibri" w:hAnsi="Arial" w:cs="Arial"/>
          <w:vertAlign w:val="superscript"/>
          <w:lang w:eastAsia="en-US"/>
        </w:rPr>
        <w:footnoteReference w:id="8"/>
      </w:r>
      <w:r w:rsidRPr="00E67A04">
        <w:rPr>
          <w:rFonts w:ascii="Arial" w:eastAsia="Calibri" w:hAnsi="Arial" w:cs="Arial"/>
          <w:lang w:eastAsia="en-US"/>
        </w:rPr>
        <w:t xml:space="preserve"> The Programme will take an inclusive approach to ensure the widest possible participation of stakeholders in the design and implementation of safeguarding activities.</w:t>
      </w:r>
    </w:p>
    <w:p w14:paraId="3F56306F" w14:textId="77777777" w:rsidR="00925A18" w:rsidRPr="00E67A04" w:rsidRDefault="00925A18" w:rsidP="00925A18">
      <w:pPr>
        <w:shd w:val="clear" w:color="auto" w:fill="0077D4"/>
        <w:tabs>
          <w:tab w:val="left" w:pos="567"/>
        </w:tabs>
        <w:snapToGrid w:val="0"/>
        <w:spacing w:before="240"/>
        <w:rPr>
          <w:rFonts w:ascii="Arial" w:eastAsia="Calibri" w:hAnsi="Arial" w:cs="Arial"/>
          <w:color w:val="FFFFFF"/>
          <w:sz w:val="28"/>
          <w:szCs w:val="28"/>
          <w:lang w:eastAsia="en-US"/>
        </w:rPr>
      </w:pPr>
      <w:r w:rsidRPr="00E67A04">
        <w:rPr>
          <w:rFonts w:ascii="Arial" w:eastAsia="Calibri" w:hAnsi="Arial" w:cs="Arial"/>
          <w:color w:val="FFFFFF"/>
          <w:sz w:val="28"/>
          <w:szCs w:val="28"/>
          <w:lang w:eastAsia="en-US"/>
        </w:rPr>
        <w:t>Risk analysis, sustainability and exit strategy</w:t>
      </w:r>
    </w:p>
    <w:p w14:paraId="688CDD2D" w14:textId="588BA1E5" w:rsidR="00925A18" w:rsidRPr="00E67A04" w:rsidRDefault="00925A18" w:rsidP="00925A18">
      <w:pPr>
        <w:spacing w:before="120"/>
        <w:jc w:val="both"/>
        <w:rPr>
          <w:rFonts w:ascii="Arial" w:eastAsia="Calibri" w:hAnsi="Arial" w:cs="Arial"/>
          <w:lang w:eastAsia="en-US"/>
        </w:rPr>
      </w:pPr>
      <w:r w:rsidRPr="00E67A04">
        <w:rPr>
          <w:rFonts w:ascii="Arial" w:eastAsia="Calibri" w:hAnsi="Arial" w:cs="Arial"/>
          <w:szCs w:val="20"/>
          <w:lang w:eastAsia="en-US"/>
        </w:rPr>
        <w:t>The Programme is designed to maximize its sustainability and multiplier effect.</w:t>
      </w:r>
      <w:r>
        <w:rPr>
          <w:rFonts w:ascii="Arial" w:eastAsia="Calibri" w:hAnsi="Arial" w:cs="Arial"/>
          <w:szCs w:val="20"/>
          <w:lang w:eastAsia="en-US"/>
        </w:rPr>
        <w:t xml:space="preserve"> Using a needs-based approach, it </w:t>
      </w:r>
      <w:r w:rsidRPr="00E67A04">
        <w:rPr>
          <w:rFonts w:ascii="Arial" w:eastAsia="Calibri" w:hAnsi="Arial" w:cs="Arial"/>
          <w:szCs w:val="20"/>
          <w:lang w:eastAsia="en-US"/>
        </w:rPr>
        <w:t>aims to create in each beneficiary country a critical level of national capacity, both in government institutions and among key players from communities</w:t>
      </w:r>
      <w:r>
        <w:rPr>
          <w:rFonts w:ascii="Arial" w:eastAsia="Calibri" w:hAnsi="Arial" w:cs="Arial"/>
          <w:szCs w:val="20"/>
          <w:lang w:eastAsia="en-US"/>
        </w:rPr>
        <w:t xml:space="preserve">, </w:t>
      </w:r>
      <w:r w:rsidRPr="00E67A04">
        <w:rPr>
          <w:rFonts w:ascii="Arial" w:eastAsia="Calibri" w:hAnsi="Arial" w:cs="Arial"/>
          <w:szCs w:val="20"/>
          <w:lang w:eastAsia="en-US"/>
        </w:rPr>
        <w:t xml:space="preserve">civil society, </w:t>
      </w:r>
      <w:r>
        <w:rPr>
          <w:rFonts w:ascii="Arial" w:eastAsia="Calibri" w:hAnsi="Arial" w:cs="Arial"/>
          <w:szCs w:val="20"/>
          <w:lang w:eastAsia="en-US"/>
        </w:rPr>
        <w:t xml:space="preserve">universities, heritage institutions, </w:t>
      </w:r>
      <w:r w:rsidR="004B008B">
        <w:rPr>
          <w:rFonts w:ascii="Arial" w:eastAsia="Calibri" w:hAnsi="Arial" w:cs="Arial"/>
          <w:szCs w:val="20"/>
          <w:lang w:eastAsia="en-US"/>
        </w:rPr>
        <w:t>forming</w:t>
      </w:r>
      <w:r w:rsidR="004B008B" w:rsidRPr="00E67A04">
        <w:rPr>
          <w:rFonts w:ascii="Arial" w:eastAsia="Calibri" w:hAnsi="Arial" w:cs="Arial"/>
          <w:szCs w:val="20"/>
          <w:lang w:eastAsia="en-US"/>
        </w:rPr>
        <w:t xml:space="preserve"> </w:t>
      </w:r>
      <w:r w:rsidRPr="00E67A04">
        <w:rPr>
          <w:rFonts w:ascii="Arial" w:eastAsia="Calibri" w:hAnsi="Arial" w:cs="Arial"/>
          <w:szCs w:val="20"/>
          <w:lang w:eastAsia="en-US"/>
        </w:rPr>
        <w:t>a sustainable foundation for safeguarding ICH.</w:t>
      </w:r>
      <w:r>
        <w:rPr>
          <w:rFonts w:ascii="Arial" w:eastAsia="Calibri" w:hAnsi="Arial" w:cs="Arial"/>
          <w:szCs w:val="20"/>
          <w:lang w:eastAsia="en-US"/>
        </w:rPr>
        <w:t xml:space="preserve"> </w:t>
      </w:r>
      <w:r>
        <w:rPr>
          <w:rFonts w:ascii="Arial" w:eastAsia="Calibri" w:hAnsi="Arial" w:cs="Arial"/>
          <w:lang w:eastAsia="en-US"/>
        </w:rPr>
        <w:t>T</w:t>
      </w:r>
      <w:r w:rsidRPr="00E67A04">
        <w:rPr>
          <w:rFonts w:ascii="Arial" w:eastAsia="Calibri" w:hAnsi="Arial" w:cs="Arial"/>
          <w:lang w:eastAsia="en-US"/>
        </w:rPr>
        <w:t>he capacity-building Programme include</w:t>
      </w:r>
      <w:r>
        <w:rPr>
          <w:rFonts w:ascii="Arial" w:eastAsia="Calibri" w:hAnsi="Arial" w:cs="Arial"/>
          <w:lang w:eastAsia="en-US"/>
        </w:rPr>
        <w:t>s</w:t>
      </w:r>
      <w:r w:rsidRPr="00E67A04">
        <w:rPr>
          <w:rFonts w:ascii="Arial" w:eastAsia="Calibri" w:hAnsi="Arial" w:cs="Arial"/>
          <w:lang w:eastAsia="en-US"/>
        </w:rPr>
        <w:t xml:space="preserve"> the establishment of national networks of trainers </w:t>
      </w:r>
      <w:r>
        <w:rPr>
          <w:rFonts w:ascii="Arial" w:eastAsia="Calibri" w:hAnsi="Arial" w:cs="Arial"/>
          <w:lang w:eastAsia="en-US"/>
        </w:rPr>
        <w:t xml:space="preserve">(or equivalent mechanisms) </w:t>
      </w:r>
      <w:r w:rsidRPr="00E67A04">
        <w:rPr>
          <w:rFonts w:ascii="Arial" w:eastAsia="Calibri" w:hAnsi="Arial" w:cs="Arial"/>
          <w:lang w:eastAsia="en-US"/>
        </w:rPr>
        <w:t xml:space="preserve">and strengthening </w:t>
      </w:r>
      <w:r>
        <w:rPr>
          <w:rFonts w:ascii="Arial" w:eastAsia="Calibri" w:hAnsi="Arial" w:cs="Arial"/>
          <w:lang w:eastAsia="en-US"/>
        </w:rPr>
        <w:t>partnerships with</w:t>
      </w:r>
      <w:r w:rsidRPr="00E67A04">
        <w:rPr>
          <w:rFonts w:ascii="Arial" w:eastAsia="Calibri" w:hAnsi="Arial" w:cs="Arial"/>
          <w:lang w:eastAsia="en-US"/>
        </w:rPr>
        <w:t xml:space="preserve"> relevant organizations or institutions, which can replicate capacity building by relying on internal expertise, built and strengthened through the Programme.</w:t>
      </w:r>
    </w:p>
    <w:p w14:paraId="7F0DF2CB" w14:textId="77777777" w:rsidR="00925A18" w:rsidRPr="000B01C6" w:rsidRDefault="00925A18" w:rsidP="00925A18">
      <w:pPr>
        <w:spacing w:before="120"/>
        <w:jc w:val="both"/>
        <w:rPr>
          <w:rFonts w:ascii="Arial" w:eastAsia="Calibri" w:hAnsi="Arial" w:cs="Arial"/>
          <w:bCs/>
          <w:lang w:eastAsia="en-US"/>
        </w:rPr>
      </w:pPr>
      <w:r w:rsidRPr="00E67A04">
        <w:rPr>
          <w:rFonts w:ascii="Arial" w:eastAsia="Calibri" w:hAnsi="Arial" w:cs="Arial"/>
          <w:lang w:eastAsia="en-US"/>
        </w:rPr>
        <w:t>The Programme seeks to strengthen institutional-level relations in countries through the identification of suitable institutional partners</w:t>
      </w:r>
      <w:r>
        <w:rPr>
          <w:rFonts w:ascii="Arial" w:eastAsia="Calibri" w:hAnsi="Arial" w:cs="Arial"/>
          <w:lang w:eastAsia="en-US"/>
        </w:rPr>
        <w:t xml:space="preserve">. </w:t>
      </w:r>
      <w:r w:rsidRPr="00E67A04">
        <w:rPr>
          <w:rFonts w:ascii="Arial" w:eastAsia="Calibri" w:hAnsi="Arial" w:cs="Arial"/>
          <w:lang w:eastAsia="en-US"/>
        </w:rPr>
        <w:t>By involving stakeholders from both the culture sector and other development fields, the Programme facilitates the integration of provisions for safeguarding ICH into larger development strategies and programmes, thereby further sustaining the viability of ICH and harnessing it for the well-being of communities and societies.</w:t>
      </w:r>
    </w:p>
    <w:p w14:paraId="085BB099" w14:textId="77777777" w:rsidR="00925A18" w:rsidRPr="00585FCB" w:rsidRDefault="00925A18" w:rsidP="00925A18">
      <w:pPr>
        <w:keepNext/>
        <w:pageBreakBefore/>
        <w:autoSpaceDE w:val="0"/>
        <w:autoSpaceDN w:val="0"/>
        <w:adjustRightInd w:val="0"/>
        <w:spacing w:before="240"/>
        <w:jc w:val="center"/>
        <w:rPr>
          <w:rFonts w:ascii="Arial" w:hAnsi="Arial" w:cs="Arial"/>
          <w:b/>
          <w:snapToGrid w:val="0"/>
          <w:szCs w:val="22"/>
          <w:u w:val="single"/>
          <w:lang w:eastAsia="en-US"/>
        </w:rPr>
      </w:pPr>
      <w:r w:rsidRPr="00585FCB">
        <w:rPr>
          <w:rFonts w:ascii="Arial" w:hAnsi="Arial" w:cs="Arial"/>
          <w:b/>
          <w:snapToGrid w:val="0"/>
          <w:szCs w:val="22"/>
          <w:u w:val="single"/>
          <w:lang w:eastAsia="en-US"/>
        </w:rPr>
        <w:lastRenderedPageBreak/>
        <w:t>Funding priority 2</w:t>
      </w:r>
    </w:p>
    <w:p w14:paraId="4092A032" w14:textId="77777777" w:rsidR="00925A18" w:rsidRPr="00964457" w:rsidRDefault="00925A18" w:rsidP="00925A18">
      <w:pPr>
        <w:spacing w:before="240" w:after="240"/>
        <w:jc w:val="both"/>
        <w:rPr>
          <w:rFonts w:asciiTheme="minorHAnsi" w:eastAsiaTheme="minorHAnsi" w:hAnsiTheme="minorHAnsi" w:cstheme="minorBidi"/>
          <w:color w:val="FFFFFF" w:themeColor="background1"/>
          <w:sz w:val="48"/>
          <w:shd w:val="clear" w:color="auto" w:fill="0077D4"/>
          <w:lang w:eastAsia="en-US"/>
        </w:rPr>
      </w:pPr>
      <w:bookmarkStart w:id="4" w:name="Priority2"/>
      <w:bookmarkEnd w:id="4"/>
      <w:r w:rsidRPr="00964457">
        <w:rPr>
          <w:rFonts w:asciiTheme="minorHAnsi" w:eastAsiaTheme="minorHAnsi" w:hAnsiTheme="minorHAnsi" w:cstheme="minorBidi"/>
          <w:color w:val="FFFFFF" w:themeColor="background1"/>
          <w:sz w:val="48"/>
          <w:shd w:val="clear" w:color="auto" w:fill="0077D4"/>
          <w:lang w:eastAsia="en-US"/>
        </w:rPr>
        <w:t>Safeguarding intangible cultural heritage in formal and non-formal education</w:t>
      </w:r>
    </w:p>
    <w:tbl>
      <w:tblPr>
        <w:tblStyle w:val="TableGrid1"/>
        <w:tblW w:w="9638" w:type="dxa"/>
        <w:tblInd w:w="0"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25A18" w:rsidRPr="00370FB3" w14:paraId="77F211D9" w14:textId="77777777" w:rsidTr="00555110">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541863FF" w14:textId="77777777" w:rsidR="00925A18" w:rsidRPr="00585FCB" w:rsidRDefault="00925A18" w:rsidP="00AE38A8">
            <w:pPr>
              <w:widowControl w:val="0"/>
              <w:autoSpaceDE w:val="0"/>
              <w:autoSpaceDN w:val="0"/>
              <w:adjustRightInd w:val="0"/>
              <w:rPr>
                <w:rFonts w:ascii="Arial" w:eastAsia="@Arial Unicode MS" w:hAnsi="Arial" w:cs="Arial"/>
                <w:b/>
                <w:color w:val="0070C0"/>
                <w:szCs w:val="22"/>
              </w:rPr>
            </w:pPr>
            <w:r w:rsidRPr="00585FCB">
              <w:rPr>
                <w:rFonts w:ascii="Arial" w:hAnsi="Arial" w:cs="Arial"/>
                <w:b/>
                <w:color w:val="0070C0"/>
                <w:szCs w:val="22"/>
              </w:rPr>
              <w:t>Geographical scope/benefitting country(ies):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6C11291" w14:textId="77777777" w:rsidR="00925A18" w:rsidRPr="00585FCB" w:rsidRDefault="00925A18" w:rsidP="00555110">
            <w:pPr>
              <w:widowControl w:val="0"/>
              <w:autoSpaceDE w:val="0"/>
              <w:autoSpaceDN w:val="0"/>
              <w:adjustRightInd w:val="0"/>
              <w:jc w:val="both"/>
              <w:rPr>
                <w:rFonts w:ascii="Arial" w:eastAsia="@Arial Unicode MS" w:hAnsi="Arial" w:cs="Arial"/>
                <w:szCs w:val="22"/>
              </w:rPr>
            </w:pPr>
            <w:r w:rsidRPr="00585FCB">
              <w:rPr>
                <w:rFonts w:ascii="Arial" w:eastAsia="@Arial Unicode MS" w:hAnsi="Arial" w:cs="Arial"/>
                <w:szCs w:val="22"/>
              </w:rPr>
              <w:t>Global Programme with country projects in all regions, in particular Africa</w:t>
            </w:r>
          </w:p>
        </w:tc>
      </w:tr>
      <w:tr w:rsidR="00925A18" w:rsidRPr="00585FCB" w14:paraId="7F2CE1C7" w14:textId="77777777" w:rsidTr="00555110">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1CA3B57C" w14:textId="77777777" w:rsidR="00925A18" w:rsidRPr="00585FCB" w:rsidRDefault="00925A18" w:rsidP="00AE38A8">
            <w:pPr>
              <w:widowControl w:val="0"/>
              <w:autoSpaceDE w:val="0"/>
              <w:autoSpaceDN w:val="0"/>
              <w:adjustRightInd w:val="0"/>
              <w:rPr>
                <w:rFonts w:ascii="Arial" w:hAnsi="Arial" w:cs="Arial"/>
                <w:b/>
                <w:color w:val="0070C0"/>
                <w:szCs w:val="22"/>
              </w:rPr>
            </w:pPr>
            <w:r w:rsidRPr="00585FCB">
              <w:rPr>
                <w:rFonts w:ascii="Arial" w:hAnsi="Arial" w:cs="Arial"/>
                <w:b/>
                <w:color w:val="0070C0"/>
                <w:szCs w:val="22"/>
              </w:rPr>
              <w:t>Duration (in months):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F760F11" w14:textId="77777777" w:rsidR="00925A18" w:rsidRPr="00585FCB" w:rsidRDefault="00925A18" w:rsidP="00555110">
            <w:pPr>
              <w:widowControl w:val="0"/>
              <w:autoSpaceDE w:val="0"/>
              <w:autoSpaceDN w:val="0"/>
              <w:adjustRightInd w:val="0"/>
              <w:jc w:val="both"/>
              <w:rPr>
                <w:rFonts w:ascii="Arial" w:eastAsia="@Arial Unicode MS" w:hAnsi="Arial" w:cs="Arial"/>
                <w:szCs w:val="22"/>
              </w:rPr>
            </w:pPr>
            <w:r w:rsidRPr="00585FCB">
              <w:rPr>
                <w:rFonts w:ascii="Arial" w:eastAsia="@Arial Unicode MS" w:hAnsi="Arial" w:cs="Arial"/>
                <w:szCs w:val="22"/>
              </w:rPr>
              <w:t>2022–2025</w:t>
            </w:r>
            <w:r>
              <w:rPr>
                <w:rFonts w:ascii="Arial" w:eastAsia="@Arial Unicode MS" w:hAnsi="Arial" w:cs="Arial"/>
                <w:szCs w:val="22"/>
              </w:rPr>
              <w:t xml:space="preserve"> (48 months)</w:t>
            </w:r>
          </w:p>
        </w:tc>
      </w:tr>
      <w:tr w:rsidR="00925A18" w:rsidRPr="00370FB3" w14:paraId="778DCEE5" w14:textId="77777777" w:rsidTr="00555110">
        <w:trPr>
          <w:trHeight w:val="1388"/>
        </w:trPr>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77DE90FE" w14:textId="77777777" w:rsidR="00925A18" w:rsidRPr="00585FCB" w:rsidRDefault="00925A18" w:rsidP="00AE38A8">
            <w:pPr>
              <w:widowControl w:val="0"/>
              <w:autoSpaceDE w:val="0"/>
              <w:autoSpaceDN w:val="0"/>
              <w:adjustRightInd w:val="0"/>
              <w:rPr>
                <w:rFonts w:ascii="Arial" w:hAnsi="Arial" w:cs="Arial"/>
                <w:b/>
                <w:color w:val="0070C0"/>
                <w:szCs w:val="22"/>
              </w:rPr>
            </w:pPr>
            <w:r w:rsidRPr="00585FCB">
              <w:rPr>
                <w:rFonts w:ascii="Arial" w:hAnsi="Arial" w:cs="Arial"/>
                <w:b/>
                <w:color w:val="0070C0"/>
                <w:szCs w:val="22"/>
              </w:rPr>
              <w:t>Name, Unit and contact details of Project Officer(s):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306D4A4C" w14:textId="68C33664" w:rsidR="00925A18" w:rsidRPr="00585FCB" w:rsidRDefault="00925A18" w:rsidP="00555110">
            <w:pPr>
              <w:widowControl w:val="0"/>
              <w:autoSpaceDE w:val="0"/>
              <w:autoSpaceDN w:val="0"/>
              <w:adjustRightInd w:val="0"/>
              <w:jc w:val="both"/>
              <w:rPr>
                <w:rFonts w:ascii="Arial" w:eastAsia="@Arial Unicode MS" w:hAnsi="Arial" w:cs="Arial"/>
                <w:szCs w:val="22"/>
              </w:rPr>
            </w:pPr>
            <w:r w:rsidRPr="00585FCB">
              <w:rPr>
                <w:rFonts w:ascii="Arial" w:eastAsia="@Arial Unicode MS" w:hAnsi="Arial" w:cs="Arial"/>
                <w:szCs w:val="22"/>
              </w:rPr>
              <w:t xml:space="preserve">Tim Curtis, Chief, </w:t>
            </w:r>
            <w:r w:rsidR="00121A4B">
              <w:rPr>
                <w:rFonts w:ascii="Arial" w:eastAsia="@Arial Unicode MS" w:hAnsi="Arial" w:cs="Arial"/>
                <w:szCs w:val="22"/>
              </w:rPr>
              <w:t>Living Heritage Entity</w:t>
            </w:r>
            <w:r w:rsidRPr="00585FCB">
              <w:rPr>
                <w:rFonts w:ascii="Arial" w:eastAsia="@Arial Unicode MS" w:hAnsi="Arial" w:cs="Arial"/>
                <w:szCs w:val="22"/>
              </w:rPr>
              <w:t xml:space="preserve"> and Secretary of the Convention for the Safeguarding of the Intangible Cultural Heritage</w:t>
            </w:r>
          </w:p>
          <w:p w14:paraId="6BC82058" w14:textId="77777777" w:rsidR="00925A18" w:rsidRPr="00585FCB" w:rsidRDefault="00925A18" w:rsidP="00555110">
            <w:pPr>
              <w:widowControl w:val="0"/>
              <w:autoSpaceDE w:val="0"/>
              <w:autoSpaceDN w:val="0"/>
              <w:adjustRightInd w:val="0"/>
              <w:jc w:val="both"/>
              <w:rPr>
                <w:rFonts w:ascii="Arial" w:eastAsia="@Arial Unicode MS" w:hAnsi="Arial" w:cs="Arial"/>
                <w:i/>
                <w:szCs w:val="22"/>
                <w:lang w:val="en-US"/>
              </w:rPr>
            </w:pPr>
            <w:r w:rsidRPr="00585FCB">
              <w:rPr>
                <w:rFonts w:ascii="Arial" w:eastAsia="@Arial Unicode MS" w:hAnsi="Arial" w:cs="Arial"/>
                <w:i/>
                <w:szCs w:val="22"/>
                <w:lang w:val="en-US"/>
              </w:rPr>
              <w:t xml:space="preserve">For each project under this global programme appropriate Education Sector colleagues will be involved from the design to the evaluation stage </w:t>
            </w:r>
          </w:p>
        </w:tc>
      </w:tr>
      <w:tr w:rsidR="00925A18" w:rsidRPr="00370FB3" w14:paraId="3F570CAA" w14:textId="77777777" w:rsidTr="00555110">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16471C02" w14:textId="77777777" w:rsidR="00925A18" w:rsidRPr="00585FCB" w:rsidRDefault="00925A18" w:rsidP="00AE38A8">
            <w:pPr>
              <w:widowControl w:val="0"/>
              <w:autoSpaceDE w:val="0"/>
              <w:autoSpaceDN w:val="0"/>
              <w:adjustRightInd w:val="0"/>
              <w:rPr>
                <w:rFonts w:ascii="Arial" w:hAnsi="Arial" w:cs="Arial"/>
                <w:b/>
                <w:color w:val="0070C0"/>
                <w:szCs w:val="22"/>
              </w:rPr>
            </w:pPr>
            <w:r w:rsidRPr="00585FCB">
              <w:rPr>
                <w:rFonts w:ascii="Arial" w:hAnsi="Arial" w:cs="Arial"/>
                <w:b/>
                <w:color w:val="0070C0"/>
                <w:szCs w:val="22"/>
              </w:rPr>
              <w:t>Partner(s) institutions:</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10A3319" w14:textId="77777777" w:rsidR="00925A18" w:rsidRPr="00585FCB" w:rsidRDefault="00925A18" w:rsidP="00555110">
            <w:pPr>
              <w:widowControl w:val="0"/>
              <w:autoSpaceDE w:val="0"/>
              <w:autoSpaceDN w:val="0"/>
              <w:adjustRightInd w:val="0"/>
              <w:jc w:val="both"/>
              <w:rPr>
                <w:rFonts w:ascii="Arial" w:eastAsia="@Arial Unicode MS" w:hAnsi="Arial" w:cs="Arial"/>
                <w:szCs w:val="22"/>
              </w:rPr>
            </w:pPr>
            <w:r w:rsidRPr="00585FCB">
              <w:rPr>
                <w:rFonts w:ascii="Arial" w:eastAsia="@Arial Unicode MS" w:hAnsi="Arial" w:cs="Arial"/>
                <w:szCs w:val="22"/>
              </w:rPr>
              <w:t xml:space="preserve">Ministries of Culture and of Education, relevant culture and education institutions, category 2 centres, UNESCO education institutes and bureau </w:t>
            </w:r>
          </w:p>
        </w:tc>
      </w:tr>
      <w:tr w:rsidR="00925A18" w:rsidRPr="00585FCB" w14:paraId="33B8B71A" w14:textId="77777777" w:rsidTr="00555110">
        <w:tc>
          <w:tcPr>
            <w:tcW w:w="3685" w:type="dxa"/>
            <w:tcBorders>
              <w:top w:val="single" w:sz="4" w:space="0" w:color="EEBBC0"/>
              <w:bottom w:val="single" w:sz="2" w:space="0" w:color="FFFFFF" w:themeColor="background1"/>
            </w:tcBorders>
            <w:shd w:val="clear" w:color="auto" w:fill="D8E2F4"/>
            <w:noWrap/>
            <w:tcMar>
              <w:top w:w="113" w:type="dxa"/>
              <w:left w:w="113" w:type="dxa"/>
              <w:right w:w="113" w:type="dxa"/>
            </w:tcMar>
          </w:tcPr>
          <w:p w14:paraId="098DB3A6" w14:textId="77777777" w:rsidR="00925A18" w:rsidRPr="00585FCB" w:rsidRDefault="00925A18" w:rsidP="00AE38A8">
            <w:pPr>
              <w:widowControl w:val="0"/>
              <w:autoSpaceDE w:val="0"/>
              <w:autoSpaceDN w:val="0"/>
              <w:adjustRightInd w:val="0"/>
              <w:rPr>
                <w:rFonts w:ascii="Arial" w:hAnsi="Arial" w:cs="Arial"/>
                <w:b/>
                <w:color w:val="0070C0"/>
                <w:szCs w:val="22"/>
              </w:rPr>
            </w:pPr>
            <w:r w:rsidRPr="00585FCB">
              <w:rPr>
                <w:rFonts w:ascii="Arial" w:hAnsi="Arial" w:cs="Arial"/>
                <w:b/>
                <w:color w:val="0070C0"/>
                <w:szCs w:val="22"/>
              </w:rPr>
              <w:t>Tentative budget inclusive of Programme Support costs:</w:t>
            </w:r>
          </w:p>
        </w:tc>
        <w:tc>
          <w:tcPr>
            <w:tcW w:w="5953" w:type="dxa"/>
            <w:tcBorders>
              <w:top w:val="single" w:sz="4" w:space="0" w:color="EEBBC0"/>
              <w:bottom w:val="single" w:sz="2" w:space="0" w:color="FFFFFF" w:themeColor="background1"/>
            </w:tcBorders>
            <w:shd w:val="clear" w:color="auto" w:fill="ECF0FA"/>
            <w:noWrap/>
            <w:tcMar>
              <w:top w:w="113" w:type="dxa"/>
              <w:left w:w="113" w:type="dxa"/>
              <w:right w:w="113" w:type="dxa"/>
            </w:tcMar>
          </w:tcPr>
          <w:p w14:paraId="1C318B46" w14:textId="240A7C1D" w:rsidR="00925A18" w:rsidRPr="00585FCB" w:rsidRDefault="00925A18" w:rsidP="00555110">
            <w:pPr>
              <w:widowControl w:val="0"/>
              <w:autoSpaceDE w:val="0"/>
              <w:autoSpaceDN w:val="0"/>
              <w:adjustRightInd w:val="0"/>
              <w:jc w:val="both"/>
              <w:rPr>
                <w:rFonts w:ascii="Arial" w:eastAsia="@Arial Unicode MS" w:hAnsi="Arial" w:cs="Arial"/>
                <w:szCs w:val="22"/>
              </w:rPr>
            </w:pPr>
            <w:r w:rsidRPr="00585FCB">
              <w:rPr>
                <w:rFonts w:ascii="Arial" w:eastAsia="@Arial Unicode MS" w:hAnsi="Arial" w:cs="Arial"/>
                <w:szCs w:val="22"/>
              </w:rPr>
              <w:t>US</w:t>
            </w:r>
            <w:r>
              <w:rPr>
                <w:rFonts w:ascii="Arial" w:eastAsia="@Arial Unicode MS" w:hAnsi="Arial" w:cs="Arial"/>
                <w:szCs w:val="22"/>
              </w:rPr>
              <w:t>$3.5</w:t>
            </w:r>
            <w:r w:rsidRPr="00585FCB">
              <w:rPr>
                <w:rFonts w:ascii="Arial" w:eastAsia="@Arial Unicode MS" w:hAnsi="Arial" w:cs="Arial"/>
                <w:szCs w:val="22"/>
              </w:rPr>
              <w:t xml:space="preserve"> </w:t>
            </w:r>
            <w:r>
              <w:rPr>
                <w:rFonts w:ascii="Arial" w:eastAsia="@Arial Unicode MS" w:hAnsi="Arial" w:cs="Arial"/>
                <w:szCs w:val="22"/>
              </w:rPr>
              <w:t>m</w:t>
            </w:r>
            <w:r w:rsidRPr="00585FCB">
              <w:rPr>
                <w:rFonts w:ascii="Arial" w:eastAsia="@Arial Unicode MS" w:hAnsi="Arial" w:cs="Arial"/>
                <w:szCs w:val="22"/>
              </w:rPr>
              <w:t>illion</w:t>
            </w:r>
          </w:p>
        </w:tc>
      </w:tr>
    </w:tbl>
    <w:p w14:paraId="6C34A788" w14:textId="77777777" w:rsidR="00925A18" w:rsidRPr="00160AF5" w:rsidRDefault="00925A18" w:rsidP="00925A18">
      <w:pPr>
        <w:shd w:val="clear" w:color="auto" w:fill="0077D4"/>
        <w:tabs>
          <w:tab w:val="left" w:pos="567"/>
        </w:tabs>
        <w:snapToGrid w:val="0"/>
        <w:spacing w:before="240"/>
        <w:ind w:left="-144"/>
        <w:rPr>
          <w:rFonts w:ascii="Arial" w:eastAsia="Calibri" w:hAnsi="Arial" w:cs="Arial"/>
          <w:color w:val="FFFFFF"/>
          <w:sz w:val="28"/>
          <w:szCs w:val="28"/>
          <w:lang w:val="en-US" w:eastAsia="en-US"/>
        </w:rPr>
      </w:pPr>
      <w:r w:rsidRPr="00160AF5">
        <w:rPr>
          <w:rFonts w:ascii="Arial" w:eastAsia="Calibri" w:hAnsi="Arial" w:cs="Arial"/>
          <w:color w:val="FFFFFF"/>
          <w:sz w:val="28"/>
          <w:szCs w:val="28"/>
          <w:lang w:val="en-US" w:eastAsia="en-US"/>
        </w:rPr>
        <w:t>Rationale and overall purpose</w:t>
      </w:r>
    </w:p>
    <w:p w14:paraId="3B0BFE99" w14:textId="7D339E74" w:rsidR="00925A18" w:rsidRDefault="00925A18" w:rsidP="00925A18">
      <w:pPr>
        <w:jc w:val="both"/>
        <w:rPr>
          <w:rFonts w:ascii="Arial" w:hAnsi="Arial" w:cs="Arial"/>
          <w:szCs w:val="22"/>
        </w:rPr>
      </w:pPr>
      <w:r w:rsidRPr="00A4452B">
        <w:rPr>
          <w:rFonts w:ascii="Arial" w:hAnsi="Arial" w:cs="Arial"/>
          <w:szCs w:val="22"/>
        </w:rPr>
        <w:t>Incorporating living heritage in formal and non-formal education can take multiple forms as established by the range of projects implemented since the initiation of this programme in later 2017. According to the UNESCO Internal Oversight Service</w:t>
      </w:r>
      <w:r>
        <w:rPr>
          <w:rFonts w:ascii="Arial" w:hAnsi="Arial" w:cs="Arial"/>
          <w:szCs w:val="22"/>
        </w:rPr>
        <w:t xml:space="preserve"> (IOS)</w:t>
      </w:r>
      <w:r w:rsidRPr="00A4452B">
        <w:rPr>
          <w:rFonts w:ascii="Arial" w:hAnsi="Arial" w:cs="Arial"/>
          <w:szCs w:val="22"/>
        </w:rPr>
        <w:t xml:space="preserve"> in 202</w:t>
      </w:r>
      <w:r>
        <w:rPr>
          <w:rFonts w:ascii="Arial" w:hAnsi="Arial" w:cs="Arial"/>
          <w:szCs w:val="22"/>
        </w:rPr>
        <w:t>1</w:t>
      </w:r>
      <w:r w:rsidRPr="00A4452B">
        <w:rPr>
          <w:rFonts w:ascii="Arial" w:hAnsi="Arial" w:cs="Arial"/>
          <w:szCs w:val="22"/>
        </w:rPr>
        <w:t xml:space="preserve"> ‘projects have made some inroads into demonstrating the value of integrating living heritage into educational contexts’ </w:t>
      </w:r>
      <w:r w:rsidRPr="00C74F94">
        <w:rPr>
          <w:rFonts w:ascii="Arial" w:hAnsi="Arial" w:cs="Arial"/>
          <w:szCs w:val="22"/>
        </w:rPr>
        <w:t>(</w:t>
      </w:r>
      <w:r w:rsidRPr="00C74F94">
        <w:rPr>
          <w:rFonts w:ascii="Arial" w:hAnsi="Arial" w:cs="Arial"/>
          <w:lang w:eastAsia="en-US"/>
        </w:rPr>
        <w:t xml:space="preserve">see documents </w:t>
      </w:r>
      <w:hyperlink r:id="rId38" w:history="1">
        <w:r w:rsidRPr="00C74F94">
          <w:rPr>
            <w:rStyle w:val="Hyperlink"/>
            <w:rFonts w:ascii="Arial" w:hAnsi="Arial" w:cs="Arial"/>
            <w:lang w:eastAsia="en-US"/>
          </w:rPr>
          <w:t>LHE/21/16.COM/10</w:t>
        </w:r>
      </w:hyperlink>
      <w:r w:rsidRPr="00C74F94">
        <w:rPr>
          <w:rFonts w:ascii="Arial" w:hAnsi="Arial" w:cs="Arial"/>
          <w:lang w:eastAsia="en-US"/>
        </w:rPr>
        <w:t xml:space="preserve"> and </w:t>
      </w:r>
      <w:hyperlink r:id="rId39" w:history="1">
        <w:r w:rsidRPr="00C74F94">
          <w:rPr>
            <w:rStyle w:val="Hyperlink"/>
            <w:rFonts w:ascii="Arial" w:hAnsi="Arial" w:cs="Arial"/>
            <w:lang w:eastAsia="en-US"/>
          </w:rPr>
          <w:t>LHE/21/16.COM/INF.10</w:t>
        </w:r>
      </w:hyperlink>
      <w:r w:rsidRPr="00C74F94">
        <w:rPr>
          <w:rFonts w:ascii="Arial" w:hAnsi="Arial" w:cs="Arial"/>
          <w:szCs w:val="22"/>
        </w:rPr>
        <w:t>). The</w:t>
      </w:r>
      <w:r w:rsidRPr="00A4452B">
        <w:rPr>
          <w:rFonts w:ascii="Arial" w:hAnsi="Arial" w:cs="Arial"/>
          <w:szCs w:val="22"/>
        </w:rPr>
        <w:t xml:space="preserve"> evaluation highlights that the partnerships developed between communities, ICH culture bearers, and schools is perhaps one of the 'most rewarding features' of the projects carried out thus far.</w:t>
      </w:r>
      <w:r>
        <w:rPr>
          <w:rFonts w:ascii="Arial" w:hAnsi="Arial" w:cs="Arial"/>
          <w:szCs w:val="22"/>
        </w:rPr>
        <w:t xml:space="preserve"> </w:t>
      </w:r>
      <w:r w:rsidRPr="00585FCB">
        <w:rPr>
          <w:rFonts w:ascii="Arial" w:hAnsi="Arial" w:cs="Arial"/>
          <w:noProof/>
          <w:szCs w:val="22"/>
        </w:rPr>
        <w:drawing>
          <wp:anchor distT="0" distB="0" distL="114300" distR="114300" simplePos="0" relativeHeight="251670528" behindDoc="0" locked="0" layoutInCell="1" allowOverlap="1" wp14:anchorId="36E57367" wp14:editId="1B890C83">
            <wp:simplePos x="0" y="0"/>
            <wp:positionH relativeFrom="margin">
              <wp:posOffset>58287</wp:posOffset>
            </wp:positionH>
            <wp:positionV relativeFrom="paragraph">
              <wp:posOffset>71935</wp:posOffset>
            </wp:positionV>
            <wp:extent cx="3200400" cy="2400300"/>
            <wp:effectExtent l="133350" t="114300" r="133350" b="1714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200400" cy="2400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272D37">
        <w:rPr>
          <w:rFonts w:ascii="Arial" w:hAnsi="Arial" w:cs="Arial"/>
          <w:szCs w:val="22"/>
        </w:rPr>
        <w:t>However, to take the programme a step further, it now has to “scale up” to ensure that projects do not remain isolated, but that the lessons learnt will inform educational policies and get firmly anchored in education systems. A solid inter-ministerial approach between the Culture and Education Sectors is required to effectively strengthen the ‘transmission through formal and non-formal education</w:t>
      </w:r>
      <w:r>
        <w:rPr>
          <w:rFonts w:ascii="Arial" w:hAnsi="Arial" w:cs="Arial"/>
          <w:szCs w:val="22"/>
        </w:rPr>
        <w:t>’</w:t>
      </w:r>
      <w:r w:rsidRPr="00272D37">
        <w:rPr>
          <w:rFonts w:ascii="Arial" w:hAnsi="Arial" w:cs="Arial"/>
          <w:szCs w:val="22"/>
        </w:rPr>
        <w:t xml:space="preserve"> as a safeguarding measure and </w:t>
      </w:r>
      <w:r>
        <w:rPr>
          <w:rFonts w:ascii="Arial" w:hAnsi="Arial" w:cs="Arial"/>
          <w:szCs w:val="22"/>
        </w:rPr>
        <w:t xml:space="preserve">enhance </w:t>
      </w:r>
      <w:r w:rsidRPr="00272D37">
        <w:rPr>
          <w:rFonts w:ascii="Arial" w:hAnsi="Arial" w:cs="Arial"/>
          <w:szCs w:val="22"/>
        </w:rPr>
        <w:t xml:space="preserve">respect </w:t>
      </w:r>
      <w:r>
        <w:rPr>
          <w:rFonts w:ascii="Arial" w:hAnsi="Arial" w:cs="Arial"/>
          <w:szCs w:val="22"/>
        </w:rPr>
        <w:t xml:space="preserve">of </w:t>
      </w:r>
      <w:r w:rsidRPr="00272D37">
        <w:rPr>
          <w:rFonts w:ascii="Arial" w:hAnsi="Arial" w:cs="Arial"/>
          <w:szCs w:val="22"/>
        </w:rPr>
        <w:t>and recognition for this living cultural heritage</w:t>
      </w:r>
      <w:r>
        <w:rPr>
          <w:rFonts w:ascii="Arial" w:hAnsi="Arial" w:cs="Arial"/>
          <w:szCs w:val="22"/>
        </w:rPr>
        <w:t xml:space="preserve"> </w:t>
      </w:r>
      <w:r w:rsidRPr="00272D37">
        <w:rPr>
          <w:rFonts w:ascii="Arial" w:hAnsi="Arial" w:cs="Arial"/>
          <w:szCs w:val="22"/>
        </w:rPr>
        <w:t>(Articles 2 and 14 of the Convention) while thereby contributing to relevant and quality education</w:t>
      </w:r>
      <w:r w:rsidRPr="00F7527A">
        <w:rPr>
          <w:rFonts w:ascii="Arial" w:hAnsi="Arial" w:cs="Arial"/>
          <w:szCs w:val="22"/>
        </w:rPr>
        <w:t>.</w:t>
      </w:r>
      <w:r>
        <w:rPr>
          <w:rFonts w:ascii="Arial" w:hAnsi="Arial" w:cs="Arial"/>
          <w:szCs w:val="22"/>
        </w:rPr>
        <w:t xml:space="preserve"> The Overall </w:t>
      </w:r>
      <w:r w:rsidR="004B008B">
        <w:rPr>
          <w:rFonts w:ascii="Arial" w:hAnsi="Arial" w:cs="Arial"/>
          <w:szCs w:val="22"/>
        </w:rPr>
        <w:t>R</w:t>
      </w:r>
      <w:r>
        <w:rPr>
          <w:rFonts w:ascii="Arial" w:hAnsi="Arial" w:cs="Arial"/>
          <w:szCs w:val="22"/>
        </w:rPr>
        <w:t xml:space="preserve">esults </w:t>
      </w:r>
      <w:r w:rsidR="004B008B">
        <w:rPr>
          <w:rFonts w:ascii="Arial" w:hAnsi="Arial" w:cs="Arial"/>
          <w:szCs w:val="22"/>
        </w:rPr>
        <w:t>F</w:t>
      </w:r>
      <w:r>
        <w:rPr>
          <w:rFonts w:ascii="Arial" w:hAnsi="Arial" w:cs="Arial"/>
          <w:szCs w:val="22"/>
        </w:rPr>
        <w:t>ramework for the Convention includes three education-related indicators and one related to education policies. These are guiding the intervention logic of this programme.</w:t>
      </w:r>
    </w:p>
    <w:p w14:paraId="56330687" w14:textId="44B90AD0" w:rsidR="00925A18" w:rsidRPr="00A57A78" w:rsidRDefault="00925A18" w:rsidP="00925A18">
      <w:pPr>
        <w:jc w:val="both"/>
        <w:rPr>
          <w:rFonts w:ascii="Arial" w:hAnsi="Arial" w:cs="Arial"/>
          <w:szCs w:val="22"/>
        </w:rPr>
      </w:pPr>
      <w:r>
        <w:rPr>
          <w:rFonts w:ascii="Arial" w:hAnsi="Arial" w:cs="Arial"/>
          <w:szCs w:val="22"/>
        </w:rPr>
        <w:lastRenderedPageBreak/>
        <w:t>Living heritage</w:t>
      </w:r>
      <w:r w:rsidRPr="00A57A78">
        <w:rPr>
          <w:rFonts w:ascii="Arial" w:hAnsi="Arial" w:cs="Arial"/>
          <w:szCs w:val="22"/>
        </w:rPr>
        <w:t xml:space="preserve"> is a foundation for learning. It can provide context-specific content, meanings, pedagogies, and language for education programmes. By grounding the learning process in one’s own culture and creating possibilities of expanding and transforming existing experiences, intangible cultural heritage acts as a leverage to increase the relevance of education and improve learning outcomes, while promoting mutual respect and appreciation for diversity. Furthermore, intangible cultural heritage supports linking education systems to the local community and vice versa, recogni</w:t>
      </w:r>
      <w:r w:rsidR="004B008B">
        <w:rPr>
          <w:rFonts w:ascii="Arial" w:hAnsi="Arial" w:cs="Arial"/>
          <w:szCs w:val="22"/>
        </w:rPr>
        <w:t>z</w:t>
      </w:r>
      <w:r w:rsidRPr="00A57A78">
        <w:rPr>
          <w:rFonts w:ascii="Arial" w:hAnsi="Arial" w:cs="Arial"/>
          <w:szCs w:val="22"/>
        </w:rPr>
        <w:t>ing the role of the communities in the teaching and learning processes. In this regard, intangible cultural heritage provides a needed and incredibly rich resource</w:t>
      </w:r>
      <w:r>
        <w:rPr>
          <w:rFonts w:ascii="Arial" w:hAnsi="Arial" w:cs="Arial"/>
          <w:szCs w:val="22"/>
        </w:rPr>
        <w:t xml:space="preserve"> for</w:t>
      </w:r>
      <w:r w:rsidRPr="00A57A78">
        <w:rPr>
          <w:rFonts w:ascii="Arial" w:hAnsi="Arial" w:cs="Arial"/>
          <w:szCs w:val="22"/>
        </w:rPr>
        <w:t xml:space="preserve"> attaining SDG 4, notably Target 4.7</w:t>
      </w:r>
      <w:r w:rsidRPr="005C4653">
        <w:t xml:space="preserve"> </w:t>
      </w:r>
      <w:r w:rsidR="004B008B">
        <w:rPr>
          <w:rFonts w:ascii="Arial" w:hAnsi="Arial" w:cs="Arial"/>
          <w:szCs w:val="22"/>
        </w:rPr>
        <w:t>which</w:t>
      </w:r>
      <w:r w:rsidRPr="005C4653">
        <w:rPr>
          <w:rFonts w:ascii="Arial" w:hAnsi="Arial" w:cs="Arial"/>
          <w:szCs w:val="22"/>
        </w:rPr>
        <w:t xml:space="preserve"> emphasizes learning to ‘appreciate cultural diversity’ and to ‘understand the role of culture for development’ together with education for sustainable development and global citizenship. </w:t>
      </w:r>
    </w:p>
    <w:p w14:paraId="7E8E45CD" w14:textId="77777777" w:rsidR="00925A18" w:rsidRDefault="00925A18" w:rsidP="00004DFA">
      <w:pPr>
        <w:spacing w:before="240"/>
        <w:jc w:val="both"/>
        <w:rPr>
          <w:rFonts w:ascii="Arial" w:hAnsi="Arial" w:cs="Arial"/>
          <w:b/>
          <w:bCs/>
          <w:i/>
          <w:iCs/>
          <w:szCs w:val="22"/>
        </w:rPr>
      </w:pPr>
      <w:r w:rsidRPr="00D0160C">
        <w:rPr>
          <w:rFonts w:ascii="Arial" w:hAnsi="Arial" w:cs="Arial"/>
          <w:b/>
          <w:bCs/>
          <w:i/>
          <w:iCs/>
          <w:szCs w:val="22"/>
        </w:rPr>
        <w:t>Progress and achievements</w:t>
      </w:r>
    </w:p>
    <w:p w14:paraId="73F0CA2C" w14:textId="42C0C8D8" w:rsidR="00B6214D" w:rsidRDefault="00925A18" w:rsidP="00B6214D">
      <w:pPr>
        <w:jc w:val="both"/>
        <w:rPr>
          <w:rFonts w:ascii="Arial" w:hAnsi="Arial" w:cs="Arial"/>
          <w:szCs w:val="22"/>
        </w:rPr>
      </w:pPr>
      <w:r>
        <w:rPr>
          <w:rFonts w:ascii="Arial" w:hAnsi="Arial" w:cs="Arial"/>
          <w:szCs w:val="22"/>
        </w:rPr>
        <w:t>The</w:t>
      </w:r>
      <w:r w:rsidRPr="00A57A78">
        <w:rPr>
          <w:rFonts w:ascii="Arial" w:hAnsi="Arial" w:cs="Arial"/>
          <w:szCs w:val="22"/>
        </w:rPr>
        <w:t xml:space="preserve"> first phase of </w:t>
      </w:r>
      <w:r>
        <w:rPr>
          <w:rFonts w:ascii="Arial" w:hAnsi="Arial" w:cs="Arial"/>
          <w:szCs w:val="22"/>
        </w:rPr>
        <w:t>the P</w:t>
      </w:r>
      <w:r w:rsidRPr="00A57A78">
        <w:rPr>
          <w:rFonts w:ascii="Arial" w:hAnsi="Arial" w:cs="Arial"/>
          <w:szCs w:val="22"/>
        </w:rPr>
        <w:t xml:space="preserve">rogramme implementation (2018 to 2021) focused on providing technical support to Member States to design and implement a wide range of projects to develop and test methods and tools to integrate living heritage in education programmes. Technical support was provided to raise awareness for the important role that education can play for safeguarding living heritage, and to promote intersectoral collaboration at </w:t>
      </w:r>
      <w:r w:rsidR="004B008B">
        <w:rPr>
          <w:rFonts w:ascii="Arial" w:hAnsi="Arial" w:cs="Arial"/>
          <w:szCs w:val="22"/>
        </w:rPr>
        <w:t xml:space="preserve">the </w:t>
      </w:r>
      <w:r w:rsidRPr="00A57A78">
        <w:rPr>
          <w:rFonts w:ascii="Arial" w:hAnsi="Arial" w:cs="Arial"/>
          <w:szCs w:val="22"/>
        </w:rPr>
        <w:t>national level. Moreover, UNESCO developed</w:t>
      </w:r>
      <w:r>
        <w:rPr>
          <w:rFonts w:ascii="Arial" w:hAnsi="Arial" w:cs="Arial"/>
          <w:szCs w:val="22"/>
        </w:rPr>
        <w:t xml:space="preserve"> a</w:t>
      </w:r>
      <w:r w:rsidRPr="00A57A78">
        <w:rPr>
          <w:rFonts w:ascii="Arial" w:hAnsi="Arial" w:cs="Arial"/>
          <w:szCs w:val="22"/>
        </w:rPr>
        <w:t xml:space="preserve"> </w:t>
      </w:r>
      <w:hyperlink r:id="rId41" w:history="1">
        <w:r w:rsidRPr="00380A4E">
          <w:rPr>
            <w:rStyle w:val="Hyperlink"/>
            <w:rFonts w:ascii="Arial" w:hAnsi="Arial" w:cs="Arial"/>
            <w:szCs w:val="22"/>
          </w:rPr>
          <w:t>Clearinghouse</w:t>
        </w:r>
      </w:hyperlink>
      <w:r>
        <w:rPr>
          <w:rFonts w:ascii="Arial" w:hAnsi="Arial" w:cs="Arial"/>
          <w:szCs w:val="22"/>
        </w:rPr>
        <w:t xml:space="preserve"> for knowledge-sharing and </w:t>
      </w:r>
      <w:r w:rsidRPr="00A57A78">
        <w:rPr>
          <w:rFonts w:ascii="Arial" w:hAnsi="Arial" w:cs="Arial"/>
          <w:szCs w:val="22"/>
        </w:rPr>
        <w:t>a dedicated instructor-</w:t>
      </w:r>
      <w:r>
        <w:rPr>
          <w:rFonts w:ascii="Arial" w:hAnsi="Arial" w:cs="Arial"/>
          <w:szCs w:val="22"/>
        </w:rPr>
        <w:t>p</w:t>
      </w:r>
      <w:r w:rsidRPr="00A57A78">
        <w:rPr>
          <w:rFonts w:ascii="Arial" w:hAnsi="Arial" w:cs="Arial"/>
          <w:szCs w:val="22"/>
        </w:rPr>
        <w:t>a</w:t>
      </w:r>
      <w:r>
        <w:rPr>
          <w:rFonts w:ascii="Arial" w:hAnsi="Arial" w:cs="Arial"/>
          <w:szCs w:val="22"/>
        </w:rPr>
        <w:t>c</w:t>
      </w:r>
      <w:r w:rsidRPr="00A57A78">
        <w:rPr>
          <w:rFonts w:ascii="Arial" w:hAnsi="Arial" w:cs="Arial"/>
          <w:szCs w:val="22"/>
        </w:rPr>
        <w:t>ed online training of trainers’ course which generated a learning network of resource persons on living heritage and education that is well equipped to provide training and advisory services upon request in this new area of work.</w:t>
      </w:r>
      <w:r>
        <w:rPr>
          <w:rFonts w:ascii="Arial" w:hAnsi="Arial" w:cs="Arial"/>
          <w:szCs w:val="22"/>
        </w:rPr>
        <w:t xml:space="preserve"> </w:t>
      </w:r>
    </w:p>
    <w:p w14:paraId="58400C21" w14:textId="09E0B0EC" w:rsidR="00925A18" w:rsidRDefault="00925A18" w:rsidP="00B6214D">
      <w:pPr>
        <w:jc w:val="both"/>
        <w:rPr>
          <w:rFonts w:ascii="Arial" w:hAnsi="Arial" w:cs="Arial"/>
          <w:szCs w:val="22"/>
        </w:rPr>
      </w:pPr>
      <w:r w:rsidRPr="00F92838">
        <w:rPr>
          <w:rFonts w:ascii="Arial" w:hAnsi="Arial" w:cs="Arial"/>
          <w:szCs w:val="22"/>
        </w:rPr>
        <w:t>An important programme outcome of this work is that the role of living heritage and its importance for achieving SDG 4 for quality education is now better understood and illustrated. Furthermore, according to the IOS evaluation, projects undertaken in this area have led to</w:t>
      </w:r>
      <w:r>
        <w:rPr>
          <w:rFonts w:ascii="Arial" w:hAnsi="Arial" w:cs="Arial"/>
          <w:szCs w:val="22"/>
        </w:rPr>
        <w:t xml:space="preserve">, </w:t>
      </w:r>
      <w:r w:rsidRPr="00F92838">
        <w:rPr>
          <w:rFonts w:ascii="Arial" w:hAnsi="Arial" w:cs="Arial"/>
          <w:szCs w:val="22"/>
        </w:rPr>
        <w:t xml:space="preserve">at least six outcomes, in particular an increased awareness of and respect for ICH amongst youth and the wider community. The importance of ICH as a vehicle for fostering identity, pride, and appreciation for cultural diversity was also observed. Participating teachers developed capacities and confidence to integrate ICH in their teaching practice and in some countries more opportunities to pursue the study of ICH in post-secondary level were created. </w:t>
      </w:r>
      <w:r w:rsidRPr="008B6172">
        <w:rPr>
          <w:rFonts w:ascii="Arial" w:hAnsi="Arial" w:cs="Arial"/>
          <w:szCs w:val="22"/>
        </w:rPr>
        <w:t xml:space="preserve">In addition, the IOS evaluation acknowledged the progress made in consolidating and sharing knowledge in this intersectoral area and establishing initial collaboration among governments and stakeholders such </w:t>
      </w:r>
      <w:r w:rsidR="004B008B">
        <w:rPr>
          <w:rFonts w:ascii="Arial" w:hAnsi="Arial" w:cs="Arial"/>
          <w:szCs w:val="22"/>
        </w:rPr>
        <w:t xml:space="preserve">as </w:t>
      </w:r>
      <w:r w:rsidRPr="008B6172">
        <w:rPr>
          <w:rFonts w:ascii="Arial" w:hAnsi="Arial" w:cs="Arial"/>
          <w:szCs w:val="22"/>
        </w:rPr>
        <w:t>communities, NGOs</w:t>
      </w:r>
      <w:r w:rsidR="004B008B">
        <w:rPr>
          <w:rFonts w:ascii="Arial" w:hAnsi="Arial" w:cs="Arial"/>
          <w:szCs w:val="22"/>
        </w:rPr>
        <w:t xml:space="preserve"> and</w:t>
      </w:r>
      <w:r w:rsidRPr="008B6172">
        <w:rPr>
          <w:rFonts w:ascii="Arial" w:hAnsi="Arial" w:cs="Arial"/>
          <w:szCs w:val="22"/>
        </w:rPr>
        <w:t xml:space="preserve"> cultural heritage institutions, among others, to support this work.</w:t>
      </w:r>
    </w:p>
    <w:p w14:paraId="2C1E31CB" w14:textId="77777777" w:rsidR="00925A18" w:rsidRPr="00D0160C" w:rsidRDefault="00925A18" w:rsidP="00004DFA">
      <w:pPr>
        <w:spacing w:before="240"/>
        <w:jc w:val="both"/>
        <w:rPr>
          <w:rFonts w:ascii="Arial" w:hAnsi="Arial" w:cs="Arial"/>
          <w:b/>
          <w:bCs/>
          <w:i/>
          <w:iCs/>
          <w:szCs w:val="22"/>
        </w:rPr>
      </w:pPr>
      <w:r>
        <w:rPr>
          <w:rFonts w:ascii="Arial" w:hAnsi="Arial" w:cs="Arial"/>
          <w:b/>
          <w:bCs/>
          <w:i/>
          <w:iCs/>
          <w:szCs w:val="22"/>
        </w:rPr>
        <w:t>C</w:t>
      </w:r>
      <w:r w:rsidRPr="00D0160C">
        <w:rPr>
          <w:rFonts w:ascii="Arial" w:hAnsi="Arial" w:cs="Arial"/>
          <w:b/>
          <w:bCs/>
          <w:i/>
          <w:iCs/>
          <w:szCs w:val="22"/>
        </w:rPr>
        <w:t>hallenge</w:t>
      </w:r>
      <w:r>
        <w:rPr>
          <w:rFonts w:ascii="Arial" w:hAnsi="Arial" w:cs="Arial"/>
          <w:b/>
          <w:bCs/>
          <w:i/>
          <w:iCs/>
          <w:szCs w:val="22"/>
        </w:rPr>
        <w:t>s and expected impact</w:t>
      </w:r>
    </w:p>
    <w:p w14:paraId="1D69107D" w14:textId="264242A7" w:rsidR="00925A18" w:rsidRPr="00F7527A" w:rsidRDefault="00925A18" w:rsidP="00925A18">
      <w:pPr>
        <w:jc w:val="both"/>
        <w:rPr>
          <w:rFonts w:ascii="Arial" w:hAnsi="Arial" w:cs="Arial"/>
          <w:szCs w:val="22"/>
        </w:rPr>
      </w:pPr>
      <w:r w:rsidRPr="00A57A78">
        <w:rPr>
          <w:rFonts w:ascii="Arial" w:hAnsi="Arial" w:cs="Arial"/>
          <w:szCs w:val="22"/>
        </w:rPr>
        <w:t>However, the IOS evaluation emphasi</w:t>
      </w:r>
      <w:r w:rsidR="004B008B">
        <w:rPr>
          <w:rFonts w:ascii="Arial" w:hAnsi="Arial" w:cs="Arial"/>
          <w:szCs w:val="22"/>
        </w:rPr>
        <w:t>z</w:t>
      </w:r>
      <w:r w:rsidRPr="00A57A78">
        <w:rPr>
          <w:rFonts w:ascii="Arial" w:hAnsi="Arial" w:cs="Arial"/>
          <w:szCs w:val="22"/>
        </w:rPr>
        <w:t>ed that</w:t>
      </w:r>
      <w:r>
        <w:rPr>
          <w:rFonts w:ascii="Arial" w:hAnsi="Arial" w:cs="Arial"/>
          <w:szCs w:val="22"/>
        </w:rPr>
        <w:t xml:space="preserve"> while</w:t>
      </w:r>
      <w:r w:rsidRPr="00A57A78">
        <w:rPr>
          <w:rFonts w:ascii="Arial" w:hAnsi="Arial" w:cs="Arial"/>
          <w:szCs w:val="22"/>
        </w:rPr>
        <w:t xml:space="preserve"> </w:t>
      </w:r>
      <w:r>
        <w:rPr>
          <w:rFonts w:ascii="Arial" w:hAnsi="Arial" w:cs="Arial"/>
          <w:szCs w:val="22"/>
        </w:rPr>
        <w:t>some progress has been achieved through projects</w:t>
      </w:r>
      <w:r w:rsidRPr="00A57A78">
        <w:rPr>
          <w:rFonts w:ascii="Arial" w:hAnsi="Arial" w:cs="Arial"/>
          <w:szCs w:val="22"/>
        </w:rPr>
        <w:t xml:space="preserve">, </w:t>
      </w:r>
      <w:r w:rsidR="004B008B">
        <w:rPr>
          <w:rFonts w:ascii="Arial" w:hAnsi="Arial" w:cs="Arial"/>
          <w:szCs w:val="22"/>
        </w:rPr>
        <w:t>it</w:t>
      </w:r>
      <w:r w:rsidR="004B008B" w:rsidRPr="00A57A78">
        <w:rPr>
          <w:rFonts w:ascii="Arial" w:hAnsi="Arial" w:cs="Arial"/>
          <w:szCs w:val="22"/>
        </w:rPr>
        <w:t xml:space="preserve"> </w:t>
      </w:r>
      <w:r w:rsidRPr="00A57A78">
        <w:rPr>
          <w:rFonts w:ascii="Arial" w:hAnsi="Arial" w:cs="Arial"/>
          <w:szCs w:val="22"/>
        </w:rPr>
        <w:t>tend</w:t>
      </w:r>
      <w:r w:rsidR="004B008B">
        <w:rPr>
          <w:rFonts w:ascii="Arial" w:hAnsi="Arial" w:cs="Arial"/>
          <w:szCs w:val="22"/>
        </w:rPr>
        <w:t>s</w:t>
      </w:r>
      <w:r w:rsidRPr="00A57A78">
        <w:rPr>
          <w:rFonts w:ascii="Arial" w:hAnsi="Arial" w:cs="Arial"/>
          <w:szCs w:val="22"/>
        </w:rPr>
        <w:t xml:space="preserve"> to be isolated and local. Scaling up with a more strategic focus on education systems is needed to </w:t>
      </w:r>
      <w:r>
        <w:rPr>
          <w:rFonts w:ascii="Arial" w:hAnsi="Arial" w:cs="Arial"/>
          <w:szCs w:val="22"/>
        </w:rPr>
        <w:t xml:space="preserve">promote a pedagogical shift and effectively </w:t>
      </w:r>
      <w:r w:rsidRPr="00A57A78">
        <w:rPr>
          <w:rFonts w:ascii="Arial" w:hAnsi="Arial" w:cs="Arial"/>
          <w:szCs w:val="22"/>
        </w:rPr>
        <w:t xml:space="preserve">feed </w:t>
      </w:r>
      <w:r>
        <w:rPr>
          <w:rFonts w:ascii="Arial" w:hAnsi="Arial" w:cs="Arial"/>
          <w:szCs w:val="22"/>
        </w:rPr>
        <w:t xml:space="preserve">results </w:t>
      </w:r>
      <w:r w:rsidRPr="00A57A78">
        <w:rPr>
          <w:rFonts w:ascii="Arial" w:hAnsi="Arial" w:cs="Arial"/>
          <w:szCs w:val="22"/>
        </w:rPr>
        <w:t xml:space="preserve">into the national discourse and advance the </w:t>
      </w:r>
      <w:r>
        <w:rPr>
          <w:rFonts w:ascii="Arial" w:hAnsi="Arial" w:cs="Arial"/>
          <w:szCs w:val="22"/>
        </w:rPr>
        <w:t xml:space="preserve">2030 </w:t>
      </w:r>
      <w:r w:rsidRPr="00A57A78">
        <w:rPr>
          <w:rFonts w:ascii="Arial" w:hAnsi="Arial" w:cs="Arial"/>
          <w:szCs w:val="22"/>
        </w:rPr>
        <w:t>Agenda</w:t>
      </w:r>
      <w:r>
        <w:rPr>
          <w:rFonts w:ascii="Arial" w:hAnsi="Arial" w:cs="Arial"/>
          <w:szCs w:val="22"/>
        </w:rPr>
        <w:t xml:space="preserve"> </w:t>
      </w:r>
      <w:r w:rsidRPr="00A57A78">
        <w:rPr>
          <w:rFonts w:ascii="Arial" w:hAnsi="Arial" w:cs="Arial"/>
          <w:szCs w:val="22"/>
        </w:rPr>
        <w:t>through education and culture</w:t>
      </w:r>
      <w:r>
        <w:rPr>
          <w:rFonts w:ascii="Arial" w:hAnsi="Arial" w:cs="Arial"/>
          <w:szCs w:val="22"/>
        </w:rPr>
        <w:t xml:space="preserve">. </w:t>
      </w:r>
      <w:r w:rsidR="004B008B">
        <w:rPr>
          <w:rFonts w:ascii="Arial" w:hAnsi="Arial" w:cs="Arial"/>
          <w:szCs w:val="22"/>
        </w:rPr>
        <w:t>I</w:t>
      </w:r>
      <w:r w:rsidRPr="00F7527A">
        <w:rPr>
          <w:rFonts w:ascii="Arial" w:hAnsi="Arial" w:cs="Arial"/>
          <w:szCs w:val="22"/>
        </w:rPr>
        <w:t>n many places, education systems are not giving due consideration to</w:t>
      </w:r>
      <w:r>
        <w:rPr>
          <w:rFonts w:ascii="Arial" w:hAnsi="Arial" w:cs="Arial"/>
          <w:szCs w:val="22"/>
        </w:rPr>
        <w:t xml:space="preserve"> </w:t>
      </w:r>
      <w:r w:rsidRPr="00F7527A">
        <w:rPr>
          <w:rFonts w:ascii="Arial" w:hAnsi="Arial" w:cs="Arial"/>
          <w:szCs w:val="22"/>
        </w:rPr>
        <w:t>the important role they can play in the living heritage safeguarding process nor are they harnessing its potential to improve education quality and relevance.</w:t>
      </w:r>
    </w:p>
    <w:p w14:paraId="62AA59C9" w14:textId="77777777" w:rsidR="00925A18" w:rsidRDefault="00925A18" w:rsidP="00925A18">
      <w:pPr>
        <w:jc w:val="both"/>
        <w:rPr>
          <w:rFonts w:ascii="Arial" w:hAnsi="Arial" w:cs="Arial"/>
          <w:szCs w:val="22"/>
        </w:rPr>
      </w:pPr>
      <w:r>
        <w:rPr>
          <w:rFonts w:ascii="Arial" w:hAnsi="Arial" w:cs="Arial"/>
          <w:szCs w:val="22"/>
        </w:rPr>
        <w:t>Based on the assessment and</w:t>
      </w:r>
      <w:r w:rsidRPr="00A57A78">
        <w:rPr>
          <w:rFonts w:ascii="Arial" w:hAnsi="Arial" w:cs="Arial"/>
          <w:szCs w:val="22"/>
        </w:rPr>
        <w:t xml:space="preserve"> insights </w:t>
      </w:r>
      <w:r>
        <w:rPr>
          <w:rFonts w:ascii="Arial" w:hAnsi="Arial" w:cs="Arial"/>
          <w:szCs w:val="22"/>
        </w:rPr>
        <w:t xml:space="preserve">gained </w:t>
      </w:r>
      <w:r w:rsidRPr="00A57A78">
        <w:rPr>
          <w:rFonts w:ascii="Arial" w:hAnsi="Arial" w:cs="Arial"/>
          <w:szCs w:val="22"/>
        </w:rPr>
        <w:t>from substantive work carried out in related fields</w:t>
      </w:r>
      <w:r>
        <w:rPr>
          <w:rFonts w:ascii="Arial" w:hAnsi="Arial" w:cs="Arial"/>
          <w:szCs w:val="22"/>
        </w:rPr>
        <w:t>,</w:t>
      </w:r>
      <w:r w:rsidRPr="00A57A78">
        <w:rPr>
          <w:rFonts w:ascii="Arial" w:hAnsi="Arial" w:cs="Arial"/>
          <w:szCs w:val="22"/>
        </w:rPr>
        <w:t xml:space="preserve"> such as intercultural education, indigenous education, education for sustainable development</w:t>
      </w:r>
      <w:r>
        <w:rPr>
          <w:rFonts w:ascii="Arial" w:hAnsi="Arial" w:cs="Arial"/>
          <w:szCs w:val="22"/>
        </w:rPr>
        <w:t xml:space="preserve">, and </w:t>
      </w:r>
      <w:r w:rsidRPr="00A57A78">
        <w:rPr>
          <w:rFonts w:ascii="Arial" w:hAnsi="Arial" w:cs="Arial"/>
          <w:szCs w:val="22"/>
        </w:rPr>
        <w:t xml:space="preserve">others, UNESCO will centre its efforts on further expanding and scaling up the intersectoral </w:t>
      </w:r>
      <w:r>
        <w:rPr>
          <w:rFonts w:ascii="Arial" w:hAnsi="Arial" w:cs="Arial"/>
          <w:szCs w:val="22"/>
        </w:rPr>
        <w:t>P</w:t>
      </w:r>
      <w:r w:rsidRPr="00A57A78">
        <w:rPr>
          <w:rFonts w:ascii="Arial" w:hAnsi="Arial" w:cs="Arial"/>
          <w:szCs w:val="22"/>
        </w:rPr>
        <w:t xml:space="preserve">rogramme for greater impact and sustainability. </w:t>
      </w:r>
    </w:p>
    <w:p w14:paraId="3C434DB6" w14:textId="77777777" w:rsidR="00925A18" w:rsidRDefault="00925A18" w:rsidP="00925A18">
      <w:pPr>
        <w:jc w:val="both"/>
        <w:rPr>
          <w:rFonts w:ascii="Arial" w:hAnsi="Arial" w:cs="Arial"/>
          <w:szCs w:val="22"/>
        </w:rPr>
      </w:pPr>
      <w:r w:rsidRPr="00B16C18">
        <w:rPr>
          <w:rFonts w:ascii="Arial" w:hAnsi="Arial" w:cs="Arial"/>
          <w:szCs w:val="22"/>
        </w:rPr>
        <w:t>The longer-term impact of the Programme is to ensure that living heritage is valued and safeguarded as an integral part of quality and transformative education in a greater number of national education systems and through collaboration with bearers, thereby contributing to the well-being, creativity and dignity of learners and their communities, as well as to the achievement of the SDGs, in particular SDG 4</w:t>
      </w:r>
      <w:r>
        <w:rPr>
          <w:rFonts w:ascii="Arial" w:hAnsi="Arial" w:cs="Arial"/>
          <w:szCs w:val="22"/>
        </w:rPr>
        <w:t>. The outcomes and outputs below concern all levels of education from early childhood to post-secondary and provide the road map to eventually achieve the expected impact.</w:t>
      </w:r>
    </w:p>
    <w:p w14:paraId="7D0902D9" w14:textId="77777777" w:rsidR="00925A18" w:rsidRPr="00585FCB" w:rsidRDefault="00925A18" w:rsidP="00925A18">
      <w:pPr>
        <w:jc w:val="both"/>
        <w:rPr>
          <w:rFonts w:ascii="Arial" w:eastAsia="@Arial Unicode MS" w:hAnsi="Arial" w:cs="Arial"/>
          <w:szCs w:val="22"/>
          <w:lang w:eastAsia="en-US"/>
        </w:rPr>
      </w:pPr>
      <w:r>
        <w:rPr>
          <w:rFonts w:ascii="Arial" w:hAnsi="Arial" w:cs="Arial"/>
          <w:szCs w:val="22"/>
        </w:rPr>
        <w:lastRenderedPageBreak/>
        <w:t>The intervention logic reflected in the table below drew from the Theory of Change proposed for this Programme in the IOS evaluation. It is aligned with the Overall results framework for the Convention.</w:t>
      </w:r>
    </w:p>
    <w:p w14:paraId="5DBF46D3" w14:textId="77777777" w:rsidR="00925A18" w:rsidRPr="00AF408A" w:rsidRDefault="00925A18" w:rsidP="00925A18">
      <w:pPr>
        <w:keepNext/>
        <w:shd w:val="clear" w:color="auto" w:fill="0077D4"/>
        <w:tabs>
          <w:tab w:val="left" w:pos="567"/>
        </w:tabs>
        <w:snapToGrid w:val="0"/>
        <w:spacing w:before="240"/>
        <w:ind w:left="-144"/>
        <w:rPr>
          <w:rFonts w:ascii="Arial" w:eastAsia="Calibri" w:hAnsi="Arial" w:cs="Arial"/>
          <w:color w:val="FFFFFF"/>
          <w:sz w:val="28"/>
          <w:szCs w:val="28"/>
          <w:lang w:val="en-US" w:eastAsia="en-US"/>
        </w:rPr>
      </w:pPr>
      <w:r w:rsidRPr="00F1024D">
        <w:rPr>
          <w:rFonts w:ascii="Arial" w:eastAsia="Calibri" w:hAnsi="Arial" w:cs="Arial"/>
          <w:color w:val="FFFFFF"/>
          <w:sz w:val="28"/>
          <w:szCs w:val="28"/>
          <w:lang w:val="en-US" w:eastAsia="en-US"/>
        </w:rPr>
        <w:t xml:space="preserve">Summary of </w:t>
      </w:r>
      <w:r>
        <w:rPr>
          <w:rFonts w:ascii="Arial" w:eastAsia="Calibri" w:hAnsi="Arial" w:cs="Arial"/>
          <w:color w:val="FFFFFF"/>
          <w:sz w:val="28"/>
          <w:szCs w:val="28"/>
          <w:lang w:val="en-US" w:eastAsia="en-US"/>
        </w:rPr>
        <w:t xml:space="preserve">impact, </w:t>
      </w:r>
      <w:r w:rsidRPr="00F1024D">
        <w:rPr>
          <w:rFonts w:ascii="Arial" w:eastAsia="Calibri" w:hAnsi="Arial" w:cs="Arial"/>
          <w:color w:val="FFFFFF"/>
          <w:sz w:val="28"/>
          <w:szCs w:val="28"/>
          <w:lang w:val="en-US" w:eastAsia="en-US"/>
        </w:rPr>
        <w:t>outcomes</w:t>
      </w:r>
      <w:r>
        <w:rPr>
          <w:rFonts w:ascii="Arial" w:eastAsia="Calibri" w:hAnsi="Arial" w:cs="Arial"/>
          <w:color w:val="FFFFFF"/>
          <w:sz w:val="28"/>
          <w:szCs w:val="28"/>
          <w:lang w:val="en-US" w:eastAsia="en-US"/>
        </w:rPr>
        <w:t xml:space="preserve"> and </w:t>
      </w:r>
      <w:r w:rsidRPr="00F1024D">
        <w:rPr>
          <w:rFonts w:ascii="Arial" w:eastAsia="Calibri" w:hAnsi="Arial" w:cs="Arial"/>
          <w:color w:val="FFFFFF"/>
          <w:sz w:val="28"/>
          <w:szCs w:val="28"/>
          <w:lang w:val="en-US" w:eastAsia="en-US"/>
        </w:rPr>
        <w:t>outputs</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664"/>
      </w:tblGrid>
      <w:tr w:rsidR="00925A18" w:rsidRPr="008E5AD2" w14:paraId="23DB9471" w14:textId="77777777" w:rsidTr="00555110">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108" w:type="dxa"/>
              <w:bottom w:w="57" w:type="dxa"/>
              <w:right w:w="108" w:type="dxa"/>
            </w:tcMar>
          </w:tcPr>
          <w:p w14:paraId="0E0D0092" w14:textId="77777777" w:rsidR="00925A18" w:rsidRPr="00CB71EE" w:rsidRDefault="00925A18" w:rsidP="00555110">
            <w:pPr>
              <w:spacing w:before="60" w:after="60"/>
              <w:jc w:val="both"/>
              <w:rPr>
                <w:rFonts w:ascii="Arial" w:eastAsia="@Arial Unicode MS" w:hAnsi="Arial" w:cs="Arial"/>
                <w:szCs w:val="22"/>
                <w:lang w:eastAsia="en-US"/>
              </w:rPr>
            </w:pPr>
            <w:r w:rsidRPr="00CB71EE">
              <w:rPr>
                <w:rFonts w:ascii="Arial" w:hAnsi="Arial" w:cs="Arial"/>
                <w:b/>
                <w:bCs/>
                <w:lang w:eastAsia="en-US"/>
              </w:rPr>
              <w:t xml:space="preserve">Impact: </w:t>
            </w:r>
            <w:r w:rsidRPr="00CB71EE">
              <w:rPr>
                <w:rFonts w:ascii="Arial" w:hAnsi="Arial" w:cs="Arial"/>
                <w:lang w:eastAsia="en-US"/>
              </w:rPr>
              <w:t>Living heritage is appreciated and safeguarded as an integral part of quality and transformative education in an increased number of national education systems and through collaboration with the bearers, thereby contributing to the well-being, creativity and</w:t>
            </w:r>
            <w:r w:rsidRPr="00CB71EE">
              <w:rPr>
                <w:rFonts w:ascii="Arial" w:hAnsi="Arial" w:cs="Arial"/>
                <w:szCs w:val="22"/>
                <w:lang w:eastAsia="en-US"/>
              </w:rPr>
              <w:t xml:space="preserve"> dignity of learners and their communities and to the attainment of the SDGs, notably SDG 4.</w:t>
            </w:r>
          </w:p>
        </w:tc>
      </w:tr>
      <w:tr w:rsidR="00925A18" w:rsidRPr="00B54EF0" w14:paraId="0E1732A1" w14:textId="77777777" w:rsidTr="00555110">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39DA7DC1" w14:textId="77777777" w:rsidR="00925A18" w:rsidRPr="00585FCB" w:rsidRDefault="00925A18" w:rsidP="00555110">
            <w:pPr>
              <w:jc w:val="both"/>
              <w:rPr>
                <w:rFonts w:ascii="Arial" w:hAnsi="Arial" w:cs="Arial"/>
                <w:b/>
                <w:bCs/>
                <w:color w:val="0070C0"/>
                <w:szCs w:val="22"/>
                <w:lang w:eastAsia="en-US"/>
              </w:rPr>
            </w:pPr>
            <w:bookmarkStart w:id="5" w:name="_Hlk84947445"/>
            <w:r w:rsidRPr="00585FCB">
              <w:rPr>
                <w:rFonts w:ascii="Arial" w:hAnsi="Arial" w:cs="Arial"/>
                <w:b/>
                <w:bCs/>
                <w:szCs w:val="22"/>
                <w:lang w:eastAsia="en-US"/>
              </w:rPr>
              <w:t xml:space="preserve">Outcome N°1: </w:t>
            </w:r>
            <w:r w:rsidRPr="00585FCB">
              <w:rPr>
                <w:rFonts w:ascii="Arial" w:eastAsia="@Arial Unicode MS" w:hAnsi="Arial" w:cs="Arial"/>
                <w:szCs w:val="22"/>
                <w:lang w:eastAsia="en-US"/>
              </w:rPr>
              <w:t xml:space="preserve">Countries support work </w:t>
            </w:r>
            <w:r>
              <w:rPr>
                <w:rFonts w:ascii="Arial" w:eastAsia="@Arial Unicode MS" w:hAnsi="Arial" w:cs="Arial"/>
                <w:szCs w:val="22"/>
                <w:lang w:eastAsia="en-US"/>
              </w:rPr>
              <w:t>for</w:t>
            </w:r>
            <w:r w:rsidRPr="00585FCB">
              <w:rPr>
                <w:rFonts w:ascii="Arial" w:eastAsia="@Arial Unicode MS" w:hAnsi="Arial" w:cs="Arial"/>
                <w:szCs w:val="22"/>
                <w:lang w:eastAsia="en-US"/>
              </w:rPr>
              <w:t xml:space="preserve"> a pedagogical shift </w:t>
            </w:r>
            <w:r>
              <w:rPr>
                <w:rFonts w:ascii="Arial" w:eastAsia="@Arial Unicode MS" w:hAnsi="Arial" w:cs="Arial"/>
                <w:szCs w:val="22"/>
                <w:lang w:eastAsia="en-US"/>
              </w:rPr>
              <w:t>to</w:t>
            </w:r>
            <w:r w:rsidRPr="00585FCB">
              <w:rPr>
                <w:rFonts w:ascii="Arial" w:eastAsia="@Arial Unicode MS" w:hAnsi="Arial" w:cs="Arial"/>
                <w:szCs w:val="22"/>
                <w:lang w:eastAsia="en-US"/>
              </w:rPr>
              <w:t xml:space="preserve"> bring learners’ living heritage into formal and non-formal education which involves transformative methodology and the identification of living heritage, connecting them to attain learning objectives aligned with specific targets of SDG 4</w:t>
            </w:r>
            <w:r>
              <w:rPr>
                <w:rFonts w:ascii="Arial" w:eastAsia="@Arial Unicode MS" w:hAnsi="Arial" w:cs="Arial"/>
                <w:szCs w:val="22"/>
                <w:lang w:eastAsia="en-US"/>
              </w:rPr>
              <w:t>.</w:t>
            </w:r>
          </w:p>
        </w:tc>
      </w:tr>
      <w:tr w:rsidR="00925A18" w:rsidRPr="0026636A" w14:paraId="6B38D318" w14:textId="77777777" w:rsidTr="00555110">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108" w:type="dxa"/>
              <w:bottom w:w="57" w:type="dxa"/>
              <w:right w:w="108" w:type="dxa"/>
            </w:tcMar>
          </w:tcPr>
          <w:p w14:paraId="2AFDF1FA" w14:textId="4ADD42C8" w:rsidR="00925A18" w:rsidRPr="00585FCB" w:rsidRDefault="00925A18" w:rsidP="00555110">
            <w:pPr>
              <w:jc w:val="both"/>
              <w:rPr>
                <w:rFonts w:ascii="Arial" w:hAnsi="Arial" w:cs="Arial"/>
                <w:b/>
                <w:bCs/>
                <w:szCs w:val="22"/>
                <w:lang w:eastAsia="en-US"/>
              </w:rPr>
            </w:pPr>
            <w:r w:rsidRPr="00585FCB">
              <w:rPr>
                <w:rFonts w:ascii="Arial" w:hAnsi="Arial" w:cs="Arial"/>
                <w:b/>
                <w:bCs/>
                <w:szCs w:val="22"/>
                <w:lang w:eastAsia="en-US"/>
              </w:rPr>
              <w:t>Output N°1</w:t>
            </w:r>
            <w:r w:rsidR="00FA2D88">
              <w:rPr>
                <w:rFonts w:ascii="Arial" w:hAnsi="Arial" w:cs="Arial"/>
                <w:b/>
                <w:bCs/>
                <w:szCs w:val="22"/>
                <w:lang w:eastAsia="en-US"/>
              </w:rPr>
              <w:t>.1</w:t>
            </w:r>
            <w:r w:rsidRPr="00585FCB">
              <w:rPr>
                <w:rFonts w:ascii="Arial" w:hAnsi="Arial" w:cs="Arial"/>
                <w:b/>
                <w:bCs/>
                <w:szCs w:val="22"/>
                <w:lang w:eastAsia="en-US"/>
              </w:rPr>
              <w:t>:</w:t>
            </w:r>
            <w:r w:rsidRPr="00585FCB">
              <w:rPr>
                <w:rFonts w:ascii="Arial" w:hAnsi="Arial" w:cs="Arial"/>
                <w:szCs w:val="22"/>
                <w:lang w:eastAsia="en-US"/>
              </w:rPr>
              <w:t xml:space="preserve"> Methods and assessment tools for integrating intangible cultural heritage in formal, non-formal and post-secondary education, including </w:t>
            </w:r>
            <w:r w:rsidR="004B008B" w:rsidRPr="00212E7E">
              <w:rPr>
                <w:rFonts w:ascii="Arial" w:eastAsia="@Arial Unicode MS" w:hAnsi="Arial" w:cs="Arial"/>
                <w:bCs/>
                <w:szCs w:val="22"/>
              </w:rPr>
              <w:t>technical and vocational training</w:t>
            </w:r>
            <w:r w:rsidRPr="00585FCB">
              <w:rPr>
                <w:rFonts w:ascii="Arial" w:hAnsi="Arial" w:cs="Arial"/>
                <w:szCs w:val="22"/>
                <w:lang w:eastAsia="en-US"/>
              </w:rPr>
              <w:t>, developed, strengthened, and implemented</w:t>
            </w:r>
            <w:r>
              <w:rPr>
                <w:rFonts w:ascii="Arial" w:hAnsi="Arial" w:cs="Arial"/>
                <w:szCs w:val="22"/>
                <w:lang w:eastAsia="en-US"/>
              </w:rPr>
              <w:t>.</w:t>
            </w:r>
          </w:p>
        </w:tc>
      </w:tr>
      <w:bookmarkEnd w:id="5"/>
      <w:tr w:rsidR="00925A18" w:rsidRPr="0026636A" w14:paraId="726F090E" w14:textId="77777777" w:rsidTr="00555110">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7E07204C" w14:textId="77777777" w:rsidR="00925A18" w:rsidRPr="00585FCB" w:rsidRDefault="00925A18" w:rsidP="00555110">
            <w:pPr>
              <w:jc w:val="both"/>
              <w:rPr>
                <w:rFonts w:ascii="Arial" w:hAnsi="Arial" w:cs="Arial"/>
                <w:b/>
                <w:bCs/>
                <w:color w:val="0070C0"/>
                <w:szCs w:val="22"/>
                <w:lang w:eastAsia="en-US"/>
              </w:rPr>
            </w:pPr>
            <w:r w:rsidRPr="00585FCB">
              <w:rPr>
                <w:rFonts w:ascii="Arial" w:hAnsi="Arial" w:cs="Arial"/>
                <w:b/>
                <w:bCs/>
                <w:szCs w:val="22"/>
                <w:lang w:eastAsia="en-US"/>
              </w:rPr>
              <w:t xml:space="preserve">Outcome N°2: </w:t>
            </w:r>
            <w:r w:rsidRPr="00585FCB">
              <w:rPr>
                <w:rFonts w:ascii="Arial" w:eastAsia="@Arial Unicode MS" w:hAnsi="Arial" w:cs="Arial"/>
                <w:szCs w:val="22"/>
                <w:lang w:eastAsia="en-US"/>
              </w:rPr>
              <w:t xml:space="preserve">Countries utilize strengthened human and institutional capacities </w:t>
            </w:r>
            <w:r w:rsidRPr="00585FCB">
              <w:rPr>
                <w:rFonts w:ascii="Arial" w:hAnsi="Arial" w:cs="Arial"/>
                <w:szCs w:val="22"/>
                <w:lang w:eastAsia="en-US"/>
              </w:rPr>
              <w:t>to include approaches to integrating living heritage and its safeguarding into education in teacher-</w:t>
            </w:r>
            <w:r w:rsidRPr="00585FCB">
              <w:rPr>
                <w:rFonts w:ascii="Arial" w:eastAsia="@Arial Unicode MS" w:hAnsi="Arial" w:cs="Arial"/>
                <w:szCs w:val="22"/>
                <w:lang w:eastAsia="en-US"/>
              </w:rPr>
              <w:t>training</w:t>
            </w:r>
            <w:r w:rsidRPr="00585FCB">
              <w:rPr>
                <w:rFonts w:ascii="Arial" w:hAnsi="Arial" w:cs="Arial"/>
                <w:szCs w:val="22"/>
                <w:lang w:eastAsia="en-US"/>
              </w:rPr>
              <w:t xml:space="preserve"> programmes and programmes for training providers of non-formal education</w:t>
            </w:r>
            <w:r>
              <w:rPr>
                <w:rFonts w:ascii="Arial" w:hAnsi="Arial" w:cs="Arial"/>
                <w:szCs w:val="22"/>
                <w:lang w:eastAsia="en-US"/>
              </w:rPr>
              <w:t>.</w:t>
            </w:r>
          </w:p>
        </w:tc>
      </w:tr>
      <w:tr w:rsidR="00925A18" w:rsidRPr="0026636A" w14:paraId="3442EF7B" w14:textId="77777777" w:rsidTr="00555110">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108" w:type="dxa"/>
              <w:bottom w:w="57" w:type="dxa"/>
              <w:right w:w="108" w:type="dxa"/>
            </w:tcMar>
          </w:tcPr>
          <w:p w14:paraId="28BB4B42" w14:textId="370A5641" w:rsidR="00925A18" w:rsidRPr="00585FCB" w:rsidRDefault="00925A18" w:rsidP="00555110">
            <w:pPr>
              <w:jc w:val="both"/>
              <w:rPr>
                <w:rFonts w:ascii="Arial" w:eastAsia="@Arial Unicode MS" w:hAnsi="Arial" w:cs="Arial"/>
                <w:szCs w:val="22"/>
              </w:rPr>
            </w:pPr>
            <w:r w:rsidRPr="00585FCB">
              <w:rPr>
                <w:rFonts w:ascii="Arial" w:hAnsi="Arial" w:cs="Arial"/>
                <w:b/>
                <w:bCs/>
                <w:szCs w:val="22"/>
                <w:lang w:eastAsia="en-US"/>
              </w:rPr>
              <w:t>Output N°</w:t>
            </w:r>
            <w:r w:rsidR="00FA2D88">
              <w:rPr>
                <w:rFonts w:ascii="Arial" w:hAnsi="Arial" w:cs="Arial"/>
                <w:b/>
                <w:bCs/>
                <w:szCs w:val="22"/>
                <w:lang w:eastAsia="en-US"/>
              </w:rPr>
              <w:t>2.</w:t>
            </w:r>
            <w:r w:rsidRPr="00585FCB">
              <w:rPr>
                <w:rFonts w:ascii="Arial" w:hAnsi="Arial" w:cs="Arial"/>
                <w:b/>
                <w:bCs/>
                <w:szCs w:val="22"/>
                <w:lang w:eastAsia="en-US"/>
              </w:rPr>
              <w:t>1:</w:t>
            </w:r>
            <w:r w:rsidRPr="00585FCB">
              <w:rPr>
                <w:rFonts w:ascii="Arial" w:hAnsi="Arial" w:cs="Arial"/>
                <w:szCs w:val="22"/>
                <w:lang w:eastAsia="en-US"/>
              </w:rPr>
              <w:t xml:space="preserve"> Technical support provided through capacity building for teachers, educators, teacher educators and culture and education professionals</w:t>
            </w:r>
            <w:r>
              <w:rPr>
                <w:rFonts w:ascii="Arial" w:hAnsi="Arial" w:cs="Arial"/>
                <w:szCs w:val="22"/>
                <w:lang w:eastAsia="en-US"/>
              </w:rPr>
              <w:t>.</w:t>
            </w:r>
          </w:p>
        </w:tc>
      </w:tr>
      <w:tr w:rsidR="00925A18" w:rsidRPr="0026636A" w14:paraId="5B0CB96F" w14:textId="77777777" w:rsidTr="00555110">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06EA069F" w14:textId="77777777" w:rsidR="00925A18" w:rsidRPr="00585FCB" w:rsidRDefault="00925A18" w:rsidP="00555110">
            <w:pPr>
              <w:jc w:val="both"/>
              <w:rPr>
                <w:rFonts w:ascii="Arial" w:hAnsi="Arial" w:cs="Arial"/>
                <w:b/>
                <w:bCs/>
                <w:color w:val="0070C0"/>
                <w:szCs w:val="22"/>
                <w:lang w:eastAsia="en-US"/>
              </w:rPr>
            </w:pPr>
            <w:bookmarkStart w:id="6" w:name="_Hlk84947710"/>
            <w:r w:rsidRPr="00585FCB">
              <w:rPr>
                <w:rFonts w:ascii="Arial" w:hAnsi="Arial" w:cs="Arial"/>
                <w:b/>
                <w:bCs/>
                <w:szCs w:val="22"/>
                <w:lang w:eastAsia="en-US"/>
              </w:rPr>
              <w:t xml:space="preserve">Outcome N°3: </w:t>
            </w:r>
            <w:r w:rsidRPr="00585FCB">
              <w:rPr>
                <w:rFonts w:ascii="Arial" w:eastAsia="@Arial Unicode MS" w:hAnsi="Arial" w:cs="Arial"/>
                <w:szCs w:val="22"/>
                <w:lang w:eastAsia="en-US"/>
              </w:rPr>
              <w:t>Countries scale up action at the interface of safeguarding living heritage and transformative education through inter-ministerial collaboration, policy development</w:t>
            </w:r>
            <w:r w:rsidRPr="00585FCB">
              <w:rPr>
                <w:rFonts w:ascii="Arial" w:eastAsia="@Arial Unicode MS" w:hAnsi="Arial" w:cs="Arial"/>
                <w:szCs w:val="22"/>
              </w:rPr>
              <w:t xml:space="preserve"> and curriculum revision, thereby anchoring the approach in education systems</w:t>
            </w:r>
            <w:r>
              <w:rPr>
                <w:rFonts w:ascii="Arial" w:eastAsia="@Arial Unicode MS" w:hAnsi="Arial" w:cs="Arial"/>
                <w:szCs w:val="22"/>
              </w:rPr>
              <w:t>.</w:t>
            </w:r>
          </w:p>
        </w:tc>
      </w:tr>
      <w:tr w:rsidR="00925A18" w:rsidRPr="0026636A" w14:paraId="3D870CA5" w14:textId="77777777" w:rsidTr="00555110">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108" w:type="dxa"/>
              <w:bottom w:w="57" w:type="dxa"/>
              <w:right w:w="108" w:type="dxa"/>
            </w:tcMar>
          </w:tcPr>
          <w:p w14:paraId="1232AF98" w14:textId="4E10E38E" w:rsidR="00925A18" w:rsidRPr="00585FCB" w:rsidRDefault="00925A18" w:rsidP="00555110">
            <w:pPr>
              <w:jc w:val="both"/>
              <w:rPr>
                <w:rFonts w:ascii="Arial" w:hAnsi="Arial" w:cs="Arial"/>
                <w:b/>
                <w:bCs/>
                <w:szCs w:val="22"/>
                <w:lang w:eastAsia="en-US"/>
              </w:rPr>
            </w:pPr>
            <w:r w:rsidRPr="00585FCB">
              <w:rPr>
                <w:rFonts w:ascii="Arial" w:hAnsi="Arial" w:cs="Arial"/>
                <w:b/>
                <w:bCs/>
                <w:szCs w:val="22"/>
                <w:lang w:eastAsia="en-US"/>
              </w:rPr>
              <w:t>Output N°</w:t>
            </w:r>
            <w:r w:rsidR="00FA2D88">
              <w:rPr>
                <w:rFonts w:ascii="Arial" w:hAnsi="Arial" w:cs="Arial"/>
                <w:b/>
                <w:bCs/>
                <w:szCs w:val="22"/>
                <w:lang w:eastAsia="en-US"/>
              </w:rPr>
              <w:t>3.</w:t>
            </w:r>
            <w:r w:rsidRPr="00585FCB">
              <w:rPr>
                <w:rFonts w:ascii="Arial" w:hAnsi="Arial" w:cs="Arial"/>
                <w:b/>
                <w:bCs/>
                <w:szCs w:val="22"/>
                <w:lang w:eastAsia="en-US"/>
              </w:rPr>
              <w:t>1:</w:t>
            </w:r>
            <w:r w:rsidRPr="00585FCB">
              <w:rPr>
                <w:rFonts w:ascii="Arial" w:hAnsi="Arial" w:cs="Arial"/>
                <w:szCs w:val="22"/>
                <w:lang w:eastAsia="en-US"/>
              </w:rPr>
              <w:t xml:space="preserve"> </w:t>
            </w:r>
            <w:r w:rsidRPr="00585FCB">
              <w:rPr>
                <w:rFonts w:ascii="Arial" w:eastAsia="@Arial Unicode MS" w:hAnsi="Arial" w:cs="Arial"/>
                <w:szCs w:val="22"/>
                <w:lang w:eastAsia="en-US"/>
              </w:rPr>
              <w:t>Inter-ministerial cooperation initiated, and policy advice provided to create an enabling institutional environment and mechanisms for safeguarding living heritage in formal and non-formal education</w:t>
            </w:r>
            <w:r>
              <w:rPr>
                <w:rFonts w:ascii="Arial" w:eastAsia="@Arial Unicode MS" w:hAnsi="Arial" w:cs="Arial"/>
                <w:szCs w:val="22"/>
                <w:lang w:eastAsia="en-US"/>
              </w:rPr>
              <w:t>.</w:t>
            </w:r>
          </w:p>
        </w:tc>
      </w:tr>
      <w:bookmarkEnd w:id="6"/>
      <w:tr w:rsidR="00925A18" w:rsidRPr="0026636A" w14:paraId="03EEED2B" w14:textId="77777777" w:rsidTr="00555110">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00FCF927" w14:textId="4AA79417" w:rsidR="00925A18" w:rsidRPr="00585FCB" w:rsidRDefault="00925A18" w:rsidP="00555110">
            <w:pPr>
              <w:jc w:val="both"/>
              <w:rPr>
                <w:rFonts w:ascii="Arial" w:hAnsi="Arial" w:cs="Arial"/>
                <w:b/>
                <w:bCs/>
                <w:color w:val="0070C0"/>
                <w:szCs w:val="22"/>
                <w:lang w:eastAsia="en-US"/>
              </w:rPr>
            </w:pPr>
            <w:r w:rsidRPr="00585FCB">
              <w:rPr>
                <w:rFonts w:ascii="Arial" w:hAnsi="Arial" w:cs="Arial"/>
                <w:b/>
                <w:bCs/>
                <w:szCs w:val="22"/>
                <w:lang w:eastAsia="en-US"/>
              </w:rPr>
              <w:t xml:space="preserve">Outcome N°4: </w:t>
            </w:r>
            <w:r w:rsidRPr="00585FCB">
              <w:rPr>
                <w:rFonts w:ascii="Arial" w:hAnsi="Arial" w:cs="Arial"/>
                <w:szCs w:val="22"/>
                <w:lang w:eastAsia="en-US"/>
              </w:rPr>
              <w:t>Countries participate in knowledge-sharing and networking platforms and advocate for the incorporation of living heritage in education in relevant regional and international policy processes</w:t>
            </w:r>
            <w:r w:rsidR="00FA1845">
              <w:rPr>
                <w:rFonts w:ascii="Arial" w:hAnsi="Arial" w:cs="Arial"/>
                <w:szCs w:val="22"/>
                <w:lang w:eastAsia="en-US"/>
              </w:rPr>
              <w:t>.</w:t>
            </w:r>
          </w:p>
        </w:tc>
      </w:tr>
      <w:tr w:rsidR="00925A18" w:rsidRPr="008E1238" w14:paraId="148D5F5A" w14:textId="77777777" w:rsidTr="00555110">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000D2D3E" w14:textId="289B4FC1" w:rsidR="00925A18" w:rsidRPr="00585FCB" w:rsidRDefault="00925A18" w:rsidP="00555110">
            <w:pPr>
              <w:shd w:val="clear" w:color="auto" w:fill="92CDDC" w:themeFill="accent5" w:themeFillTint="99"/>
              <w:jc w:val="both"/>
              <w:rPr>
                <w:rFonts w:ascii="Arial" w:hAnsi="Arial" w:cs="Arial"/>
                <w:b/>
                <w:bCs/>
                <w:szCs w:val="22"/>
                <w:lang w:eastAsia="en-US"/>
              </w:rPr>
            </w:pPr>
            <w:r w:rsidRPr="00585FCB">
              <w:rPr>
                <w:rFonts w:ascii="Arial" w:hAnsi="Arial" w:cs="Arial"/>
                <w:b/>
                <w:bCs/>
                <w:szCs w:val="22"/>
                <w:lang w:eastAsia="en-US"/>
              </w:rPr>
              <w:t>Output N°</w:t>
            </w:r>
            <w:r w:rsidR="00FA2D88">
              <w:rPr>
                <w:rFonts w:ascii="Arial" w:hAnsi="Arial" w:cs="Arial"/>
                <w:b/>
                <w:bCs/>
                <w:szCs w:val="22"/>
                <w:lang w:eastAsia="en-US"/>
              </w:rPr>
              <w:t>4.</w:t>
            </w:r>
            <w:r w:rsidRPr="00585FCB">
              <w:rPr>
                <w:rFonts w:ascii="Arial" w:hAnsi="Arial" w:cs="Arial"/>
                <w:b/>
                <w:bCs/>
                <w:szCs w:val="22"/>
                <w:lang w:eastAsia="en-US"/>
              </w:rPr>
              <w:t xml:space="preserve">1: </w:t>
            </w:r>
            <w:r w:rsidRPr="00585FCB">
              <w:rPr>
                <w:rFonts w:ascii="Arial" w:hAnsi="Arial" w:cs="Arial"/>
                <w:szCs w:val="22"/>
                <w:lang w:eastAsia="en-US"/>
              </w:rPr>
              <w:t>Access to expertise at the junction of living heritage and education provided together with knowledge-sharing and networking platforms.</w:t>
            </w:r>
          </w:p>
        </w:tc>
      </w:tr>
      <w:tr w:rsidR="00925A18" w:rsidRPr="0026636A" w14:paraId="3BCFA1BA" w14:textId="77777777" w:rsidTr="00555110">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0E8FC044" w14:textId="19E90CAD" w:rsidR="00925A18" w:rsidRPr="00585FCB" w:rsidRDefault="00925A18" w:rsidP="00555110">
            <w:pPr>
              <w:shd w:val="clear" w:color="auto" w:fill="92CDDC" w:themeFill="accent5" w:themeFillTint="99"/>
              <w:jc w:val="both"/>
              <w:rPr>
                <w:rFonts w:ascii="Arial" w:hAnsi="Arial" w:cs="Arial"/>
                <w:b/>
                <w:bCs/>
                <w:szCs w:val="22"/>
                <w:lang w:eastAsia="en-US"/>
              </w:rPr>
            </w:pPr>
            <w:r w:rsidRPr="00585FCB">
              <w:rPr>
                <w:rFonts w:ascii="Arial" w:hAnsi="Arial" w:cs="Arial"/>
                <w:b/>
                <w:bCs/>
                <w:szCs w:val="22"/>
                <w:lang w:eastAsia="en-US"/>
              </w:rPr>
              <w:t>Output N°</w:t>
            </w:r>
            <w:r w:rsidR="00FA2D88">
              <w:rPr>
                <w:rFonts w:ascii="Arial" w:hAnsi="Arial" w:cs="Arial"/>
                <w:b/>
                <w:bCs/>
                <w:szCs w:val="22"/>
                <w:lang w:eastAsia="en-US"/>
              </w:rPr>
              <w:t>4.</w:t>
            </w:r>
            <w:r w:rsidRPr="00585FCB">
              <w:rPr>
                <w:rFonts w:ascii="Arial" w:hAnsi="Arial" w:cs="Arial"/>
                <w:b/>
                <w:bCs/>
                <w:szCs w:val="22"/>
                <w:lang w:eastAsia="en-US"/>
              </w:rPr>
              <w:t xml:space="preserve">2: </w:t>
            </w:r>
            <w:r w:rsidRPr="00585FCB">
              <w:rPr>
                <w:rFonts w:ascii="Arial" w:hAnsi="Arial" w:cs="Arial"/>
                <w:szCs w:val="22"/>
                <w:lang w:eastAsia="en-US"/>
              </w:rPr>
              <w:t>Education policy recommendations on integrating intangible cultural heritage to improve educational quality and relevance are disseminated among relevant regional and international policy processes</w:t>
            </w:r>
            <w:r w:rsidR="00FA1845">
              <w:rPr>
                <w:rFonts w:ascii="Arial" w:hAnsi="Arial" w:cs="Arial"/>
                <w:szCs w:val="22"/>
                <w:lang w:eastAsia="en-US"/>
              </w:rPr>
              <w:t>.</w:t>
            </w:r>
          </w:p>
        </w:tc>
      </w:tr>
    </w:tbl>
    <w:p w14:paraId="277C269F" w14:textId="77777777" w:rsidR="00925A18" w:rsidRPr="00710FBF" w:rsidRDefault="00925A18" w:rsidP="00925A18">
      <w:pPr>
        <w:shd w:val="clear" w:color="auto" w:fill="0077D4"/>
        <w:tabs>
          <w:tab w:val="left" w:pos="567"/>
        </w:tabs>
        <w:snapToGrid w:val="0"/>
        <w:spacing w:before="240"/>
        <w:ind w:left="-144"/>
        <w:rPr>
          <w:rFonts w:ascii="Arial" w:eastAsia="Calibri" w:hAnsi="Arial" w:cs="Arial"/>
          <w:color w:val="FFFFFF"/>
          <w:sz w:val="28"/>
          <w:szCs w:val="28"/>
          <w:lang w:val="en-US" w:eastAsia="en-US"/>
        </w:rPr>
      </w:pPr>
      <w:r w:rsidRPr="00710FBF">
        <w:rPr>
          <w:rFonts w:ascii="Arial" w:eastAsia="Calibri" w:hAnsi="Arial" w:cs="Arial"/>
          <w:color w:val="FFFFFF"/>
          <w:sz w:val="28"/>
          <w:szCs w:val="28"/>
          <w:lang w:val="en-US" w:eastAsia="en-US"/>
        </w:rPr>
        <w:t>Implementation Strategy</w:t>
      </w:r>
    </w:p>
    <w:p w14:paraId="60E25F0D" w14:textId="562D4DEF" w:rsidR="00925A18" w:rsidRPr="00585FCB" w:rsidRDefault="00925A18" w:rsidP="00925A18">
      <w:pPr>
        <w:spacing w:before="120"/>
        <w:jc w:val="both"/>
        <w:rPr>
          <w:rFonts w:ascii="Arial" w:eastAsia="@Arial Unicode MS" w:hAnsi="Arial" w:cs="Arial"/>
          <w:bCs/>
          <w:szCs w:val="22"/>
        </w:rPr>
      </w:pPr>
      <w:r>
        <w:rPr>
          <w:rFonts w:ascii="Arial" w:eastAsia="@Arial Unicode MS" w:hAnsi="Arial" w:cs="Arial"/>
          <w:szCs w:val="22"/>
          <w:lang w:eastAsia="en-US"/>
        </w:rPr>
        <w:t>The</w:t>
      </w:r>
      <w:r w:rsidRPr="00585FCB">
        <w:rPr>
          <w:rFonts w:ascii="Arial" w:eastAsia="@Arial Unicode MS" w:hAnsi="Arial" w:cs="Arial"/>
          <w:szCs w:val="22"/>
          <w:lang w:eastAsia="en-US"/>
        </w:rPr>
        <w:t xml:space="preserve"> </w:t>
      </w:r>
      <w:r>
        <w:rPr>
          <w:rFonts w:ascii="Arial" w:eastAsia="@Arial Unicode MS" w:hAnsi="Arial" w:cs="Arial"/>
          <w:szCs w:val="22"/>
          <w:lang w:eastAsia="en-US"/>
        </w:rPr>
        <w:t>P</w:t>
      </w:r>
      <w:r w:rsidRPr="00585FCB">
        <w:rPr>
          <w:rFonts w:ascii="Arial" w:eastAsia="@Arial Unicode MS" w:hAnsi="Arial" w:cs="Arial"/>
          <w:szCs w:val="22"/>
          <w:lang w:eastAsia="en-US"/>
        </w:rPr>
        <w:t xml:space="preserve">rogramme implementation strategy requires a combined approach addressing </w:t>
      </w:r>
      <w:r w:rsidRPr="00585FCB">
        <w:rPr>
          <w:rFonts w:ascii="Arial" w:eastAsia="@Arial Unicode MS" w:hAnsi="Arial" w:cs="Arial"/>
          <w:szCs w:val="22"/>
        </w:rPr>
        <w:t xml:space="preserve">inter-ministerial collaboration at all levels as well as bottom-up initiatives. </w:t>
      </w:r>
      <w:r>
        <w:rPr>
          <w:rFonts w:ascii="Arial" w:eastAsia="@Arial Unicode MS" w:hAnsi="Arial" w:cs="Arial"/>
          <w:szCs w:val="22"/>
        </w:rPr>
        <w:t xml:space="preserve">It was designed </w:t>
      </w:r>
      <w:r>
        <w:rPr>
          <w:rFonts w:ascii="Arial" w:eastAsia="@Arial Unicode MS" w:hAnsi="Arial" w:cs="Arial"/>
          <w:bCs/>
          <w:szCs w:val="22"/>
        </w:rPr>
        <w:t xml:space="preserve">with a view to </w:t>
      </w:r>
      <w:r w:rsidRPr="00585FCB">
        <w:rPr>
          <w:rFonts w:ascii="Arial" w:eastAsia="@Arial Unicode MS" w:hAnsi="Arial" w:cs="Arial"/>
          <w:bCs/>
          <w:szCs w:val="22"/>
        </w:rPr>
        <w:t xml:space="preserve">scale up </w:t>
      </w:r>
      <w:r>
        <w:rPr>
          <w:rFonts w:ascii="Arial" w:eastAsia="@Arial Unicode MS" w:hAnsi="Arial" w:cs="Arial"/>
          <w:bCs/>
          <w:szCs w:val="22"/>
        </w:rPr>
        <w:t xml:space="preserve">action at the country level, </w:t>
      </w:r>
      <w:r w:rsidRPr="00585FCB">
        <w:rPr>
          <w:rFonts w:ascii="Arial" w:eastAsia="@Arial Unicode MS" w:hAnsi="Arial" w:cs="Arial"/>
          <w:bCs/>
          <w:szCs w:val="22"/>
        </w:rPr>
        <w:t>combining methodological development and capacity</w:t>
      </w:r>
      <w:r w:rsidR="009F540F">
        <w:rPr>
          <w:rFonts w:ascii="Arial" w:eastAsia="@Arial Unicode MS" w:hAnsi="Arial" w:cs="Arial"/>
          <w:bCs/>
          <w:szCs w:val="22"/>
        </w:rPr>
        <w:t xml:space="preserve"> </w:t>
      </w:r>
      <w:r w:rsidRPr="00585FCB">
        <w:rPr>
          <w:rFonts w:ascii="Arial" w:eastAsia="@Arial Unicode MS" w:hAnsi="Arial" w:cs="Arial"/>
          <w:bCs/>
          <w:szCs w:val="22"/>
        </w:rPr>
        <w:t>building with stronger inter-ministerial collaboration</w:t>
      </w:r>
      <w:r>
        <w:rPr>
          <w:rFonts w:ascii="Arial" w:eastAsia="@Arial Unicode MS" w:hAnsi="Arial" w:cs="Arial"/>
          <w:bCs/>
          <w:szCs w:val="22"/>
        </w:rPr>
        <w:t>, advocacy, and policy development</w:t>
      </w:r>
      <w:r w:rsidRPr="00585FCB">
        <w:rPr>
          <w:rFonts w:ascii="Arial" w:eastAsia="@Arial Unicode MS" w:hAnsi="Arial" w:cs="Arial"/>
          <w:bCs/>
          <w:szCs w:val="22"/>
        </w:rPr>
        <w:t>.</w:t>
      </w:r>
    </w:p>
    <w:p w14:paraId="676565E3" w14:textId="23139FEB" w:rsidR="00925A18" w:rsidRDefault="00925A18" w:rsidP="00925A18">
      <w:pPr>
        <w:spacing w:before="120"/>
        <w:jc w:val="both"/>
        <w:rPr>
          <w:rFonts w:ascii="Arial" w:eastAsia="@Arial Unicode MS" w:hAnsi="Arial" w:cs="Arial"/>
          <w:bCs/>
          <w:szCs w:val="22"/>
        </w:rPr>
      </w:pPr>
      <w:r w:rsidRPr="006B705D">
        <w:rPr>
          <w:rFonts w:ascii="Arial" w:eastAsia="@Arial Unicode MS" w:hAnsi="Arial" w:cs="Arial"/>
          <w:bCs/>
          <w:szCs w:val="22"/>
        </w:rPr>
        <w:t xml:space="preserve">The </w:t>
      </w:r>
      <w:r>
        <w:rPr>
          <w:rFonts w:ascii="Arial" w:eastAsia="@Arial Unicode MS" w:hAnsi="Arial" w:cs="Arial"/>
          <w:bCs/>
          <w:szCs w:val="22"/>
        </w:rPr>
        <w:t>P</w:t>
      </w:r>
      <w:r w:rsidRPr="006B705D">
        <w:rPr>
          <w:rFonts w:ascii="Arial" w:eastAsia="@Arial Unicode MS" w:hAnsi="Arial" w:cs="Arial"/>
          <w:bCs/>
          <w:szCs w:val="22"/>
        </w:rPr>
        <w:t xml:space="preserve">rogramme does not intend to achieve in four years all the desired changes in all project countries; rather it offers a strategic approach for this work of safeguarding living heritage in formal and non-formal education that can be adapted in scope and scale to each country context. Countries will make choices about the focus of the action in terms of the type of education, namely formal and </w:t>
      </w:r>
      <w:r w:rsidRPr="006B705D">
        <w:rPr>
          <w:rFonts w:ascii="Arial" w:eastAsia="@Arial Unicode MS" w:hAnsi="Arial" w:cs="Arial"/>
          <w:bCs/>
          <w:szCs w:val="22"/>
        </w:rPr>
        <w:lastRenderedPageBreak/>
        <w:t>non-formal and the level of education which ranges from early childhood to post-secondary education, including technical and vocational training (TVET). They may also choose to focus on teacher training or on curriculum reform and policy development. While the four outcomes follow a sequential logic, they are strongly interrelated. Hence implementation can happen either as a sequence over time or in parallel.</w:t>
      </w:r>
    </w:p>
    <w:p w14:paraId="3802B272" w14:textId="17DB90C8" w:rsidR="00925A18" w:rsidRPr="005455ED" w:rsidRDefault="00925A18" w:rsidP="00925A18">
      <w:pPr>
        <w:spacing w:before="120"/>
        <w:jc w:val="both"/>
        <w:rPr>
          <w:rFonts w:ascii="Arial" w:eastAsia="@Arial Unicode MS" w:hAnsi="Arial" w:cs="Arial"/>
          <w:bCs/>
          <w:szCs w:val="22"/>
        </w:rPr>
      </w:pPr>
      <w:r w:rsidRPr="005455ED">
        <w:rPr>
          <w:rFonts w:ascii="Arial" w:eastAsia="@Arial Unicode MS" w:hAnsi="Arial" w:cs="Arial"/>
          <w:bCs/>
          <w:szCs w:val="22"/>
        </w:rPr>
        <w:t xml:space="preserve">In order to foster institutional anchoring and sustainability of processes, two cross-cutting approaches will be considered </w:t>
      </w:r>
      <w:r w:rsidR="004B008B">
        <w:rPr>
          <w:rFonts w:ascii="Arial" w:eastAsia="@Arial Unicode MS" w:hAnsi="Arial" w:cs="Arial"/>
          <w:bCs/>
          <w:szCs w:val="22"/>
        </w:rPr>
        <w:t xml:space="preserve">at </w:t>
      </w:r>
      <w:r w:rsidRPr="005455ED">
        <w:rPr>
          <w:rFonts w:ascii="Arial" w:eastAsia="@Arial Unicode MS" w:hAnsi="Arial" w:cs="Arial"/>
          <w:bCs/>
          <w:szCs w:val="22"/>
        </w:rPr>
        <w:t>all levels of implementation: 1) intersectoral collaboration and coordination through working groups and inter-ministerial cooperation and 2) context-specific strategies to involve community bearers from the implementation of pilot activities and capacity building to the elaboration of policy recommendations and the establishment of intersectoral and interinstitutional mechanisms. Attention will also be paid to fair and equal engagement of all sectors and strata of society, including indigenous peoples, migrants, immigrants and refugees, people of different ages, persons with disabilities and members of vulnerable groups in all activities. A gender-responsive approach will be applied both to ensure inclusive participation and as a pedagogical approach to reflect on the influence of the gender in this work drawing from the understanding and needs of each context.</w:t>
      </w:r>
    </w:p>
    <w:p w14:paraId="5A84985A" w14:textId="42EAC8E5" w:rsidR="00925A18" w:rsidRPr="005455ED" w:rsidRDefault="00925A18" w:rsidP="00925A18">
      <w:pPr>
        <w:spacing w:before="120"/>
        <w:jc w:val="both"/>
        <w:rPr>
          <w:rFonts w:ascii="Arial" w:eastAsia="@Arial Unicode MS" w:hAnsi="Arial" w:cs="Arial"/>
          <w:bCs/>
          <w:szCs w:val="22"/>
        </w:rPr>
      </w:pPr>
      <w:r w:rsidRPr="005455ED">
        <w:rPr>
          <w:rFonts w:ascii="Arial" w:eastAsia="@Arial Unicode MS" w:hAnsi="Arial" w:cs="Arial"/>
          <w:bCs/>
          <w:szCs w:val="22"/>
        </w:rPr>
        <w:t xml:space="preserve">UNESCO </w:t>
      </w:r>
      <w:r>
        <w:rPr>
          <w:rFonts w:ascii="Arial" w:eastAsia="@Arial Unicode MS" w:hAnsi="Arial" w:cs="Arial"/>
          <w:bCs/>
          <w:szCs w:val="22"/>
        </w:rPr>
        <w:t xml:space="preserve">field offices will take the lead </w:t>
      </w:r>
      <w:r w:rsidRPr="005455ED">
        <w:rPr>
          <w:rFonts w:ascii="Arial" w:eastAsia="@Arial Unicode MS" w:hAnsi="Arial" w:cs="Arial"/>
          <w:bCs/>
          <w:szCs w:val="22"/>
        </w:rPr>
        <w:t>in cooperation with national counterparts</w:t>
      </w:r>
      <w:r w:rsidR="00D001B4">
        <w:rPr>
          <w:rFonts w:ascii="Arial" w:eastAsia="@Arial Unicode MS" w:hAnsi="Arial" w:cs="Arial"/>
          <w:bCs/>
          <w:szCs w:val="22"/>
        </w:rPr>
        <w:t>,</w:t>
      </w:r>
      <w:r w:rsidRPr="005455ED">
        <w:rPr>
          <w:rFonts w:ascii="Arial" w:eastAsia="@Arial Unicode MS" w:hAnsi="Arial" w:cs="Arial"/>
          <w:bCs/>
          <w:szCs w:val="22"/>
        </w:rPr>
        <w:t xml:space="preserve"> UNESCO Education Institutes,</w:t>
      </w:r>
      <w:r w:rsidR="004B008B">
        <w:rPr>
          <w:rFonts w:ascii="Arial" w:eastAsia="@Arial Unicode MS" w:hAnsi="Arial" w:cs="Arial"/>
          <w:bCs/>
          <w:szCs w:val="22"/>
        </w:rPr>
        <w:t xml:space="preserve"> and</w:t>
      </w:r>
      <w:r w:rsidRPr="005455ED">
        <w:rPr>
          <w:rFonts w:ascii="Arial" w:eastAsia="@Arial Unicode MS" w:hAnsi="Arial" w:cs="Arial"/>
          <w:bCs/>
          <w:szCs w:val="22"/>
        </w:rPr>
        <w:t xml:space="preserve"> category 2 centres and with on-going technical support from the Living Heritage Entity and relevant education entities at Headquarters.</w:t>
      </w:r>
    </w:p>
    <w:p w14:paraId="2BD5A5D7" w14:textId="77777777" w:rsidR="00925A18" w:rsidRPr="005455ED" w:rsidRDefault="00925A18" w:rsidP="00925A18">
      <w:pPr>
        <w:shd w:val="clear" w:color="auto" w:fill="0077D4"/>
        <w:tabs>
          <w:tab w:val="left" w:pos="567"/>
        </w:tabs>
        <w:snapToGrid w:val="0"/>
        <w:spacing w:before="240"/>
        <w:ind w:left="-144"/>
        <w:rPr>
          <w:rFonts w:ascii="Arial" w:eastAsia="Calibri" w:hAnsi="Arial" w:cs="Arial"/>
          <w:color w:val="FFFFFF"/>
          <w:sz w:val="28"/>
          <w:szCs w:val="28"/>
          <w:lang w:val="en-US" w:eastAsia="en-US"/>
        </w:rPr>
      </w:pPr>
      <w:r w:rsidRPr="005455ED">
        <w:rPr>
          <w:rFonts w:ascii="Arial" w:eastAsia="Calibri" w:hAnsi="Arial" w:cs="Arial"/>
          <w:color w:val="FFFFFF"/>
          <w:sz w:val="28"/>
          <w:szCs w:val="28"/>
          <w:lang w:val="en-US" w:eastAsia="en-US"/>
        </w:rPr>
        <w:t>Stakeholders, beneficiaries and partners</w:t>
      </w:r>
    </w:p>
    <w:p w14:paraId="3E47E739" w14:textId="3B07BB1E" w:rsidR="00925A18" w:rsidRPr="00585FCB" w:rsidRDefault="00925A18" w:rsidP="00925A18">
      <w:pPr>
        <w:jc w:val="both"/>
        <w:rPr>
          <w:rFonts w:ascii="Arial" w:eastAsia="@Arial Unicode MS" w:hAnsi="Arial" w:cs="Arial"/>
          <w:szCs w:val="22"/>
        </w:rPr>
      </w:pPr>
      <w:r w:rsidRPr="00585FCB">
        <w:rPr>
          <w:rFonts w:ascii="Arial" w:eastAsia="@Arial Unicode MS" w:hAnsi="Arial" w:cs="Arial"/>
          <w:szCs w:val="22"/>
        </w:rPr>
        <w:t>Beneficiaries and stakeholders include learners and community bearers together with different actors involved in safeguarding intangible cultural heritage (relevant institutions, culture ministries) and in education (schools, non-formal education programmes, education ministries, teacher-training institutions</w:t>
      </w:r>
      <w:r w:rsidRPr="00585FCB">
        <w:rPr>
          <w:rFonts w:ascii="Arial" w:eastAsia="@Arial Unicode MS" w:hAnsi="Arial" w:cs="Arial"/>
          <w:szCs w:val="22"/>
          <w:lang w:val="en-US"/>
        </w:rPr>
        <w:t>, and the UNESCO Associated Schools Project Network</w:t>
      </w:r>
      <w:r w:rsidRPr="00585FCB">
        <w:rPr>
          <w:rFonts w:ascii="Arial" w:eastAsia="@Arial Unicode MS" w:hAnsi="Arial" w:cs="Arial"/>
          <w:szCs w:val="22"/>
        </w:rPr>
        <w:t>). For activities directly happening in schools and other learning spaces, the primary beneficiaries are the learners and the wider communities concerned. For complementary activities, such as teacher development, policy analysis and the consolidation and sharing of information</w:t>
      </w:r>
      <w:r w:rsidR="004B008B">
        <w:rPr>
          <w:rFonts w:ascii="Arial" w:eastAsia="@Arial Unicode MS" w:hAnsi="Arial" w:cs="Arial"/>
          <w:szCs w:val="22"/>
        </w:rPr>
        <w:t>, beneficiaries</w:t>
      </w:r>
      <w:r w:rsidRPr="00585FCB">
        <w:rPr>
          <w:rFonts w:ascii="Arial" w:eastAsia="@Arial Unicode MS" w:hAnsi="Arial" w:cs="Arial"/>
          <w:szCs w:val="22"/>
        </w:rPr>
        <w:t xml:space="preserve"> will be teacher-training programmes, planners and policy makers. The Secretariat will identify beneficiary countries, taking into account the needs and implementation capacities of Member States and of UNESCO’s delivery capacity in each Member State; the regional or bilateral priorities of donors can also be taken into account.</w:t>
      </w:r>
    </w:p>
    <w:p w14:paraId="677E3F6F" w14:textId="6FD257BB" w:rsidR="00925A18" w:rsidRDefault="00925A18" w:rsidP="00925A18">
      <w:pPr>
        <w:jc w:val="both"/>
        <w:rPr>
          <w:rFonts w:ascii="Arial" w:eastAsia="@Arial Unicode MS" w:hAnsi="Arial" w:cs="Arial"/>
          <w:color w:val="FFFFFF" w:themeColor="background1"/>
          <w:szCs w:val="22"/>
        </w:rPr>
      </w:pPr>
      <w:r w:rsidRPr="00B16C18">
        <w:rPr>
          <w:rFonts w:ascii="Arial" w:eastAsia="@Arial Unicode MS" w:hAnsi="Arial" w:cs="Arial"/>
          <w:szCs w:val="22"/>
        </w:rPr>
        <w:t xml:space="preserve">The Convention recognizes the critical role of communities in safeguarding their intangible cultural heritage. Therefore, all activities carried out under this project will involve them and obtain their free, </w:t>
      </w:r>
      <w:r w:rsidR="007F115E" w:rsidRPr="00B16C18">
        <w:rPr>
          <w:rFonts w:ascii="Arial" w:eastAsia="@Arial Unicode MS" w:hAnsi="Arial" w:cs="Arial"/>
          <w:szCs w:val="22"/>
        </w:rPr>
        <w:t>prior,</w:t>
      </w:r>
      <w:r w:rsidRPr="00B16C18">
        <w:rPr>
          <w:rFonts w:ascii="Arial" w:eastAsia="@Arial Unicode MS" w:hAnsi="Arial" w:cs="Arial"/>
          <w:szCs w:val="22"/>
        </w:rPr>
        <w:t xml:space="preserve"> and informed consent, while also seizing opportunities of involving a wider range of relevant stakeholders.</w:t>
      </w:r>
      <w:r w:rsidRPr="00B16C18">
        <w:rPr>
          <w:rFonts w:ascii="Arial" w:eastAsia="@Arial Unicode MS" w:hAnsi="Arial" w:cs="Arial"/>
          <w:color w:val="FFFFFF" w:themeColor="background1"/>
          <w:szCs w:val="22"/>
        </w:rPr>
        <w:t>gy</w:t>
      </w:r>
    </w:p>
    <w:p w14:paraId="71547B55" w14:textId="77777777" w:rsidR="00925A18" w:rsidRPr="00F7527A" w:rsidRDefault="00925A18" w:rsidP="00925A18">
      <w:pPr>
        <w:shd w:val="clear" w:color="auto" w:fill="0077D4"/>
        <w:tabs>
          <w:tab w:val="left" w:pos="567"/>
        </w:tabs>
        <w:snapToGrid w:val="0"/>
        <w:spacing w:before="240"/>
        <w:rPr>
          <w:rFonts w:ascii="Arial" w:eastAsia="Calibri" w:hAnsi="Arial" w:cs="Arial"/>
          <w:color w:val="FFFFFF"/>
          <w:sz w:val="28"/>
          <w:szCs w:val="28"/>
          <w:lang w:eastAsia="en-US"/>
        </w:rPr>
      </w:pPr>
      <w:r w:rsidRPr="00E67A04">
        <w:rPr>
          <w:rFonts w:ascii="Arial" w:eastAsia="Calibri" w:hAnsi="Arial" w:cs="Arial"/>
          <w:color w:val="FFFFFF"/>
          <w:sz w:val="28"/>
          <w:szCs w:val="28"/>
          <w:lang w:eastAsia="en-US"/>
        </w:rPr>
        <w:t>Risk analysis, sustainability and exit strategy</w:t>
      </w:r>
    </w:p>
    <w:p w14:paraId="510C6F4D" w14:textId="190C420A" w:rsidR="00925A18" w:rsidRPr="00585FCB" w:rsidRDefault="00925A18" w:rsidP="00925A18">
      <w:pPr>
        <w:jc w:val="both"/>
        <w:rPr>
          <w:rFonts w:ascii="Arial" w:eastAsia="@Arial Unicode MS" w:hAnsi="Arial" w:cs="Arial"/>
          <w:szCs w:val="22"/>
        </w:rPr>
      </w:pPr>
      <w:r w:rsidRPr="00585FCB">
        <w:rPr>
          <w:rFonts w:ascii="Arial" w:eastAsia="@Arial Unicode MS" w:hAnsi="Arial" w:cs="Arial"/>
          <w:szCs w:val="22"/>
        </w:rPr>
        <w:t xml:space="preserve">In the short term, the programme will engage States Parties to strengthen </w:t>
      </w:r>
      <w:r w:rsidR="00A15966">
        <w:rPr>
          <w:rFonts w:ascii="Arial" w:eastAsia="@Arial Unicode MS" w:hAnsi="Arial" w:cs="Arial"/>
          <w:szCs w:val="22"/>
        </w:rPr>
        <w:t>their</w:t>
      </w:r>
      <w:r w:rsidR="00A15966" w:rsidRPr="00585FCB">
        <w:rPr>
          <w:rFonts w:ascii="Arial" w:eastAsia="@Arial Unicode MS" w:hAnsi="Arial" w:cs="Arial"/>
          <w:szCs w:val="22"/>
        </w:rPr>
        <w:t xml:space="preserve"> </w:t>
      </w:r>
      <w:r w:rsidRPr="00585FCB">
        <w:rPr>
          <w:rFonts w:ascii="Arial" w:eastAsia="@Arial Unicode MS" w:hAnsi="Arial" w:cs="Arial"/>
          <w:szCs w:val="22"/>
        </w:rPr>
        <w:t xml:space="preserve">capacities to support safeguarding in formal and non-formal education. Countries should have at their disposal access to expertise, guidance and concrete experiences that will allow the relevant stakeholders and communities on their territory to carry on this work </w:t>
      </w:r>
      <w:r w:rsidR="004B008B">
        <w:rPr>
          <w:rFonts w:ascii="Arial" w:eastAsia="@Arial Unicode MS" w:hAnsi="Arial" w:cs="Arial"/>
          <w:szCs w:val="22"/>
        </w:rPr>
        <w:t>and</w:t>
      </w:r>
      <w:r w:rsidRPr="00585FCB">
        <w:rPr>
          <w:rFonts w:ascii="Arial" w:eastAsia="@Arial Unicode MS" w:hAnsi="Arial" w:cs="Arial"/>
          <w:szCs w:val="22"/>
        </w:rPr>
        <w:t xml:space="preserve"> develop larger scale projects. Where relevant, guidance will include information on the possibilities of requesting </w:t>
      </w:r>
      <w:r w:rsidR="00A15966">
        <w:rPr>
          <w:rFonts w:ascii="Arial" w:eastAsia="@Arial Unicode MS" w:hAnsi="Arial" w:cs="Arial"/>
          <w:szCs w:val="22"/>
        </w:rPr>
        <w:t>I</w:t>
      </w:r>
      <w:r w:rsidRPr="00585FCB">
        <w:rPr>
          <w:rFonts w:ascii="Arial" w:eastAsia="@Arial Unicode MS" w:hAnsi="Arial" w:cs="Arial"/>
          <w:szCs w:val="22"/>
        </w:rPr>
        <w:t xml:space="preserve">nternational </w:t>
      </w:r>
      <w:r w:rsidR="00A15966">
        <w:rPr>
          <w:rFonts w:ascii="Arial" w:eastAsia="@Arial Unicode MS" w:hAnsi="Arial" w:cs="Arial"/>
          <w:szCs w:val="22"/>
        </w:rPr>
        <w:t>A</w:t>
      </w:r>
      <w:r w:rsidRPr="00585FCB">
        <w:rPr>
          <w:rFonts w:ascii="Arial" w:eastAsia="@Arial Unicode MS" w:hAnsi="Arial" w:cs="Arial"/>
          <w:szCs w:val="22"/>
        </w:rPr>
        <w:t>ssistance from the Intangible Cultural Heritage Fund for this purpose.</w:t>
      </w:r>
    </w:p>
    <w:p w14:paraId="70ED3242" w14:textId="73B33989" w:rsidR="00AD2FD6" w:rsidRPr="00585FCB" w:rsidRDefault="00925A18" w:rsidP="00925A18">
      <w:pPr>
        <w:jc w:val="both"/>
        <w:rPr>
          <w:rFonts w:ascii="Arial" w:hAnsi="Arial" w:cs="Arial"/>
          <w:szCs w:val="22"/>
        </w:rPr>
      </w:pPr>
      <w:r w:rsidRPr="00585FCB">
        <w:rPr>
          <w:rFonts w:ascii="Arial" w:eastAsia="@Arial Unicode MS" w:hAnsi="Arial" w:cs="Arial"/>
          <w:szCs w:val="22"/>
          <w:lang w:eastAsia="en-US"/>
        </w:rPr>
        <w:t xml:space="preserve">For the programme to be successful, the intersectoral collaboration between the Living Heritage Entity and the Education Sector will be strengthened also </w:t>
      </w:r>
      <w:r w:rsidRPr="00585FCB">
        <w:rPr>
          <w:rFonts w:ascii="Arial" w:eastAsia="@Arial Unicode MS" w:hAnsi="Arial" w:cs="Arial"/>
          <w:szCs w:val="22"/>
        </w:rPr>
        <w:t xml:space="preserve">in the framework of the joint intersectoral initiative entitled </w:t>
      </w:r>
      <w:r>
        <w:rPr>
          <w:rFonts w:ascii="Arial" w:eastAsia="@Arial Unicode MS" w:hAnsi="Arial" w:cs="Arial"/>
          <w:szCs w:val="22"/>
        </w:rPr>
        <w:t>’</w:t>
      </w:r>
      <w:r w:rsidRPr="00585FCB">
        <w:rPr>
          <w:rFonts w:ascii="Arial" w:eastAsia="@Arial Unicode MS" w:hAnsi="Arial" w:cs="Arial"/>
          <w:szCs w:val="22"/>
        </w:rPr>
        <w:t xml:space="preserve">Education and Culture together in action to advance the Sustainable </w:t>
      </w:r>
      <w:r w:rsidRPr="00585FCB">
        <w:rPr>
          <w:rFonts w:ascii="Arial" w:eastAsia="@Arial Unicode MS" w:hAnsi="Arial" w:cs="Arial"/>
          <w:szCs w:val="22"/>
          <w:lang w:eastAsia="en-US"/>
        </w:rPr>
        <w:t>Development Goals.</w:t>
      </w:r>
      <w:r>
        <w:rPr>
          <w:rFonts w:ascii="Arial" w:eastAsia="@Arial Unicode MS" w:hAnsi="Arial" w:cs="Arial"/>
          <w:szCs w:val="22"/>
          <w:lang w:eastAsia="en-US"/>
        </w:rPr>
        <w:t>’</w:t>
      </w:r>
      <w:r w:rsidRPr="00585FCB">
        <w:rPr>
          <w:rFonts w:ascii="Arial" w:eastAsia="@Arial Unicode MS" w:hAnsi="Arial" w:cs="Arial"/>
          <w:szCs w:val="22"/>
          <w:lang w:eastAsia="en-US"/>
        </w:rPr>
        <w:t xml:space="preserve"> Above all, in order to guarantee a dialogic bottom-up and top-down approach, it will be crucial to ensure that all actors</w:t>
      </w:r>
      <w:r w:rsidR="004B008B">
        <w:rPr>
          <w:rFonts w:ascii="Arial" w:eastAsia="@Arial Unicode MS" w:hAnsi="Arial" w:cs="Arial"/>
          <w:szCs w:val="22"/>
          <w:lang w:eastAsia="en-US"/>
        </w:rPr>
        <w:t xml:space="preserve">, including </w:t>
      </w:r>
      <w:r w:rsidR="004B008B" w:rsidRPr="00212E7E">
        <w:rPr>
          <w:rFonts w:ascii="Arial" w:eastAsia="@Arial Unicode MS" w:hAnsi="Arial" w:cs="Arial"/>
          <w:szCs w:val="22"/>
          <w:lang w:eastAsia="en-US"/>
        </w:rPr>
        <w:t>youth, community leaders</w:t>
      </w:r>
      <w:r w:rsidR="004B008B">
        <w:rPr>
          <w:rFonts w:ascii="Arial" w:eastAsia="@Arial Unicode MS" w:hAnsi="Arial" w:cs="Arial"/>
          <w:szCs w:val="22"/>
          <w:lang w:eastAsia="en-US"/>
        </w:rPr>
        <w:t xml:space="preserve"> and</w:t>
      </w:r>
      <w:r w:rsidR="004B008B" w:rsidRPr="00212E7E">
        <w:rPr>
          <w:rFonts w:ascii="Arial" w:eastAsia="@Arial Unicode MS" w:hAnsi="Arial" w:cs="Arial"/>
          <w:szCs w:val="22"/>
          <w:lang w:eastAsia="en-US"/>
        </w:rPr>
        <w:t xml:space="preserve"> educators</w:t>
      </w:r>
      <w:r w:rsidR="004B008B">
        <w:rPr>
          <w:rFonts w:ascii="Arial" w:eastAsia="@Arial Unicode MS" w:hAnsi="Arial" w:cs="Arial"/>
          <w:szCs w:val="22"/>
          <w:lang w:eastAsia="en-US"/>
        </w:rPr>
        <w:t>,</w:t>
      </w:r>
      <w:r w:rsidR="004B008B" w:rsidRPr="00212E7E">
        <w:rPr>
          <w:rFonts w:ascii="Arial" w:eastAsia="@Arial Unicode MS" w:hAnsi="Arial" w:cs="Arial"/>
          <w:szCs w:val="22"/>
          <w:lang w:eastAsia="en-US"/>
        </w:rPr>
        <w:t xml:space="preserve"> </w:t>
      </w:r>
      <w:r w:rsidRPr="00585FCB">
        <w:rPr>
          <w:rFonts w:ascii="Arial" w:eastAsia="@Arial Unicode MS" w:hAnsi="Arial" w:cs="Arial"/>
          <w:szCs w:val="22"/>
          <w:lang w:eastAsia="en-US"/>
        </w:rPr>
        <w:t>have access to the means of consultation and implementation.</w:t>
      </w:r>
    </w:p>
    <w:sectPr w:rsidR="00AD2FD6" w:rsidRPr="00585FCB" w:rsidSect="002938F2">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BDC2" w14:textId="77777777" w:rsidR="00D54374" w:rsidRDefault="00D54374" w:rsidP="002938F2">
      <w:r>
        <w:separator/>
      </w:r>
    </w:p>
    <w:p w14:paraId="6160A74C" w14:textId="77777777" w:rsidR="00D54374" w:rsidRDefault="00D54374"/>
  </w:endnote>
  <w:endnote w:type="continuationSeparator" w:id="0">
    <w:p w14:paraId="775BBC19" w14:textId="77777777" w:rsidR="00D54374" w:rsidRDefault="00D54374" w:rsidP="002938F2">
      <w:r>
        <w:continuationSeparator/>
      </w:r>
    </w:p>
    <w:p w14:paraId="154C08BD" w14:textId="77777777" w:rsidR="00D54374" w:rsidRDefault="00D54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2A767" w14:textId="77777777" w:rsidR="00D54374" w:rsidRDefault="00D54374" w:rsidP="00EC528A">
      <w:r>
        <w:separator/>
      </w:r>
    </w:p>
  </w:footnote>
  <w:footnote w:type="continuationSeparator" w:id="0">
    <w:p w14:paraId="0F02B3AA" w14:textId="77777777" w:rsidR="00D54374" w:rsidRDefault="00D54374" w:rsidP="002938F2">
      <w:r>
        <w:continuationSeparator/>
      </w:r>
    </w:p>
    <w:p w14:paraId="75B32ACA" w14:textId="77777777" w:rsidR="00D54374" w:rsidRDefault="00D54374"/>
  </w:footnote>
  <w:footnote w:id="1">
    <w:p w14:paraId="1D2C36A2" w14:textId="28325E7C" w:rsidR="00D54374" w:rsidRPr="00FC2AB0" w:rsidRDefault="00D54374" w:rsidP="006D06BC">
      <w:pPr>
        <w:pStyle w:val="FootnoteText"/>
        <w:spacing w:after="60"/>
        <w:ind w:left="567" w:hanging="567"/>
        <w:jc w:val="both"/>
        <w:rPr>
          <w:rStyle w:val="FootnoteReference"/>
          <w:rFonts w:ascii="Arial" w:hAnsi="Arial" w:cs="Arial"/>
          <w:sz w:val="18"/>
          <w:szCs w:val="18"/>
          <w:vertAlign w:val="baseline"/>
          <w:lang w:val="en-GB"/>
        </w:rPr>
      </w:pPr>
      <w:r w:rsidRPr="00FC2AB0">
        <w:rPr>
          <w:rStyle w:val="FootnoteReference"/>
          <w:rFonts w:ascii="Arial" w:hAnsi="Arial" w:cs="Arial"/>
          <w:sz w:val="18"/>
          <w:szCs w:val="18"/>
          <w:vertAlign w:val="baseline"/>
        </w:rPr>
        <w:footnoteRef/>
      </w:r>
      <w:r w:rsidRPr="00FC2AB0">
        <w:rPr>
          <w:rStyle w:val="FootnoteReference"/>
          <w:rFonts w:ascii="Arial" w:hAnsi="Arial" w:cs="Arial"/>
          <w:sz w:val="18"/>
          <w:szCs w:val="18"/>
          <w:vertAlign w:val="baseline"/>
          <w:lang w:val="en-GB"/>
        </w:rPr>
        <w:t xml:space="preserve">.  </w:t>
      </w:r>
      <w:r w:rsidRPr="00FC2AB0">
        <w:rPr>
          <w:rFonts w:ascii="Arial" w:hAnsi="Arial" w:cs="Arial"/>
          <w:sz w:val="18"/>
          <w:szCs w:val="18"/>
          <w:lang w:val="en-GB"/>
        </w:rPr>
        <w:tab/>
        <w:t xml:space="preserve">This includes projects that are placed under the 39 C/5 </w:t>
      </w:r>
      <w:r w:rsidR="00981866">
        <w:rPr>
          <w:rFonts w:ascii="Arial" w:hAnsi="Arial" w:cs="Arial"/>
          <w:sz w:val="18"/>
          <w:szCs w:val="18"/>
          <w:lang w:val="en-GB"/>
        </w:rPr>
        <w:t xml:space="preserve">(2018-2019) </w:t>
      </w:r>
      <w:r w:rsidRPr="00FC2AB0">
        <w:rPr>
          <w:rFonts w:ascii="Arial" w:hAnsi="Arial" w:cs="Arial"/>
          <w:sz w:val="18"/>
          <w:szCs w:val="18"/>
          <w:lang w:val="en-GB"/>
        </w:rPr>
        <w:t xml:space="preserve">and/or 40 C/5’s </w:t>
      </w:r>
      <w:r w:rsidR="00981866">
        <w:rPr>
          <w:rFonts w:ascii="Arial" w:hAnsi="Arial" w:cs="Arial"/>
          <w:sz w:val="18"/>
          <w:szCs w:val="18"/>
          <w:lang w:val="en-GB"/>
        </w:rPr>
        <w:t xml:space="preserve">(2020-2021) </w:t>
      </w:r>
      <w:r w:rsidRPr="00FC2AB0">
        <w:rPr>
          <w:rFonts w:ascii="Arial" w:hAnsi="Arial" w:cs="Arial"/>
          <w:sz w:val="18"/>
          <w:szCs w:val="18"/>
          <w:lang w:val="en-GB"/>
        </w:rPr>
        <w:t xml:space="preserve">Expected Result 6 ‘Intangible cultural heritage identified and safeguarded by Member States and communities, in particular through the effective implementation of the 2003 Convention’ in SISTER. </w:t>
      </w:r>
      <w:r w:rsidRPr="00FC2AB0">
        <w:rPr>
          <w:rStyle w:val="FootnoteReference"/>
          <w:rFonts w:ascii="Arial" w:hAnsi="Arial" w:cs="Arial"/>
          <w:sz w:val="18"/>
          <w:szCs w:val="18"/>
          <w:vertAlign w:val="baseline"/>
          <w:lang w:val="en-GB"/>
        </w:rPr>
        <w:t xml:space="preserve">Projects that were initiated, implemented or terminated during the period are considered active for the purpose of this section. Contributions </w:t>
      </w:r>
      <w:r w:rsidRPr="00FC2AB0">
        <w:rPr>
          <w:rFonts w:ascii="Arial" w:hAnsi="Arial" w:cs="Arial"/>
          <w:sz w:val="18"/>
          <w:szCs w:val="18"/>
          <w:lang w:val="en-GB"/>
        </w:rPr>
        <w:t xml:space="preserve">from donors </w:t>
      </w:r>
      <w:r w:rsidRPr="00FC2AB0">
        <w:rPr>
          <w:rStyle w:val="FootnoteReference"/>
          <w:rFonts w:ascii="Arial" w:hAnsi="Arial" w:cs="Arial"/>
          <w:sz w:val="18"/>
          <w:szCs w:val="18"/>
          <w:vertAlign w:val="baseline"/>
          <w:lang w:val="en-GB"/>
        </w:rPr>
        <w:t>may have been partly or entirely received prior to</w:t>
      </w:r>
      <w:r w:rsidRPr="00FC2AB0">
        <w:rPr>
          <w:rFonts w:ascii="Arial" w:hAnsi="Arial" w:cs="Arial"/>
          <w:sz w:val="18"/>
          <w:szCs w:val="18"/>
          <w:lang w:val="en-GB"/>
        </w:rPr>
        <w:t xml:space="preserve"> or during</w:t>
      </w:r>
      <w:r w:rsidRPr="00FC2AB0">
        <w:rPr>
          <w:rStyle w:val="FootnoteReference"/>
          <w:rFonts w:ascii="Arial" w:hAnsi="Arial" w:cs="Arial"/>
          <w:sz w:val="18"/>
          <w:szCs w:val="18"/>
          <w:vertAlign w:val="baseline"/>
          <w:lang w:val="en-GB"/>
        </w:rPr>
        <w:t xml:space="preserve"> the reporting period.</w:t>
      </w:r>
    </w:p>
  </w:footnote>
  <w:footnote w:id="2">
    <w:p w14:paraId="6562B7F0" w14:textId="549B7D5D" w:rsidR="00D54374" w:rsidRPr="00FC2AB0" w:rsidRDefault="00D54374" w:rsidP="006D06BC">
      <w:pPr>
        <w:pStyle w:val="FootnoteText"/>
        <w:ind w:left="567" w:hanging="567"/>
        <w:jc w:val="both"/>
        <w:rPr>
          <w:rFonts w:ascii="Arial" w:hAnsi="Arial" w:cs="Arial"/>
          <w:sz w:val="18"/>
          <w:szCs w:val="18"/>
          <w:lang w:val="en-GB"/>
        </w:rPr>
      </w:pPr>
      <w:r w:rsidRPr="00FC2AB0">
        <w:rPr>
          <w:rStyle w:val="FootnoteReference"/>
          <w:rFonts w:ascii="Arial" w:hAnsi="Arial" w:cs="Arial"/>
          <w:sz w:val="18"/>
          <w:szCs w:val="18"/>
          <w:vertAlign w:val="baseline"/>
        </w:rPr>
        <w:footnoteRef/>
      </w:r>
      <w:r w:rsidRPr="00FC2AB0">
        <w:rPr>
          <w:rFonts w:ascii="Arial" w:hAnsi="Arial" w:cs="Arial"/>
          <w:sz w:val="18"/>
          <w:szCs w:val="18"/>
          <w:lang w:val="en-GB"/>
        </w:rPr>
        <w:t>.</w:t>
      </w:r>
      <w:r w:rsidRPr="00FC2AB0">
        <w:rPr>
          <w:rFonts w:ascii="Arial" w:hAnsi="Arial" w:cs="Arial"/>
          <w:sz w:val="18"/>
          <w:szCs w:val="18"/>
          <w:lang w:val="en-GB"/>
        </w:rPr>
        <w:tab/>
        <w:t>The UNESCO Field Office</w:t>
      </w:r>
      <w:r>
        <w:rPr>
          <w:rFonts w:ascii="Arial" w:hAnsi="Arial" w:cs="Arial"/>
          <w:sz w:val="18"/>
          <w:szCs w:val="18"/>
          <w:lang w:val="en-GB"/>
        </w:rPr>
        <w:t xml:space="preserve"> – or Headquarters in the case of global activities –</w:t>
      </w:r>
      <w:r w:rsidRPr="00FC2AB0">
        <w:rPr>
          <w:rFonts w:ascii="Arial" w:hAnsi="Arial" w:cs="Arial"/>
          <w:sz w:val="18"/>
          <w:szCs w:val="18"/>
          <w:lang w:val="en-GB"/>
        </w:rPr>
        <w:t xml:space="preserve"> responsible</w:t>
      </w:r>
      <w:r>
        <w:rPr>
          <w:rFonts w:ascii="Arial" w:hAnsi="Arial" w:cs="Arial"/>
          <w:sz w:val="18"/>
          <w:szCs w:val="18"/>
          <w:lang w:val="en-GB"/>
        </w:rPr>
        <w:t xml:space="preserve"> </w:t>
      </w:r>
      <w:r w:rsidRPr="00FC2AB0">
        <w:rPr>
          <w:rFonts w:ascii="Arial" w:hAnsi="Arial" w:cs="Arial"/>
          <w:sz w:val="18"/>
          <w:szCs w:val="18"/>
          <w:lang w:val="en-GB"/>
        </w:rPr>
        <w:t>for the implementation of each project is indicated in parentheses after the donor.</w:t>
      </w:r>
    </w:p>
  </w:footnote>
  <w:footnote w:id="3">
    <w:p w14:paraId="63936026" w14:textId="1820ECC8" w:rsidR="00D54374" w:rsidRPr="00FC2AB0" w:rsidRDefault="00D54374" w:rsidP="006D06BC">
      <w:pPr>
        <w:pStyle w:val="FootnoteText"/>
        <w:spacing w:after="60"/>
        <w:ind w:left="567" w:hanging="567"/>
        <w:jc w:val="both"/>
        <w:rPr>
          <w:rFonts w:ascii="Arial" w:hAnsi="Arial" w:cs="Arial"/>
          <w:sz w:val="18"/>
          <w:szCs w:val="18"/>
          <w:lang w:val="en-GB"/>
        </w:rPr>
      </w:pPr>
      <w:r w:rsidRPr="00FC2AB0">
        <w:rPr>
          <w:rStyle w:val="FootnoteReference"/>
          <w:rFonts w:ascii="Arial" w:hAnsi="Arial" w:cs="Arial"/>
          <w:sz w:val="18"/>
          <w:szCs w:val="18"/>
          <w:vertAlign w:val="baseline"/>
        </w:rPr>
        <w:footnoteRef/>
      </w:r>
      <w:r w:rsidRPr="00FC2AB0">
        <w:rPr>
          <w:rFonts w:ascii="Arial" w:hAnsi="Arial" w:cs="Arial"/>
          <w:sz w:val="18"/>
          <w:szCs w:val="18"/>
          <w:lang w:val="en-GB"/>
        </w:rPr>
        <w:t xml:space="preserve">. </w:t>
      </w:r>
      <w:r w:rsidRPr="00FC2AB0">
        <w:rPr>
          <w:rFonts w:ascii="Arial" w:hAnsi="Arial" w:cs="Arial"/>
          <w:sz w:val="18"/>
          <w:szCs w:val="18"/>
          <w:lang w:val="en-GB"/>
        </w:rPr>
        <w:tab/>
        <w:t>Information provided by the Living Heritage Entity in complement to the Financial Report issued by the Grants Management Section, Bureau of Strategic Planning.</w:t>
      </w:r>
    </w:p>
  </w:footnote>
  <w:footnote w:id="4">
    <w:p w14:paraId="08C20662" w14:textId="1DB8CAEB" w:rsidR="00D54374" w:rsidRPr="00FC2AB0" w:rsidRDefault="00D54374" w:rsidP="005112F0">
      <w:pPr>
        <w:pStyle w:val="FootnoteText"/>
        <w:spacing w:after="60"/>
        <w:ind w:left="567" w:hanging="567"/>
        <w:jc w:val="both"/>
        <w:rPr>
          <w:rFonts w:ascii="Arial" w:hAnsi="Arial" w:cs="Arial"/>
          <w:sz w:val="18"/>
          <w:szCs w:val="18"/>
          <w:lang w:val="en-GB"/>
        </w:rPr>
      </w:pPr>
      <w:r w:rsidRPr="00FC2AB0">
        <w:rPr>
          <w:rStyle w:val="FootnoteReference"/>
          <w:rFonts w:ascii="Arial" w:hAnsi="Arial" w:cs="Arial"/>
          <w:sz w:val="18"/>
          <w:szCs w:val="18"/>
          <w:vertAlign w:val="baseline"/>
        </w:rPr>
        <w:footnoteRef/>
      </w:r>
      <w:r w:rsidRPr="00FC2AB0">
        <w:rPr>
          <w:rFonts w:ascii="Arial" w:hAnsi="Arial" w:cs="Arial"/>
          <w:sz w:val="18"/>
          <w:szCs w:val="18"/>
          <w:lang w:val="en-GB"/>
        </w:rPr>
        <w:t xml:space="preserve"> . </w:t>
      </w:r>
      <w:r w:rsidRPr="00FC2AB0">
        <w:rPr>
          <w:rFonts w:ascii="Arial" w:hAnsi="Arial" w:cs="Arial"/>
          <w:sz w:val="18"/>
          <w:szCs w:val="18"/>
          <w:lang w:val="en-GB"/>
        </w:rPr>
        <w:tab/>
        <w:t xml:space="preserve">The contribution was transferred to UNESCO in December 2019 and therefore is included in the Financial Report issued by the Grants Management Section, Bureau of Strategic Planning, as of 31 December 2019, as presented to the eighth session of the General Assembly (see Annex II(a) in Document </w:t>
      </w:r>
      <w:hyperlink r:id="rId1" w:history="1">
        <w:r w:rsidRPr="00FC2AB0">
          <w:rPr>
            <w:rStyle w:val="Hyperlink"/>
            <w:rFonts w:ascii="Arial" w:hAnsi="Arial" w:cs="Arial"/>
            <w:sz w:val="18"/>
            <w:szCs w:val="18"/>
            <w:lang w:val="en-GB"/>
          </w:rPr>
          <w:t>LHE/20/8.GA/INF.7</w:t>
        </w:r>
      </w:hyperlink>
      <w:r w:rsidRPr="00FC2AB0">
        <w:rPr>
          <w:rFonts w:ascii="Arial" w:hAnsi="Arial" w:cs="Arial"/>
          <w:sz w:val="18"/>
          <w:szCs w:val="18"/>
          <w:lang w:val="en-GB"/>
        </w:rPr>
        <w:t>).</w:t>
      </w:r>
    </w:p>
  </w:footnote>
  <w:footnote w:id="5">
    <w:p w14:paraId="666069A8" w14:textId="554D4D85" w:rsidR="00D54374" w:rsidRPr="00555110" w:rsidRDefault="00D54374" w:rsidP="00925A18">
      <w:pPr>
        <w:pStyle w:val="FootnoteText"/>
        <w:tabs>
          <w:tab w:val="left" w:pos="567"/>
        </w:tabs>
        <w:jc w:val="both"/>
        <w:rPr>
          <w:rFonts w:ascii="Arial" w:eastAsia="Batang" w:hAnsi="Arial" w:cs="Arial"/>
          <w:noProof/>
          <w:sz w:val="18"/>
          <w:szCs w:val="18"/>
          <w:lang w:val="en-GB"/>
        </w:rPr>
      </w:pPr>
      <w:r w:rsidRPr="00555110">
        <w:rPr>
          <w:rFonts w:ascii="Arial" w:hAnsi="Arial" w:cs="Arial"/>
          <w:noProof/>
          <w:sz w:val="18"/>
          <w:szCs w:val="18"/>
          <w:lang w:val="en-GB"/>
        </w:rPr>
        <w:t>5.</w:t>
      </w:r>
      <w:r w:rsidRPr="00555110">
        <w:rPr>
          <w:rFonts w:ascii="Arial" w:hAnsi="Arial" w:cs="Arial"/>
          <w:noProof/>
          <w:sz w:val="18"/>
          <w:szCs w:val="18"/>
          <w:lang w:val="en-GB"/>
        </w:rPr>
        <w:tab/>
        <w:t xml:space="preserve">See for example the decision of the fourteenth session of the Intergovernmental Committee (Decision </w:t>
      </w:r>
      <w:hyperlink r:id="rId2" w:history="1">
        <w:r w:rsidRPr="00FC2AB0">
          <w:rPr>
            <w:rStyle w:val="Hyperlink"/>
            <w:rFonts w:ascii="Arial" w:hAnsi="Arial" w:cs="Arial"/>
            <w:noProof/>
            <w:sz w:val="18"/>
            <w:szCs w:val="18"/>
            <w:lang w:val="en-GB"/>
          </w:rPr>
          <w:t>14.COM 5.b</w:t>
        </w:r>
      </w:hyperlink>
      <w:r w:rsidRPr="00555110">
        <w:rPr>
          <w:rFonts w:ascii="Arial" w:hAnsi="Arial" w:cs="Arial"/>
          <w:noProof/>
          <w:sz w:val="18"/>
          <w:szCs w:val="18"/>
          <w:lang w:val="en-GB"/>
        </w:rPr>
        <w:t>).</w:t>
      </w:r>
    </w:p>
  </w:footnote>
  <w:footnote w:id="6">
    <w:p w14:paraId="1BC2419A" w14:textId="77777777" w:rsidR="00D54374" w:rsidRPr="00555110" w:rsidRDefault="00D54374" w:rsidP="00925A18">
      <w:pPr>
        <w:pStyle w:val="FootnoteText"/>
        <w:tabs>
          <w:tab w:val="left" w:pos="567"/>
        </w:tabs>
        <w:jc w:val="both"/>
        <w:rPr>
          <w:rStyle w:val="FootnoteReference"/>
          <w:rFonts w:ascii="Arial" w:hAnsi="Arial" w:cs="Arial"/>
          <w:noProof/>
          <w:sz w:val="18"/>
          <w:szCs w:val="18"/>
          <w:vertAlign w:val="baseline"/>
          <w:lang w:val="en-GB"/>
        </w:rPr>
      </w:pPr>
      <w:r w:rsidRPr="00555110">
        <w:rPr>
          <w:rStyle w:val="FootnoteReference"/>
          <w:rFonts w:ascii="Arial" w:hAnsi="Arial" w:cs="Arial"/>
          <w:noProof/>
          <w:sz w:val="18"/>
          <w:szCs w:val="18"/>
          <w:vertAlign w:val="baseline"/>
        </w:rPr>
        <w:footnoteRef/>
      </w:r>
      <w:r w:rsidRPr="00555110">
        <w:rPr>
          <w:rStyle w:val="FootnoteReference"/>
          <w:rFonts w:ascii="Arial" w:hAnsi="Arial" w:cs="Arial"/>
          <w:noProof/>
          <w:sz w:val="18"/>
          <w:szCs w:val="18"/>
          <w:vertAlign w:val="baseline"/>
          <w:lang w:val="en-GB"/>
        </w:rPr>
        <w:t>.</w:t>
      </w:r>
      <w:r w:rsidRPr="00555110">
        <w:rPr>
          <w:rStyle w:val="FootnoteReference"/>
          <w:rFonts w:ascii="Arial" w:hAnsi="Arial" w:cs="Arial"/>
          <w:noProof/>
          <w:sz w:val="18"/>
          <w:szCs w:val="18"/>
          <w:vertAlign w:val="baseline"/>
          <w:lang w:val="en-GB"/>
        </w:rPr>
        <w:tab/>
      </w:r>
      <w:r w:rsidRPr="00555110">
        <w:rPr>
          <w:rFonts w:ascii="Arial" w:hAnsi="Arial" w:cs="Arial"/>
          <w:noProof/>
          <w:sz w:val="18"/>
          <w:szCs w:val="18"/>
          <w:lang w:val="en-GB"/>
        </w:rPr>
        <w:t xml:space="preserve">See Chapter VI of the Operational Directives in the </w:t>
      </w:r>
      <w:hyperlink r:id="rId3" w:history="1">
        <w:r w:rsidRPr="00FC2AB0">
          <w:rPr>
            <w:rFonts w:ascii="Arial" w:hAnsi="Arial" w:cs="Arial"/>
            <w:noProof/>
            <w:sz w:val="18"/>
            <w:szCs w:val="18"/>
            <w:lang w:val="en-GB"/>
          </w:rPr>
          <w:t xml:space="preserve">Basic Texts of the Convention, </w:t>
        </w:r>
        <w:r w:rsidRPr="00FC2AB0">
          <w:rPr>
            <w:rFonts w:ascii="Arial" w:hAnsi="Arial" w:cs="Arial"/>
            <w:noProof/>
            <w:color w:val="0000FF"/>
            <w:sz w:val="18"/>
            <w:szCs w:val="18"/>
            <w:u w:val="single"/>
            <w:lang w:val="en-GB"/>
          </w:rPr>
          <w:t>2020 Edition</w:t>
        </w:r>
      </w:hyperlink>
      <w:r w:rsidRPr="00FC2AB0">
        <w:rPr>
          <w:rFonts w:ascii="Arial" w:hAnsi="Arial" w:cs="Arial"/>
          <w:sz w:val="18"/>
          <w:szCs w:val="18"/>
          <w:lang w:val="en-GB"/>
        </w:rPr>
        <w:t>.</w:t>
      </w:r>
    </w:p>
  </w:footnote>
  <w:footnote w:id="7">
    <w:p w14:paraId="065B762F" w14:textId="77777777" w:rsidR="00D54374" w:rsidRPr="00555110" w:rsidRDefault="00D54374" w:rsidP="00925A18">
      <w:pPr>
        <w:pStyle w:val="FootnoteText"/>
        <w:tabs>
          <w:tab w:val="left" w:pos="567"/>
        </w:tabs>
        <w:ind w:left="567" w:hanging="567"/>
        <w:jc w:val="both"/>
        <w:rPr>
          <w:rFonts w:ascii="Arial" w:hAnsi="Arial" w:cs="Arial"/>
          <w:sz w:val="18"/>
          <w:szCs w:val="18"/>
          <w:lang w:val="en-GB"/>
        </w:rPr>
      </w:pPr>
      <w:r w:rsidRPr="00555110">
        <w:rPr>
          <w:rStyle w:val="FootnoteReference"/>
          <w:rFonts w:ascii="Arial" w:hAnsi="Arial" w:cs="Arial"/>
          <w:noProof/>
          <w:sz w:val="18"/>
          <w:szCs w:val="18"/>
          <w:vertAlign w:val="baseline"/>
        </w:rPr>
        <w:footnoteRef/>
      </w:r>
      <w:r w:rsidRPr="00555110">
        <w:rPr>
          <w:rStyle w:val="FootnoteReference"/>
          <w:rFonts w:ascii="Arial" w:hAnsi="Arial" w:cs="Arial"/>
          <w:noProof/>
          <w:sz w:val="18"/>
          <w:szCs w:val="18"/>
          <w:vertAlign w:val="baseline"/>
          <w:lang w:val="en-GB"/>
        </w:rPr>
        <w:t>.</w:t>
      </w:r>
      <w:r w:rsidRPr="00555110">
        <w:rPr>
          <w:rStyle w:val="FootnoteReference"/>
          <w:rFonts w:ascii="Arial" w:hAnsi="Arial" w:cs="Arial"/>
          <w:noProof/>
          <w:sz w:val="18"/>
          <w:szCs w:val="18"/>
          <w:vertAlign w:val="baseline"/>
          <w:lang w:val="en-GB"/>
        </w:rPr>
        <w:tab/>
      </w:r>
      <w:r w:rsidRPr="00FC2AB0">
        <w:rPr>
          <w:rFonts w:ascii="Arial" w:hAnsi="Arial" w:cs="Arial"/>
          <w:sz w:val="18"/>
          <w:szCs w:val="18"/>
          <w:lang w:val="en-GB"/>
        </w:rPr>
        <w:t>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w:t>
      </w:r>
    </w:p>
  </w:footnote>
  <w:footnote w:id="8">
    <w:p w14:paraId="7DD19641" w14:textId="77777777" w:rsidR="00D54374" w:rsidRPr="00555110" w:rsidRDefault="00D54374" w:rsidP="00925A18">
      <w:pPr>
        <w:pStyle w:val="FootnoteText"/>
        <w:tabs>
          <w:tab w:val="left" w:pos="567"/>
        </w:tabs>
        <w:rPr>
          <w:rFonts w:ascii="Arial" w:hAnsi="Arial" w:cs="Arial"/>
          <w:sz w:val="18"/>
          <w:szCs w:val="18"/>
          <w:lang w:val="en-GB" w:eastAsia="ko-KR"/>
        </w:rPr>
      </w:pPr>
      <w:r w:rsidRPr="00555110">
        <w:rPr>
          <w:rStyle w:val="FootnoteReference"/>
          <w:rFonts w:ascii="Arial" w:hAnsi="Arial" w:cs="Arial"/>
          <w:sz w:val="18"/>
          <w:szCs w:val="18"/>
          <w:vertAlign w:val="baseline"/>
        </w:rPr>
        <w:footnoteRef/>
      </w:r>
      <w:r w:rsidRPr="00555110">
        <w:rPr>
          <w:rFonts w:ascii="Arial" w:hAnsi="Arial" w:cs="Arial"/>
          <w:sz w:val="18"/>
          <w:szCs w:val="18"/>
          <w:lang w:val="en-GB"/>
        </w:rPr>
        <w:t>.</w:t>
      </w:r>
      <w:r w:rsidRPr="00555110">
        <w:rPr>
          <w:rFonts w:ascii="Arial" w:hAnsi="Arial" w:cs="Arial"/>
          <w:sz w:val="18"/>
          <w:szCs w:val="18"/>
          <w:lang w:val="en-GB"/>
        </w:rPr>
        <w:tab/>
      </w:r>
      <w:r w:rsidRPr="00FC2AB0">
        <w:rPr>
          <w:rFonts w:ascii="Arial" w:hAnsi="Arial" w:cs="Arial"/>
          <w:sz w:val="18"/>
          <w:szCs w:val="18"/>
          <w:lang w:val="en-GB"/>
        </w:rPr>
        <w:t>See the</w:t>
      </w:r>
      <w:r w:rsidRPr="00555110">
        <w:rPr>
          <w:rFonts w:ascii="Arial" w:hAnsi="Arial" w:cs="Arial"/>
          <w:sz w:val="18"/>
          <w:szCs w:val="18"/>
          <w:lang w:val="en-GB" w:eastAsia="ko-KR"/>
        </w:rPr>
        <w:t xml:space="preserve"> </w:t>
      </w:r>
      <w:hyperlink r:id="rId4" w:history="1">
        <w:r w:rsidRPr="00FC2AB0">
          <w:rPr>
            <w:rStyle w:val="Hyperlink"/>
            <w:rFonts w:ascii="Arial" w:hAnsi="Arial" w:cs="Arial"/>
            <w:sz w:val="18"/>
            <w:szCs w:val="18"/>
            <w:lang w:val="en-GB" w:eastAsia="ko-KR"/>
          </w:rPr>
          <w:t>Ethical Principles for Safeguarding Intangible Cultural Heritage</w:t>
        </w:r>
      </w:hyperlink>
      <w:r w:rsidRPr="00555110">
        <w:rPr>
          <w:rFonts w:ascii="Arial" w:hAnsi="Arial" w:cs="Arial"/>
          <w:sz w:val="18"/>
          <w:szCs w:val="18"/>
          <w:lang w:val="en-GB"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0860BC18" w:rsidR="00D54374" w:rsidRPr="007E4E37" w:rsidRDefault="00D54374" w:rsidP="003F682C">
    <w:pPr>
      <w:pStyle w:val="Header"/>
      <w:rPr>
        <w:rFonts w:ascii="Arial" w:hAnsi="Arial" w:cs="Arial"/>
      </w:rPr>
    </w:pPr>
    <w:r>
      <w:rPr>
        <w:rFonts w:ascii="Arial" w:hAnsi="Arial" w:cs="Arial"/>
        <w:sz w:val="20"/>
        <w:szCs w:val="20"/>
      </w:rPr>
      <w:t>LHE/21/16.COM</w:t>
    </w:r>
    <w:r w:rsidRPr="00D81948">
      <w:rPr>
        <w:rFonts w:ascii="Arial" w:hAnsi="Arial" w:cs="Arial"/>
        <w:sz w:val="20"/>
        <w:szCs w:val="20"/>
      </w:rPr>
      <w:t>/</w:t>
    </w:r>
    <w:r>
      <w:rPr>
        <w:rFonts w:ascii="Arial" w:hAnsi="Arial" w:cs="Arial"/>
        <w:sz w:val="20"/>
        <w:szCs w:val="20"/>
      </w:rPr>
      <w:t>12</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1EBF7F90" w:rsidR="00D54374" w:rsidRPr="007E4E37" w:rsidRDefault="00D54374" w:rsidP="007D13D9">
    <w:pPr>
      <w:pStyle w:val="Header"/>
      <w:ind w:left="2544" w:firstLine="3828"/>
      <w:jc w:val="right"/>
      <w:rPr>
        <w:rFonts w:ascii="Arial" w:hAnsi="Arial" w:cs="Arial"/>
      </w:rPr>
    </w:pPr>
    <w:r>
      <w:rPr>
        <w:rFonts w:ascii="Arial" w:hAnsi="Arial" w:cs="Arial"/>
        <w:sz w:val="20"/>
        <w:szCs w:val="20"/>
        <w:lang w:val="en-US"/>
      </w:rPr>
      <w:t xml:space="preserve">LHE/21/16.COM/12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F24" w14:textId="6F12C767" w:rsidR="00D54374" w:rsidRPr="00340886" w:rsidRDefault="00D54374" w:rsidP="0095046A">
    <w:pPr>
      <w:pStyle w:val="Header"/>
    </w:pPr>
    <w:r w:rsidRPr="00340886">
      <w:rPr>
        <w:noProof/>
      </w:rPr>
      <w:drawing>
        <wp:anchor distT="0" distB="0" distL="114300" distR="114300" simplePos="0" relativeHeight="251659264" behindDoc="0" locked="0" layoutInCell="1" allowOverlap="1" wp14:anchorId="3E78AD2C" wp14:editId="599CCDF1">
          <wp:simplePos x="0" y="0"/>
          <wp:positionH relativeFrom="column">
            <wp:posOffset>27305</wp:posOffset>
          </wp:positionH>
          <wp:positionV relativeFrom="paragraph">
            <wp:posOffset>38100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626AE" w14:textId="77777777" w:rsidR="00D54374" w:rsidRPr="00340886" w:rsidRDefault="00D54374" w:rsidP="0095046A">
    <w:pPr>
      <w:pStyle w:val="Header"/>
      <w:spacing w:after="520"/>
      <w:jc w:val="right"/>
      <w:rPr>
        <w:rFonts w:ascii="Arial" w:hAnsi="Arial" w:cs="Arial"/>
        <w:b/>
        <w:sz w:val="44"/>
        <w:szCs w:val="44"/>
        <w:lang w:val="pt-PT"/>
      </w:rPr>
    </w:pPr>
    <w:r w:rsidRPr="00340886">
      <w:rPr>
        <w:rFonts w:ascii="Arial" w:hAnsi="Arial" w:cs="Arial"/>
        <w:b/>
        <w:sz w:val="44"/>
        <w:szCs w:val="44"/>
        <w:lang w:val="pt-PT"/>
      </w:rPr>
      <w:t>16 COM</w:t>
    </w:r>
  </w:p>
  <w:p w14:paraId="13C6E0AB" w14:textId="09890925" w:rsidR="00D54374" w:rsidRPr="00340886" w:rsidRDefault="00D54374" w:rsidP="0095046A">
    <w:pPr>
      <w:spacing w:after="0"/>
      <w:jc w:val="right"/>
      <w:rPr>
        <w:rFonts w:ascii="Arial" w:hAnsi="Arial" w:cs="Arial"/>
        <w:b/>
        <w:szCs w:val="22"/>
        <w:lang w:val="pt-PT"/>
      </w:rPr>
    </w:pPr>
    <w:r w:rsidRPr="00340886">
      <w:rPr>
        <w:rFonts w:ascii="Arial" w:hAnsi="Arial" w:cs="Arial"/>
        <w:b/>
        <w:szCs w:val="22"/>
        <w:lang w:val="pt-PT"/>
      </w:rPr>
      <w:t>LHE/21/16.COM/12</w:t>
    </w:r>
  </w:p>
  <w:p w14:paraId="4FA5B28C" w14:textId="0892643E" w:rsidR="00D54374" w:rsidRPr="00340886" w:rsidRDefault="00D54374" w:rsidP="0095046A">
    <w:pPr>
      <w:spacing w:after="0"/>
      <w:jc w:val="right"/>
      <w:rPr>
        <w:rFonts w:ascii="Arial" w:eastAsiaTheme="minorEastAsia" w:hAnsi="Arial" w:cs="Arial"/>
        <w:b/>
        <w:szCs w:val="22"/>
        <w:lang w:val="pt-PT" w:eastAsia="ko-KR"/>
      </w:rPr>
    </w:pPr>
    <w:r w:rsidRPr="00340886">
      <w:rPr>
        <w:rFonts w:ascii="Arial" w:hAnsi="Arial" w:cs="Arial"/>
        <w:b/>
        <w:szCs w:val="22"/>
        <w:lang w:val="pt-PT"/>
      </w:rPr>
      <w:t>Paris, 15 November 2021</w:t>
    </w:r>
  </w:p>
  <w:p w14:paraId="158A2807" w14:textId="55887954" w:rsidR="00D54374" w:rsidRPr="0095046A" w:rsidRDefault="00D54374" w:rsidP="0095046A">
    <w:pPr>
      <w:spacing w:after="0"/>
      <w:jc w:val="right"/>
      <w:rPr>
        <w:rFonts w:ascii="Arial" w:hAnsi="Arial" w:cs="Arial"/>
        <w:b/>
        <w:szCs w:val="22"/>
      </w:rPr>
    </w:pPr>
    <w:r w:rsidRPr="00340886">
      <w:rPr>
        <w:rFonts w:ascii="Arial" w:hAnsi="Arial" w:cs="Arial"/>
        <w:b/>
        <w:szCs w:val="22"/>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6E37"/>
    <w:multiLevelType w:val="hybridMultilevel"/>
    <w:tmpl w:val="13E6AA80"/>
    <w:lvl w:ilvl="0" w:tplc="E26C050C">
      <w:start w:val="2"/>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3F87FF9"/>
    <w:multiLevelType w:val="hybridMultilevel"/>
    <w:tmpl w:val="90603A94"/>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05581F5C"/>
    <w:multiLevelType w:val="hybridMultilevel"/>
    <w:tmpl w:val="AE0694E4"/>
    <w:lvl w:ilvl="0" w:tplc="A5B6CC14">
      <w:start w:val="1"/>
      <w:numFmt w:val="upperLetter"/>
      <w:lvlText w:val="%1."/>
      <w:lvlJc w:val="left"/>
      <w:pPr>
        <w:ind w:left="644"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983421"/>
    <w:multiLevelType w:val="hybridMultilevel"/>
    <w:tmpl w:val="4640529C"/>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14404DC4"/>
    <w:lvl w:ilvl="0" w:tplc="E924862E">
      <w:start w:val="1"/>
      <w:numFmt w:val="decimal"/>
      <w:pStyle w:val="1GAPara"/>
      <w:lvlText w:val="%1."/>
      <w:lvlJc w:val="left"/>
      <w:pPr>
        <w:ind w:left="720" w:hanging="360"/>
      </w:pPr>
      <w:rPr>
        <w:rFonts w:asciiTheme="minorBidi" w:hAnsiTheme="minorBidi" w:cstheme="minorBid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C1100D9C"/>
    <w:lvl w:ilvl="0" w:tplc="67C2F190">
      <w:start w:val="1"/>
      <w:numFmt w:val="decimal"/>
      <w:pStyle w:val="COMParaDecision"/>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71665"/>
    <w:multiLevelType w:val="hybridMultilevel"/>
    <w:tmpl w:val="929CF4D0"/>
    <w:lvl w:ilvl="0" w:tplc="D04ECF5C">
      <w:start w:val="1"/>
      <w:numFmt w:val="decimal"/>
      <w:pStyle w:val="ListParagraph"/>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C579AA"/>
    <w:multiLevelType w:val="hybridMultilevel"/>
    <w:tmpl w:val="9B2697EE"/>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0B0161"/>
    <w:multiLevelType w:val="hybridMultilevel"/>
    <w:tmpl w:val="A4C8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A95DCF"/>
    <w:multiLevelType w:val="hybridMultilevel"/>
    <w:tmpl w:val="46F0C99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14BDA"/>
    <w:multiLevelType w:val="hybridMultilevel"/>
    <w:tmpl w:val="39E2F77A"/>
    <w:lvl w:ilvl="0" w:tplc="04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C51EFE"/>
    <w:multiLevelType w:val="hybridMultilevel"/>
    <w:tmpl w:val="490A664E"/>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20"/>
  </w:num>
  <w:num w:numId="5">
    <w:abstractNumId w:val="17"/>
  </w:num>
  <w:num w:numId="6">
    <w:abstractNumId w:val="4"/>
  </w:num>
  <w:num w:numId="7">
    <w:abstractNumId w:val="6"/>
  </w:num>
  <w:num w:numId="8">
    <w:abstractNumId w:val="8"/>
  </w:num>
  <w:num w:numId="9">
    <w:abstractNumId w:val="18"/>
  </w:num>
  <w:num w:numId="10">
    <w:abstractNumId w:val="8"/>
    <w:lvlOverride w:ilvl="0">
      <w:startOverride w:val="1"/>
    </w:lvlOverride>
  </w:num>
  <w:num w:numId="11">
    <w:abstractNumId w:val="15"/>
  </w:num>
  <w:num w:numId="12">
    <w:abstractNumId w:val="11"/>
  </w:num>
  <w:num w:numId="13">
    <w:abstractNumId w:val="12"/>
  </w:num>
  <w:num w:numId="14">
    <w:abstractNumId w:val="10"/>
  </w:num>
  <w:num w:numId="15">
    <w:abstractNumId w:val="2"/>
  </w:num>
  <w:num w:numId="16">
    <w:abstractNumId w:val="0"/>
  </w:num>
  <w:num w:numId="17">
    <w:abstractNumId w:val="3"/>
  </w:num>
  <w:num w:numId="18">
    <w:abstractNumId w:val="10"/>
    <w:lvlOverride w:ilvl="0">
      <w:startOverride w:val="1"/>
    </w:lvlOverride>
  </w:num>
  <w:num w:numId="19">
    <w:abstractNumId w:val="16"/>
  </w:num>
  <w:num w:numId="20">
    <w:abstractNumId w:val="19"/>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349"/>
    <w:rsid w:val="000047CC"/>
    <w:rsid w:val="00004DFA"/>
    <w:rsid w:val="000120FD"/>
    <w:rsid w:val="000128CC"/>
    <w:rsid w:val="00013075"/>
    <w:rsid w:val="000173B5"/>
    <w:rsid w:val="00017C0B"/>
    <w:rsid w:val="00021831"/>
    <w:rsid w:val="000260DD"/>
    <w:rsid w:val="00045AB9"/>
    <w:rsid w:val="00047E58"/>
    <w:rsid w:val="00062E9A"/>
    <w:rsid w:val="00066BF6"/>
    <w:rsid w:val="00073D20"/>
    <w:rsid w:val="000755E1"/>
    <w:rsid w:val="000759E0"/>
    <w:rsid w:val="00080AAA"/>
    <w:rsid w:val="000813DC"/>
    <w:rsid w:val="00085541"/>
    <w:rsid w:val="00093063"/>
    <w:rsid w:val="000A34CE"/>
    <w:rsid w:val="000B2C5D"/>
    <w:rsid w:val="000C24A3"/>
    <w:rsid w:val="000C4A52"/>
    <w:rsid w:val="000C5F3A"/>
    <w:rsid w:val="000C65E4"/>
    <w:rsid w:val="000C7E48"/>
    <w:rsid w:val="000D10AB"/>
    <w:rsid w:val="000D279F"/>
    <w:rsid w:val="000F2247"/>
    <w:rsid w:val="000F65F3"/>
    <w:rsid w:val="00105806"/>
    <w:rsid w:val="001064D8"/>
    <w:rsid w:val="00106685"/>
    <w:rsid w:val="00106B72"/>
    <w:rsid w:val="001076FC"/>
    <w:rsid w:val="00114729"/>
    <w:rsid w:val="001149B2"/>
    <w:rsid w:val="0011750D"/>
    <w:rsid w:val="00121A4B"/>
    <w:rsid w:val="00125CDA"/>
    <w:rsid w:val="00126DEB"/>
    <w:rsid w:val="00140312"/>
    <w:rsid w:val="001412DE"/>
    <w:rsid w:val="00142E2A"/>
    <w:rsid w:val="00144A4D"/>
    <w:rsid w:val="00145746"/>
    <w:rsid w:val="00147F27"/>
    <w:rsid w:val="00151351"/>
    <w:rsid w:val="00163737"/>
    <w:rsid w:val="00167382"/>
    <w:rsid w:val="00174B39"/>
    <w:rsid w:val="00175244"/>
    <w:rsid w:val="001836DA"/>
    <w:rsid w:val="00190032"/>
    <w:rsid w:val="001943EE"/>
    <w:rsid w:val="00195AD2"/>
    <w:rsid w:val="001A431C"/>
    <w:rsid w:val="001B01FE"/>
    <w:rsid w:val="001B4ECE"/>
    <w:rsid w:val="001B54CC"/>
    <w:rsid w:val="001C21F6"/>
    <w:rsid w:val="001C2B9F"/>
    <w:rsid w:val="001C3CF6"/>
    <w:rsid w:val="001C5990"/>
    <w:rsid w:val="001C5BA7"/>
    <w:rsid w:val="001D00B5"/>
    <w:rsid w:val="001D3B29"/>
    <w:rsid w:val="001E1294"/>
    <w:rsid w:val="001E4EEB"/>
    <w:rsid w:val="001E6026"/>
    <w:rsid w:val="001E6653"/>
    <w:rsid w:val="001F2361"/>
    <w:rsid w:val="001F3696"/>
    <w:rsid w:val="001F37CA"/>
    <w:rsid w:val="001F3CA5"/>
    <w:rsid w:val="001F401D"/>
    <w:rsid w:val="001F799E"/>
    <w:rsid w:val="00204B37"/>
    <w:rsid w:val="002105E4"/>
    <w:rsid w:val="00213C6D"/>
    <w:rsid w:val="00217B08"/>
    <w:rsid w:val="00220740"/>
    <w:rsid w:val="00234910"/>
    <w:rsid w:val="00237E43"/>
    <w:rsid w:val="002419D9"/>
    <w:rsid w:val="00242609"/>
    <w:rsid w:val="00243BBC"/>
    <w:rsid w:val="002459E4"/>
    <w:rsid w:val="00246C40"/>
    <w:rsid w:val="002520CD"/>
    <w:rsid w:val="0025484E"/>
    <w:rsid w:val="0027198B"/>
    <w:rsid w:val="0027694E"/>
    <w:rsid w:val="002809C1"/>
    <w:rsid w:val="00282FB2"/>
    <w:rsid w:val="00286C0C"/>
    <w:rsid w:val="00290D5F"/>
    <w:rsid w:val="002938F2"/>
    <w:rsid w:val="002A0742"/>
    <w:rsid w:val="002A0B65"/>
    <w:rsid w:val="002A100C"/>
    <w:rsid w:val="002A5504"/>
    <w:rsid w:val="002A719E"/>
    <w:rsid w:val="002B4264"/>
    <w:rsid w:val="002B5DFA"/>
    <w:rsid w:val="002C5280"/>
    <w:rsid w:val="002D1458"/>
    <w:rsid w:val="002D2681"/>
    <w:rsid w:val="002D396D"/>
    <w:rsid w:val="002D4B4C"/>
    <w:rsid w:val="002E20E6"/>
    <w:rsid w:val="002E4CB7"/>
    <w:rsid w:val="002E7764"/>
    <w:rsid w:val="002E7C83"/>
    <w:rsid w:val="002F0E0A"/>
    <w:rsid w:val="002F53FD"/>
    <w:rsid w:val="00307B6A"/>
    <w:rsid w:val="003123DB"/>
    <w:rsid w:val="0031420F"/>
    <w:rsid w:val="00314BD8"/>
    <w:rsid w:val="0033258E"/>
    <w:rsid w:val="00340886"/>
    <w:rsid w:val="0034227C"/>
    <w:rsid w:val="003433FF"/>
    <w:rsid w:val="00343E91"/>
    <w:rsid w:val="003538AF"/>
    <w:rsid w:val="0035648A"/>
    <w:rsid w:val="00363995"/>
    <w:rsid w:val="00374AF0"/>
    <w:rsid w:val="0039446E"/>
    <w:rsid w:val="00394DB7"/>
    <w:rsid w:val="003A0D58"/>
    <w:rsid w:val="003A1DAD"/>
    <w:rsid w:val="003B5F20"/>
    <w:rsid w:val="003C41F7"/>
    <w:rsid w:val="003C5D5F"/>
    <w:rsid w:val="003C7065"/>
    <w:rsid w:val="003C74D8"/>
    <w:rsid w:val="003D1594"/>
    <w:rsid w:val="003F682C"/>
    <w:rsid w:val="004108B6"/>
    <w:rsid w:val="00412F26"/>
    <w:rsid w:val="00414148"/>
    <w:rsid w:val="004233EB"/>
    <w:rsid w:val="00425833"/>
    <w:rsid w:val="00434773"/>
    <w:rsid w:val="00447C66"/>
    <w:rsid w:val="004504E6"/>
    <w:rsid w:val="004620E1"/>
    <w:rsid w:val="004647A8"/>
    <w:rsid w:val="00466EAB"/>
    <w:rsid w:val="00471B34"/>
    <w:rsid w:val="004727D1"/>
    <w:rsid w:val="00473F98"/>
    <w:rsid w:val="004749AD"/>
    <w:rsid w:val="00477C91"/>
    <w:rsid w:val="00483688"/>
    <w:rsid w:val="00485479"/>
    <w:rsid w:val="00487A86"/>
    <w:rsid w:val="00495159"/>
    <w:rsid w:val="00497789"/>
    <w:rsid w:val="00497EF8"/>
    <w:rsid w:val="004A2C2A"/>
    <w:rsid w:val="004A69AC"/>
    <w:rsid w:val="004B008B"/>
    <w:rsid w:val="004B078B"/>
    <w:rsid w:val="004C1301"/>
    <w:rsid w:val="004C1706"/>
    <w:rsid w:val="004C4449"/>
    <w:rsid w:val="004C486D"/>
    <w:rsid w:val="004D5B73"/>
    <w:rsid w:val="004E056C"/>
    <w:rsid w:val="004E2817"/>
    <w:rsid w:val="005006BD"/>
    <w:rsid w:val="0050100E"/>
    <w:rsid w:val="005016FB"/>
    <w:rsid w:val="00505236"/>
    <w:rsid w:val="00506732"/>
    <w:rsid w:val="005069E7"/>
    <w:rsid w:val="00507B89"/>
    <w:rsid w:val="005112F0"/>
    <w:rsid w:val="0051163A"/>
    <w:rsid w:val="00511D17"/>
    <w:rsid w:val="0051699F"/>
    <w:rsid w:val="00517738"/>
    <w:rsid w:val="0052029F"/>
    <w:rsid w:val="00520BCD"/>
    <w:rsid w:val="00521E5F"/>
    <w:rsid w:val="005259CF"/>
    <w:rsid w:val="00530E51"/>
    <w:rsid w:val="005329D6"/>
    <w:rsid w:val="00535849"/>
    <w:rsid w:val="00537D5A"/>
    <w:rsid w:val="005414A1"/>
    <w:rsid w:val="00543E98"/>
    <w:rsid w:val="00555110"/>
    <w:rsid w:val="00557F01"/>
    <w:rsid w:val="00565420"/>
    <w:rsid w:val="0056648B"/>
    <w:rsid w:val="00566BD5"/>
    <w:rsid w:val="00567902"/>
    <w:rsid w:val="00570814"/>
    <w:rsid w:val="005720E3"/>
    <w:rsid w:val="0057728C"/>
    <w:rsid w:val="00580485"/>
    <w:rsid w:val="0059488F"/>
    <w:rsid w:val="005C0660"/>
    <w:rsid w:val="005C2754"/>
    <w:rsid w:val="005C3567"/>
    <w:rsid w:val="005C79F1"/>
    <w:rsid w:val="005C7E2C"/>
    <w:rsid w:val="005D63EA"/>
    <w:rsid w:val="005F31AD"/>
    <w:rsid w:val="00601DD6"/>
    <w:rsid w:val="00603F71"/>
    <w:rsid w:val="00610F88"/>
    <w:rsid w:val="00616B3E"/>
    <w:rsid w:val="00621C83"/>
    <w:rsid w:val="00636760"/>
    <w:rsid w:val="006515C9"/>
    <w:rsid w:val="00652318"/>
    <w:rsid w:val="0065304C"/>
    <w:rsid w:val="00654E18"/>
    <w:rsid w:val="00655EED"/>
    <w:rsid w:val="006566EA"/>
    <w:rsid w:val="0066569B"/>
    <w:rsid w:val="0067005F"/>
    <w:rsid w:val="00677187"/>
    <w:rsid w:val="0068154D"/>
    <w:rsid w:val="006838AE"/>
    <w:rsid w:val="0068457E"/>
    <w:rsid w:val="006876DF"/>
    <w:rsid w:val="006A03EF"/>
    <w:rsid w:val="006A0D86"/>
    <w:rsid w:val="006A1059"/>
    <w:rsid w:val="006B1727"/>
    <w:rsid w:val="006B2685"/>
    <w:rsid w:val="006B2F24"/>
    <w:rsid w:val="006B5615"/>
    <w:rsid w:val="006C0911"/>
    <w:rsid w:val="006D06BC"/>
    <w:rsid w:val="006D46FB"/>
    <w:rsid w:val="006D4E3E"/>
    <w:rsid w:val="006E30CC"/>
    <w:rsid w:val="006E685B"/>
    <w:rsid w:val="006E75DB"/>
    <w:rsid w:val="006E7B3F"/>
    <w:rsid w:val="00704210"/>
    <w:rsid w:val="00707B46"/>
    <w:rsid w:val="007174ED"/>
    <w:rsid w:val="007334DA"/>
    <w:rsid w:val="00746204"/>
    <w:rsid w:val="00746BD5"/>
    <w:rsid w:val="00747715"/>
    <w:rsid w:val="00750138"/>
    <w:rsid w:val="00751BEF"/>
    <w:rsid w:val="00753D74"/>
    <w:rsid w:val="00753DA3"/>
    <w:rsid w:val="00762ACA"/>
    <w:rsid w:val="007641EA"/>
    <w:rsid w:val="00764476"/>
    <w:rsid w:val="00764F50"/>
    <w:rsid w:val="00770A92"/>
    <w:rsid w:val="00775DB3"/>
    <w:rsid w:val="007776C3"/>
    <w:rsid w:val="00780239"/>
    <w:rsid w:val="00790C65"/>
    <w:rsid w:val="007947F0"/>
    <w:rsid w:val="007A30D4"/>
    <w:rsid w:val="007A7872"/>
    <w:rsid w:val="007A7D45"/>
    <w:rsid w:val="007B1BC6"/>
    <w:rsid w:val="007B1BE3"/>
    <w:rsid w:val="007B2124"/>
    <w:rsid w:val="007B5137"/>
    <w:rsid w:val="007B7CB2"/>
    <w:rsid w:val="007C16B4"/>
    <w:rsid w:val="007C1B00"/>
    <w:rsid w:val="007C6B8D"/>
    <w:rsid w:val="007D13D9"/>
    <w:rsid w:val="007D31CE"/>
    <w:rsid w:val="007D5762"/>
    <w:rsid w:val="007D5BB7"/>
    <w:rsid w:val="007D62C4"/>
    <w:rsid w:val="007E0621"/>
    <w:rsid w:val="007E3B65"/>
    <w:rsid w:val="007E4E37"/>
    <w:rsid w:val="007F0E84"/>
    <w:rsid w:val="007F103E"/>
    <w:rsid w:val="007F1127"/>
    <w:rsid w:val="007F115E"/>
    <w:rsid w:val="007F4B07"/>
    <w:rsid w:val="007F6BC4"/>
    <w:rsid w:val="00800561"/>
    <w:rsid w:val="0080121B"/>
    <w:rsid w:val="00822CD9"/>
    <w:rsid w:val="008243CA"/>
    <w:rsid w:val="00827A96"/>
    <w:rsid w:val="0083488D"/>
    <w:rsid w:val="00845A41"/>
    <w:rsid w:val="008466C3"/>
    <w:rsid w:val="00851458"/>
    <w:rsid w:val="00852BEC"/>
    <w:rsid w:val="00857509"/>
    <w:rsid w:val="008602B2"/>
    <w:rsid w:val="00861A47"/>
    <w:rsid w:val="0086304A"/>
    <w:rsid w:val="008707AA"/>
    <w:rsid w:val="008707FF"/>
    <w:rsid w:val="008724E5"/>
    <w:rsid w:val="00874EE6"/>
    <w:rsid w:val="00875727"/>
    <w:rsid w:val="00875EAA"/>
    <w:rsid w:val="008813AE"/>
    <w:rsid w:val="00881BC8"/>
    <w:rsid w:val="008844EA"/>
    <w:rsid w:val="00885F28"/>
    <w:rsid w:val="00890469"/>
    <w:rsid w:val="00893BE7"/>
    <w:rsid w:val="00895CB1"/>
    <w:rsid w:val="008A5D6D"/>
    <w:rsid w:val="008C037C"/>
    <w:rsid w:val="008C75AF"/>
    <w:rsid w:val="008D20A4"/>
    <w:rsid w:val="008D3BF7"/>
    <w:rsid w:val="008D7DF1"/>
    <w:rsid w:val="008E2E87"/>
    <w:rsid w:val="008E3F0F"/>
    <w:rsid w:val="008E57E4"/>
    <w:rsid w:val="008E77C7"/>
    <w:rsid w:val="008F16C6"/>
    <w:rsid w:val="008F3012"/>
    <w:rsid w:val="008F34A1"/>
    <w:rsid w:val="00900435"/>
    <w:rsid w:val="009121CE"/>
    <w:rsid w:val="009127D8"/>
    <w:rsid w:val="009201AB"/>
    <w:rsid w:val="00921F65"/>
    <w:rsid w:val="0092367F"/>
    <w:rsid w:val="00925A18"/>
    <w:rsid w:val="00926C1A"/>
    <w:rsid w:val="00930DA3"/>
    <w:rsid w:val="00936A1B"/>
    <w:rsid w:val="0095046A"/>
    <w:rsid w:val="00951F4A"/>
    <w:rsid w:val="009540D6"/>
    <w:rsid w:val="00961E3C"/>
    <w:rsid w:val="00965DD4"/>
    <w:rsid w:val="0097349C"/>
    <w:rsid w:val="00981866"/>
    <w:rsid w:val="00985C9B"/>
    <w:rsid w:val="00996300"/>
    <w:rsid w:val="009B1A04"/>
    <w:rsid w:val="009B4723"/>
    <w:rsid w:val="009B55AC"/>
    <w:rsid w:val="009B77A0"/>
    <w:rsid w:val="009B7A9F"/>
    <w:rsid w:val="009D4547"/>
    <w:rsid w:val="009D57A0"/>
    <w:rsid w:val="009D5E38"/>
    <w:rsid w:val="009D6CEB"/>
    <w:rsid w:val="009F2A8D"/>
    <w:rsid w:val="009F34A4"/>
    <w:rsid w:val="009F3988"/>
    <w:rsid w:val="009F540F"/>
    <w:rsid w:val="00A0210C"/>
    <w:rsid w:val="00A06B95"/>
    <w:rsid w:val="00A06F19"/>
    <w:rsid w:val="00A13856"/>
    <w:rsid w:val="00A150C7"/>
    <w:rsid w:val="00A15966"/>
    <w:rsid w:val="00A20CE8"/>
    <w:rsid w:val="00A337EA"/>
    <w:rsid w:val="00A37CF1"/>
    <w:rsid w:val="00A43C37"/>
    <w:rsid w:val="00A507E7"/>
    <w:rsid w:val="00A519A2"/>
    <w:rsid w:val="00A6174E"/>
    <w:rsid w:val="00A62F7A"/>
    <w:rsid w:val="00A6499A"/>
    <w:rsid w:val="00A64AB8"/>
    <w:rsid w:val="00A66A07"/>
    <w:rsid w:val="00A70883"/>
    <w:rsid w:val="00A759E1"/>
    <w:rsid w:val="00A77AEB"/>
    <w:rsid w:val="00A86042"/>
    <w:rsid w:val="00A9237D"/>
    <w:rsid w:val="00A95970"/>
    <w:rsid w:val="00AA0709"/>
    <w:rsid w:val="00AA444A"/>
    <w:rsid w:val="00AA49A6"/>
    <w:rsid w:val="00AB1528"/>
    <w:rsid w:val="00AB30B3"/>
    <w:rsid w:val="00AB3EB6"/>
    <w:rsid w:val="00AC1C37"/>
    <w:rsid w:val="00AC29A6"/>
    <w:rsid w:val="00AC49E6"/>
    <w:rsid w:val="00AC4C3F"/>
    <w:rsid w:val="00AD2FD6"/>
    <w:rsid w:val="00AD50E4"/>
    <w:rsid w:val="00AE1B18"/>
    <w:rsid w:val="00AE38A8"/>
    <w:rsid w:val="00AE627F"/>
    <w:rsid w:val="00AF0A9C"/>
    <w:rsid w:val="00AF1C32"/>
    <w:rsid w:val="00AF5016"/>
    <w:rsid w:val="00B01116"/>
    <w:rsid w:val="00B01D72"/>
    <w:rsid w:val="00B11AE3"/>
    <w:rsid w:val="00B14DF9"/>
    <w:rsid w:val="00B15D47"/>
    <w:rsid w:val="00B21F2F"/>
    <w:rsid w:val="00B24B0D"/>
    <w:rsid w:val="00B4041C"/>
    <w:rsid w:val="00B4380E"/>
    <w:rsid w:val="00B53C9D"/>
    <w:rsid w:val="00B573E1"/>
    <w:rsid w:val="00B6167A"/>
    <w:rsid w:val="00B6214D"/>
    <w:rsid w:val="00B6280A"/>
    <w:rsid w:val="00B635F8"/>
    <w:rsid w:val="00B73BE7"/>
    <w:rsid w:val="00B7448D"/>
    <w:rsid w:val="00B814E6"/>
    <w:rsid w:val="00B96BA6"/>
    <w:rsid w:val="00B973B5"/>
    <w:rsid w:val="00BA72F6"/>
    <w:rsid w:val="00BB6FAF"/>
    <w:rsid w:val="00BC7960"/>
    <w:rsid w:val="00BD33EA"/>
    <w:rsid w:val="00BD59BD"/>
    <w:rsid w:val="00BD5F3E"/>
    <w:rsid w:val="00BE1DEA"/>
    <w:rsid w:val="00BE59F5"/>
    <w:rsid w:val="00BF10C3"/>
    <w:rsid w:val="00C01105"/>
    <w:rsid w:val="00C05FA1"/>
    <w:rsid w:val="00C11251"/>
    <w:rsid w:val="00C15350"/>
    <w:rsid w:val="00C1651E"/>
    <w:rsid w:val="00C20F63"/>
    <w:rsid w:val="00C37AF4"/>
    <w:rsid w:val="00C37D71"/>
    <w:rsid w:val="00C4105F"/>
    <w:rsid w:val="00C411EA"/>
    <w:rsid w:val="00C41D40"/>
    <w:rsid w:val="00C473EE"/>
    <w:rsid w:val="00C508CD"/>
    <w:rsid w:val="00C52C5F"/>
    <w:rsid w:val="00C545BB"/>
    <w:rsid w:val="00C63F65"/>
    <w:rsid w:val="00C6478B"/>
    <w:rsid w:val="00C64B5D"/>
    <w:rsid w:val="00C65379"/>
    <w:rsid w:val="00C70EFC"/>
    <w:rsid w:val="00C74F94"/>
    <w:rsid w:val="00C86AB5"/>
    <w:rsid w:val="00C94DE2"/>
    <w:rsid w:val="00C9572E"/>
    <w:rsid w:val="00C975DC"/>
    <w:rsid w:val="00CB0F37"/>
    <w:rsid w:val="00CB6009"/>
    <w:rsid w:val="00CB76F8"/>
    <w:rsid w:val="00CC2493"/>
    <w:rsid w:val="00CC2BC6"/>
    <w:rsid w:val="00CC4CB8"/>
    <w:rsid w:val="00CE2586"/>
    <w:rsid w:val="00CF5253"/>
    <w:rsid w:val="00D001B4"/>
    <w:rsid w:val="00D11CE9"/>
    <w:rsid w:val="00D1284B"/>
    <w:rsid w:val="00D20C78"/>
    <w:rsid w:val="00D217AB"/>
    <w:rsid w:val="00D328A0"/>
    <w:rsid w:val="00D35256"/>
    <w:rsid w:val="00D404B7"/>
    <w:rsid w:val="00D40AE2"/>
    <w:rsid w:val="00D44403"/>
    <w:rsid w:val="00D44495"/>
    <w:rsid w:val="00D45AD6"/>
    <w:rsid w:val="00D46EBD"/>
    <w:rsid w:val="00D47920"/>
    <w:rsid w:val="00D54374"/>
    <w:rsid w:val="00D56786"/>
    <w:rsid w:val="00D57B82"/>
    <w:rsid w:val="00D61CC6"/>
    <w:rsid w:val="00D809E5"/>
    <w:rsid w:val="00D818A6"/>
    <w:rsid w:val="00D81948"/>
    <w:rsid w:val="00D82623"/>
    <w:rsid w:val="00D9501F"/>
    <w:rsid w:val="00D97F03"/>
    <w:rsid w:val="00DA2E76"/>
    <w:rsid w:val="00DA4D16"/>
    <w:rsid w:val="00DB45D0"/>
    <w:rsid w:val="00DB50D5"/>
    <w:rsid w:val="00DB7255"/>
    <w:rsid w:val="00DC0273"/>
    <w:rsid w:val="00DD1CA7"/>
    <w:rsid w:val="00DE48B9"/>
    <w:rsid w:val="00DF23AC"/>
    <w:rsid w:val="00DF3DA3"/>
    <w:rsid w:val="00E06A00"/>
    <w:rsid w:val="00E10251"/>
    <w:rsid w:val="00E15C93"/>
    <w:rsid w:val="00E22B99"/>
    <w:rsid w:val="00E25260"/>
    <w:rsid w:val="00E258D9"/>
    <w:rsid w:val="00E32AA0"/>
    <w:rsid w:val="00E3509F"/>
    <w:rsid w:val="00E439CA"/>
    <w:rsid w:val="00E46EAF"/>
    <w:rsid w:val="00E51747"/>
    <w:rsid w:val="00E5219B"/>
    <w:rsid w:val="00E535B3"/>
    <w:rsid w:val="00E6302A"/>
    <w:rsid w:val="00E64915"/>
    <w:rsid w:val="00E64A8C"/>
    <w:rsid w:val="00E651D2"/>
    <w:rsid w:val="00E664AB"/>
    <w:rsid w:val="00E675B1"/>
    <w:rsid w:val="00E72B36"/>
    <w:rsid w:val="00E7358D"/>
    <w:rsid w:val="00E74A43"/>
    <w:rsid w:val="00E7507E"/>
    <w:rsid w:val="00E7663B"/>
    <w:rsid w:val="00E81858"/>
    <w:rsid w:val="00E9048F"/>
    <w:rsid w:val="00E90D71"/>
    <w:rsid w:val="00E91948"/>
    <w:rsid w:val="00E93F6E"/>
    <w:rsid w:val="00EA198F"/>
    <w:rsid w:val="00EC309C"/>
    <w:rsid w:val="00EC3E60"/>
    <w:rsid w:val="00EC528A"/>
    <w:rsid w:val="00EC6571"/>
    <w:rsid w:val="00ED447B"/>
    <w:rsid w:val="00ED5D06"/>
    <w:rsid w:val="00EE1D07"/>
    <w:rsid w:val="00EE5801"/>
    <w:rsid w:val="00EF0BCB"/>
    <w:rsid w:val="00EF0E74"/>
    <w:rsid w:val="00EF6997"/>
    <w:rsid w:val="00F00C28"/>
    <w:rsid w:val="00F00E8A"/>
    <w:rsid w:val="00F02A83"/>
    <w:rsid w:val="00F11357"/>
    <w:rsid w:val="00F15414"/>
    <w:rsid w:val="00F319C8"/>
    <w:rsid w:val="00F33650"/>
    <w:rsid w:val="00F45FC2"/>
    <w:rsid w:val="00F473CB"/>
    <w:rsid w:val="00F50245"/>
    <w:rsid w:val="00F63DDA"/>
    <w:rsid w:val="00F70858"/>
    <w:rsid w:val="00F71DBF"/>
    <w:rsid w:val="00F71EE0"/>
    <w:rsid w:val="00F7397F"/>
    <w:rsid w:val="00F75949"/>
    <w:rsid w:val="00F82525"/>
    <w:rsid w:val="00F8363F"/>
    <w:rsid w:val="00F941F0"/>
    <w:rsid w:val="00F9579A"/>
    <w:rsid w:val="00F97351"/>
    <w:rsid w:val="00FA0F1D"/>
    <w:rsid w:val="00FA1845"/>
    <w:rsid w:val="00FA2D88"/>
    <w:rsid w:val="00FA2D9D"/>
    <w:rsid w:val="00FB7C78"/>
    <w:rsid w:val="00FC2AB0"/>
    <w:rsid w:val="00FD0A9A"/>
    <w:rsid w:val="00FD1941"/>
    <w:rsid w:val="00FD2F6D"/>
    <w:rsid w:val="00FD7B97"/>
    <w:rsid w:val="00FE2D86"/>
    <w:rsid w:val="00FE5624"/>
    <w:rsid w:val="00FE56D6"/>
    <w:rsid w:val="00FF2B1D"/>
    <w:rsid w:val="00FF598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3F682C"/>
    <w:rPr>
      <w:rFonts w:ascii="Times New Roman" w:eastAsia="Times New Roman" w:hAnsi="Times New Roman"/>
      <w:sz w:val="24"/>
      <w:szCs w:val="24"/>
    </w:rPr>
  </w:style>
  <w:style w:type="paragraph" w:customStyle="1" w:styleId="COMPara">
    <w:name w:val="COM Para"/>
    <w:qFormat/>
    <w:rsid w:val="003F682C"/>
    <w:pPr>
      <w:spacing w:after="120"/>
      <w:ind w:left="720" w:hanging="360"/>
    </w:pPr>
    <w:rPr>
      <w:rFonts w:ascii="Arial" w:eastAsia="Times New Roman" w:hAnsi="Arial" w:cs="Arial"/>
      <w:snapToGrid w:val="0"/>
      <w:sz w:val="22"/>
      <w:szCs w:val="22"/>
      <w:lang w:val="en-GB" w:eastAsia="en-US"/>
    </w:rPr>
  </w:style>
  <w:style w:type="character" w:styleId="Hyperlink">
    <w:name w:val="Hyperlink"/>
    <w:uiPriority w:val="99"/>
    <w:unhideWhenUsed/>
    <w:rsid w:val="003F682C"/>
    <w:rPr>
      <w:color w:val="0000FF"/>
      <w:u w:val="single"/>
    </w:rPr>
  </w:style>
  <w:style w:type="paragraph" w:customStyle="1" w:styleId="Default">
    <w:name w:val="Default"/>
    <w:link w:val="DefaultChar"/>
    <w:uiPriority w:val="99"/>
    <w:rsid w:val="003F682C"/>
    <w:pPr>
      <w:autoSpaceDE w:val="0"/>
      <w:autoSpaceDN w:val="0"/>
      <w:adjustRightInd w:val="0"/>
    </w:pPr>
    <w:rPr>
      <w:rFonts w:ascii="Arial" w:hAnsi="Arial" w:cs="Arial"/>
      <w:color w:val="000000"/>
      <w:sz w:val="24"/>
      <w:szCs w:val="24"/>
      <w:lang w:val="en-US" w:eastAsia="zh-CN"/>
    </w:rPr>
  </w:style>
  <w:style w:type="paragraph" w:styleId="FootnoteText">
    <w:name w:val="footnote text"/>
    <w:basedOn w:val="Normal"/>
    <w:link w:val="FootnoteTextChar"/>
    <w:uiPriority w:val="99"/>
    <w:unhideWhenUsed/>
    <w:rsid w:val="003F682C"/>
    <w:pPr>
      <w:spacing w:after="0"/>
    </w:pPr>
    <w:rPr>
      <w:sz w:val="20"/>
      <w:szCs w:val="20"/>
      <w:lang w:val="fr-FR"/>
    </w:rPr>
  </w:style>
  <w:style w:type="character" w:customStyle="1" w:styleId="FootnoteTextChar">
    <w:name w:val="Footnote Text Char"/>
    <w:basedOn w:val="DefaultParagraphFont"/>
    <w:link w:val="FootnoteText"/>
    <w:uiPriority w:val="99"/>
    <w:rsid w:val="003F682C"/>
    <w:rPr>
      <w:rFonts w:ascii="Times New Roman" w:eastAsia="Times New Roman" w:hAnsi="Times New Roman"/>
    </w:rPr>
  </w:style>
  <w:style w:type="character" w:styleId="FootnoteReference">
    <w:name w:val="footnote reference"/>
    <w:unhideWhenUsed/>
    <w:rsid w:val="003F682C"/>
    <w:rPr>
      <w:vertAlign w:val="superscript"/>
    </w:rPr>
  </w:style>
  <w:style w:type="character" w:customStyle="1" w:styleId="DefaultChar">
    <w:name w:val="Default Char"/>
    <w:link w:val="Default"/>
    <w:uiPriority w:val="99"/>
    <w:rsid w:val="003F682C"/>
    <w:rPr>
      <w:rFonts w:ascii="Arial" w:hAnsi="Arial" w:cs="Arial"/>
      <w:color w:val="000000"/>
      <w:sz w:val="24"/>
      <w:szCs w:val="24"/>
      <w:lang w:val="en-US" w:eastAsia="zh-CN"/>
    </w:rPr>
  </w:style>
  <w:style w:type="paragraph" w:customStyle="1" w:styleId="Paragraph">
    <w:name w:val="Paragraph"/>
    <w:basedOn w:val="Default"/>
    <w:link w:val="ParagraphChar"/>
    <w:qFormat/>
    <w:rsid w:val="003F682C"/>
    <w:pPr>
      <w:spacing w:after="240"/>
      <w:jc w:val="both"/>
    </w:pPr>
    <w:rPr>
      <w:bCs/>
      <w:sz w:val="22"/>
      <w:szCs w:val="22"/>
      <w:lang w:val="en-GB"/>
    </w:rPr>
  </w:style>
  <w:style w:type="character" w:customStyle="1" w:styleId="ParagraphChar">
    <w:name w:val="Paragraph Char"/>
    <w:link w:val="Paragraph"/>
    <w:rsid w:val="003F682C"/>
    <w:rPr>
      <w:rFonts w:ascii="Arial" w:hAnsi="Arial" w:cs="Arial"/>
      <w:bCs/>
      <w:color w:val="000000"/>
      <w:sz w:val="22"/>
      <w:szCs w:val="22"/>
      <w:lang w:val="en-GB" w:eastAsia="zh-CN"/>
    </w:rPr>
  </w:style>
  <w:style w:type="paragraph" w:customStyle="1" w:styleId="ListParagraph1">
    <w:name w:val="List Paragraph1"/>
    <w:basedOn w:val="Normal"/>
    <w:qFormat/>
    <w:rsid w:val="003F682C"/>
    <w:pPr>
      <w:tabs>
        <w:tab w:val="left" w:pos="567"/>
      </w:tabs>
      <w:snapToGrid w:val="0"/>
      <w:jc w:val="both"/>
    </w:pPr>
    <w:rPr>
      <w:rFonts w:ascii="Arial" w:hAnsi="Arial" w:cs="Arial"/>
      <w:snapToGrid w:val="0"/>
      <w:szCs w:val="22"/>
      <w:lang w:eastAsia="en-US"/>
    </w:rPr>
  </w:style>
  <w:style w:type="character" w:styleId="UnresolvedMention">
    <w:name w:val="Unresolved Mention"/>
    <w:basedOn w:val="DefaultParagraphFont"/>
    <w:uiPriority w:val="99"/>
    <w:semiHidden/>
    <w:unhideWhenUsed/>
    <w:rsid w:val="00106685"/>
    <w:rPr>
      <w:color w:val="605E5C"/>
      <w:shd w:val="clear" w:color="auto" w:fill="E1DFDD"/>
    </w:rPr>
  </w:style>
  <w:style w:type="paragraph" w:styleId="ListParagraph">
    <w:name w:val="List Paragraph"/>
    <w:basedOn w:val="Normal"/>
    <w:uiPriority w:val="34"/>
    <w:qFormat/>
    <w:rsid w:val="00567902"/>
    <w:pPr>
      <w:numPr>
        <w:numId w:val="13"/>
      </w:numPr>
      <w:tabs>
        <w:tab w:val="left" w:pos="567"/>
      </w:tabs>
      <w:snapToGrid w:val="0"/>
      <w:jc w:val="both"/>
    </w:pPr>
    <w:rPr>
      <w:rFonts w:ascii="Arial" w:hAnsi="Arial" w:cs="Arial"/>
      <w:snapToGrid w:val="0"/>
      <w:szCs w:val="22"/>
      <w:lang w:eastAsia="en-US"/>
    </w:rPr>
  </w:style>
  <w:style w:type="character" w:styleId="FollowedHyperlink">
    <w:name w:val="FollowedHyperlink"/>
    <w:basedOn w:val="DefaultParagraphFont"/>
    <w:semiHidden/>
    <w:unhideWhenUsed/>
    <w:rsid w:val="006838AE"/>
    <w:rPr>
      <w:color w:val="800080" w:themeColor="followedHyperlink"/>
      <w:u w:val="single"/>
    </w:rPr>
  </w:style>
  <w:style w:type="paragraph" w:customStyle="1" w:styleId="COMParaDecision">
    <w:name w:val="COM Para Decision"/>
    <w:basedOn w:val="Normal"/>
    <w:qFormat/>
    <w:rsid w:val="002459E4"/>
    <w:pPr>
      <w:numPr>
        <w:numId w:val="14"/>
      </w:numPr>
      <w:autoSpaceDE w:val="0"/>
      <w:autoSpaceDN w:val="0"/>
      <w:adjustRightInd w:val="0"/>
      <w:ind w:left="1134" w:hanging="567"/>
      <w:jc w:val="both"/>
    </w:pPr>
    <w:rPr>
      <w:rFonts w:ascii="Arial" w:eastAsia="SimSun" w:hAnsi="Arial" w:cs="Arial"/>
      <w:szCs w:val="22"/>
      <w:u w:val="single"/>
    </w:rPr>
  </w:style>
  <w:style w:type="character" w:customStyle="1" w:styleId="hps">
    <w:name w:val="hps"/>
    <w:rsid w:val="00004349"/>
  </w:style>
  <w:style w:type="paragraph" w:customStyle="1" w:styleId="COMTitleDecision">
    <w:name w:val="COM Title Decision"/>
    <w:basedOn w:val="Normal"/>
    <w:qFormat/>
    <w:rsid w:val="00004349"/>
    <w:pPr>
      <w:keepNext/>
      <w:spacing w:before="240"/>
      <w:ind w:left="567"/>
      <w:jc w:val="both"/>
    </w:pPr>
    <w:rPr>
      <w:rFonts w:ascii="Arial" w:hAnsi="Arial" w:cs="Arial"/>
      <w:b/>
      <w:szCs w:val="22"/>
    </w:rPr>
  </w:style>
  <w:style w:type="paragraph" w:customStyle="1" w:styleId="COMPreambulaDecisions">
    <w:name w:val="COM Preambula Decisions"/>
    <w:basedOn w:val="Normal"/>
    <w:qFormat/>
    <w:rsid w:val="00004349"/>
    <w:pPr>
      <w:keepNext/>
      <w:ind w:left="567"/>
      <w:jc w:val="both"/>
    </w:pPr>
    <w:rPr>
      <w:rFonts w:ascii="Arial" w:hAnsi="Arial" w:cs="Arial"/>
      <w:szCs w:val="22"/>
    </w:rPr>
  </w:style>
  <w:style w:type="paragraph" w:styleId="Revision">
    <w:name w:val="Revision"/>
    <w:hidden/>
    <w:semiHidden/>
    <w:rsid w:val="00F9579A"/>
    <w:rPr>
      <w:rFonts w:ascii="Times New Roman" w:eastAsia="Times New Roman" w:hAnsi="Times New Roman"/>
      <w:sz w:val="22"/>
      <w:szCs w:val="24"/>
      <w:lang w:val="en-GB"/>
    </w:rPr>
  </w:style>
  <w:style w:type="paragraph" w:styleId="Caption">
    <w:name w:val="caption"/>
    <w:basedOn w:val="Normal"/>
    <w:next w:val="Normal"/>
    <w:uiPriority w:val="35"/>
    <w:unhideWhenUsed/>
    <w:qFormat/>
    <w:rsid w:val="00AD2FD6"/>
    <w:pPr>
      <w:spacing w:after="200"/>
    </w:pPr>
    <w:rPr>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57851214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6" TargetMode="External"/><Relationship Id="rId13" Type="http://schemas.openxmlformats.org/officeDocument/2006/relationships/hyperlink" Target="https://ich.unesco.org/doc/src/LHE-20-8.GA-7_Rev.-EN.docx" TargetMode="External"/><Relationship Id="rId18" Type="http://schemas.openxmlformats.org/officeDocument/2006/relationships/hyperlink" Target="https://ich.unesco.org/en/Resolutions/3.GA/9" TargetMode="External"/><Relationship Id="rId26" Type="http://schemas.openxmlformats.org/officeDocument/2006/relationships/hyperlink" Target="https://ich.unesco.org/en/projects/safeguarding-intangible-cultural-heritage-through-strengthening-national-capacities-in-morocco-mauritania-and-tunisia-00281" TargetMode="External"/><Relationship Id="rId39" Type="http://schemas.openxmlformats.org/officeDocument/2006/relationships/hyperlink" Target="https://ich.unesco.org/doc/src/LHE-21-16.COM-INF.10-EN.docx" TargetMode="External"/><Relationship Id="rId3" Type="http://schemas.openxmlformats.org/officeDocument/2006/relationships/styles" Target="styles.xml"/><Relationship Id="rId21" Type="http://schemas.openxmlformats.org/officeDocument/2006/relationships/hyperlink" Target="https://ich.unesco.org/en/projects/support-of-the-development-and-implementation-of-capacity-building-activities-for-safeguarding-intangible-cultural-heritage-in-conflict-related-situations-including-situations-of-forced-displacement-00474" TargetMode="External"/><Relationship Id="rId34" Type="http://schemas.openxmlformats.org/officeDocument/2006/relationships/hyperlink" Target="https://ich.unesco.org/en/Decisions/14.COM/6"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HE-19-14.COM-7-EN.docx" TargetMode="External"/><Relationship Id="rId17" Type="http://schemas.openxmlformats.org/officeDocument/2006/relationships/hyperlink" Target="https://ich.unesco.org/en/Decisions/12.COM/6" TargetMode="External"/><Relationship Id="rId25" Type="http://schemas.openxmlformats.org/officeDocument/2006/relationships/hyperlink" Target="https://ich.unesco.org/en/projects/learning-with-intangible-cultural-heritage-for-a-sustainable-future-in-latin-america-and-the-caribbean-00473" TargetMode="External"/><Relationship Id="rId33" Type="http://schemas.openxmlformats.org/officeDocument/2006/relationships/hyperlink" Target="https://ich.unesco.org/en/Decisions/12.COM/6" TargetMode="External"/><Relationship Id="rId38" Type="http://schemas.openxmlformats.org/officeDocument/2006/relationships/hyperlink" Target="https://ich.unesco.org/doc/src/LHE-21-16.COM-10-EN.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1-16.COM-INF.13.2-EN.docx" TargetMode="External"/><Relationship Id="rId20" Type="http://schemas.openxmlformats.org/officeDocument/2006/relationships/hyperlink" Target="https://ich.unesco.org/doc/src/LHE-21-16.COM-INF.13.1-EN.docx" TargetMode="External"/><Relationship Id="rId29" Type="http://schemas.openxmlformats.org/officeDocument/2006/relationships/hyperlink" Target="https://ich.unesco.org/en/projects/strengthening-capacities-for-safeguarding-intangible-cultural-heritage-in-disaster-contexts-00458" TargetMode="External"/><Relationship Id="rId41" Type="http://schemas.openxmlformats.org/officeDocument/2006/relationships/hyperlink" Target="https://ich.unesco.org/en/clearinghouse-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ich.unesco.org/en/projects/strengthening-capacities-at-the-national-and-local-levels-for-the-safeguarding-of-intangible-cultural-heritage-in-dominica-00477" TargetMode="External"/><Relationship Id="rId32" Type="http://schemas.openxmlformats.org/officeDocument/2006/relationships/hyperlink" Target="https://unesdoc.unesco.org/ark:/48223/pf0000378083" TargetMode="External"/><Relationship Id="rId37" Type="http://schemas.openxmlformats.org/officeDocument/2006/relationships/hyperlink" Target="https://ich.unesco.org/doc/src/LHE-20-8.GA-7_Rev.-EN.docx"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1-16.COM-5.b-EN.docx" TargetMode="External"/><Relationship Id="rId23" Type="http://schemas.openxmlformats.org/officeDocument/2006/relationships/hyperlink" Target="https://ich.unesco.org/doc/src/LHE-21-16.COM-14-EN.docx" TargetMode="External"/><Relationship Id="rId28" Type="http://schemas.openxmlformats.org/officeDocument/2006/relationships/hyperlink" Target="https://ich.unesco.org/doc/src/LHE-21-16.COM-7.b-EN.docx" TargetMode="External"/><Relationship Id="rId36" Type="http://schemas.openxmlformats.org/officeDocument/2006/relationships/hyperlink" Target="https://ich.unesco.org/doc/src/LHE-21-16.COM-10-EN.docx" TargetMode="External"/><Relationship Id="rId10" Type="http://schemas.openxmlformats.org/officeDocument/2006/relationships/hyperlink" Target="https://ich.unesco.org/en/Decisions/12.COM/6" TargetMode="External"/><Relationship Id="rId19" Type="http://schemas.openxmlformats.org/officeDocument/2006/relationships/hyperlink" Target="https://ich.unesco.org/en/Decisions/8.GA/7" TargetMode="External"/><Relationship Id="rId31" Type="http://schemas.openxmlformats.org/officeDocument/2006/relationships/hyperlink" Target="https://unesdoc.unesco.org/ark:/48223/pf00003757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en/Decisions/7.COM/20.1" TargetMode="External"/><Relationship Id="rId14" Type="http://schemas.openxmlformats.org/officeDocument/2006/relationships/hyperlink" Target="https://ich.unesco.org/en/Decisions/12.COM/6" TargetMode="External"/><Relationship Id="rId22" Type="http://schemas.openxmlformats.org/officeDocument/2006/relationships/hyperlink" Target="https://ich.unesco.org/en/projects/capacity-building-for-safeguarding-intangible-cultural-heritage-and-contributing-to-sustainable-development-00475" TargetMode="External"/><Relationship Id="rId27" Type="http://schemas.openxmlformats.org/officeDocument/2006/relationships/hyperlink" Target="https://ich.unesco.org/doc/src/LHE-19-14.COM-8-EN.docx" TargetMode="External"/><Relationship Id="rId30" Type="http://schemas.openxmlformats.org/officeDocument/2006/relationships/hyperlink" Target="https://ich.unesco.org/en/projects/living-heritage-and-the-sustainable-development-goals-safeguarding-intangible-cultural-heritage-through-formal-and-non-formal-education-in-the-asia-and-the-pacific-region-and-in-africa-00476" TargetMode="External"/><Relationship Id="rId35" Type="http://schemas.openxmlformats.org/officeDocument/2006/relationships/image" Target="media/image1.jpeg"/><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2003_Convention_Basic_Texts-_2020_version-EN.pdf" TargetMode="External"/><Relationship Id="rId2" Type="http://schemas.openxmlformats.org/officeDocument/2006/relationships/hyperlink" Target="https://ich.unesco.org/en/Decisions/14.COM/5.b" TargetMode="External"/><Relationship Id="rId1" Type="http://schemas.openxmlformats.org/officeDocument/2006/relationships/hyperlink" Target="https://ich.unesco.org/doc/src/LHE-20-8.GA-INF.7-EN.docx" TargetMode="External"/><Relationship Id="rId4" Type="http://schemas.openxmlformats.org/officeDocument/2006/relationships/hyperlink" Target="https://ich.unesco.org/en/ethics-and-ich-0086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1\2021-11_16.COM\Documents\06_16.COM_Intangible%20Cultural%20Heritage%20Fund_voluntary%20supplementary%20contributions\Drafts\Voluntary%20contributions%20(2018-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[Voluntary contributions (2018-2021).xlsx]Sheet2!PivotTable22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Voluntary</a:t>
            </a:r>
            <a:r>
              <a:rPr lang="fr-FR" baseline="0"/>
              <a:t> supplementary contributions</a:t>
            </a:r>
          </a:p>
          <a:p>
            <a:pPr>
              <a:defRPr/>
            </a:pPr>
            <a:r>
              <a:rPr lang="fr-FR" baseline="0"/>
              <a:t>(January 2018 to June 2021)</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pivotFmt>
      <c:pivotFmt>
        <c:idx val="2"/>
        <c:spPr>
          <a:solidFill>
            <a:schemeClr val="accent2"/>
          </a:solidFill>
          <a:ln>
            <a:noFill/>
          </a:ln>
          <a:effectLst/>
        </c:spPr>
      </c:pivotFmt>
      <c:pivotFmt>
        <c:idx val="3"/>
        <c:spPr>
          <a:solidFill>
            <a:schemeClr val="accent4"/>
          </a:solidFill>
          <a:ln>
            <a:noFill/>
          </a:ln>
          <a:effectLst/>
        </c:spP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pivotFmt>
      <c:pivotFmt>
        <c:idx val="6"/>
        <c:spPr>
          <a:solidFill>
            <a:schemeClr val="accent2"/>
          </a:solidFill>
          <a:ln>
            <a:noFill/>
          </a:ln>
          <a:effectLst/>
        </c:spPr>
      </c:pivotFmt>
      <c:pivotFmt>
        <c:idx val="7"/>
        <c:spPr>
          <a:solidFill>
            <a:schemeClr val="accent4"/>
          </a:solidFill>
          <a:ln>
            <a:noFill/>
          </a:ln>
          <a:effectLst/>
        </c:spPr>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6"/>
          </a:solidFill>
          <a:ln>
            <a:noFill/>
          </a:ln>
          <a:effectLst/>
        </c:spPr>
      </c:pivotFmt>
      <c:pivotFmt>
        <c:idx val="10"/>
        <c:spPr>
          <a:solidFill>
            <a:schemeClr val="accent2"/>
          </a:solidFill>
          <a:ln>
            <a:noFill/>
          </a:ln>
          <a:effectLst/>
        </c:spPr>
      </c:pivotFmt>
      <c:pivotFmt>
        <c:idx val="11"/>
        <c:spPr>
          <a:solidFill>
            <a:schemeClr val="accent4"/>
          </a:solidFill>
          <a:ln>
            <a:noFill/>
          </a:ln>
          <a:effectLst/>
        </c:spPr>
      </c:pivotFmt>
    </c:pivotFmts>
    <c:plotArea>
      <c:layout/>
      <c:barChart>
        <c:barDir val="col"/>
        <c:grouping val="clustered"/>
        <c:varyColors val="0"/>
        <c:ser>
          <c:idx val="0"/>
          <c:order val="0"/>
          <c:tx>
            <c:strRef>
              <c:f>Sheet2!$B$3</c:f>
              <c:strCache>
                <c:ptCount val="1"/>
                <c:pt idx="0">
                  <c:v>Total</c:v>
                </c:pt>
              </c:strCache>
            </c:strRef>
          </c:tx>
          <c:spPr>
            <a:solidFill>
              <a:schemeClr val="accent1"/>
            </a:solidFill>
            <a:ln>
              <a:solidFill>
                <a:schemeClr val="accent1"/>
              </a:solidFill>
            </a:ln>
            <a:effectLst/>
          </c:spPr>
          <c:invertIfNegative val="0"/>
          <c:dPt>
            <c:idx val="1"/>
            <c:invertIfNegative val="0"/>
            <c:bubble3D val="0"/>
            <c:spPr>
              <a:solidFill>
                <a:schemeClr val="accent6"/>
              </a:solidFill>
              <a:ln>
                <a:solidFill>
                  <a:schemeClr val="accent1"/>
                </a:solidFill>
              </a:ln>
              <a:effectLst/>
            </c:spPr>
            <c:extLst>
              <c:ext xmlns:c16="http://schemas.microsoft.com/office/drawing/2014/chart" uri="{C3380CC4-5D6E-409C-BE32-E72D297353CC}">
                <c16:uniqueId val="{00000001-8101-4F76-B7C4-A177593DDC2C}"/>
              </c:ext>
            </c:extLst>
          </c:dPt>
          <c:dPt>
            <c:idx val="2"/>
            <c:invertIfNegative val="0"/>
            <c:bubble3D val="0"/>
            <c:spPr>
              <a:solidFill>
                <a:schemeClr val="accent2"/>
              </a:solidFill>
              <a:ln>
                <a:solidFill>
                  <a:schemeClr val="accent1"/>
                </a:solidFill>
              </a:ln>
              <a:effectLst/>
            </c:spPr>
            <c:extLst>
              <c:ext xmlns:c16="http://schemas.microsoft.com/office/drawing/2014/chart" uri="{C3380CC4-5D6E-409C-BE32-E72D297353CC}">
                <c16:uniqueId val="{00000003-8101-4F76-B7C4-A177593DDC2C}"/>
              </c:ext>
            </c:extLst>
          </c:dPt>
          <c:dPt>
            <c:idx val="3"/>
            <c:invertIfNegative val="0"/>
            <c:bubble3D val="0"/>
            <c:spPr>
              <a:pattFill prst="ltDnDiag">
                <a:fgClr>
                  <a:schemeClr val="accent4"/>
                </a:fgClr>
                <a:bgClr>
                  <a:schemeClr val="bg1"/>
                </a:bgClr>
              </a:pattFill>
              <a:ln>
                <a:solidFill>
                  <a:schemeClr val="accent1"/>
                </a:solidFill>
              </a:ln>
              <a:effectLst/>
            </c:spPr>
            <c:extLst>
              <c:ext xmlns:c16="http://schemas.microsoft.com/office/drawing/2014/chart" uri="{C3380CC4-5D6E-409C-BE32-E72D297353CC}">
                <c16:uniqueId val="{00000005-8101-4F76-B7C4-A177593DDC2C}"/>
              </c:ext>
            </c:extLst>
          </c:dPt>
          <c:cat>
            <c:strRef>
              <c:f>Sheet2!$A$4:$A$7</c:f>
              <c:strCache>
                <c:ptCount val="4"/>
                <c:pt idx="0">
                  <c:v>Priority I 
(Capacity-building programme)</c:v>
                </c:pt>
                <c:pt idx="1">
                  <c:v>Priority II 
(Intangible cultural heritage in education)</c:v>
                </c:pt>
                <c:pt idx="2">
                  <c:v>Sub-fund for the human resources of the Secretariat</c:v>
                </c:pt>
                <c:pt idx="3">
                  <c:v>Other initiatives (upstream work at the global level)</c:v>
                </c:pt>
              </c:strCache>
            </c:strRef>
          </c:cat>
          <c:val>
            <c:numRef>
              <c:f>Sheet2!$B$4:$B$7</c:f>
              <c:numCache>
                <c:formatCode>_-* #,##0_-;\-* #,##0_-;_-* "-"??_-;_-@_-</c:formatCode>
                <c:ptCount val="4"/>
                <c:pt idx="0">
                  <c:v>536445</c:v>
                </c:pt>
                <c:pt idx="1">
                  <c:v>291111</c:v>
                </c:pt>
                <c:pt idx="2">
                  <c:v>181866.84</c:v>
                </c:pt>
                <c:pt idx="3">
                  <c:v>267238</c:v>
                </c:pt>
              </c:numCache>
            </c:numRef>
          </c:val>
          <c:extLst>
            <c:ext xmlns:c16="http://schemas.microsoft.com/office/drawing/2014/chart" uri="{C3380CC4-5D6E-409C-BE32-E72D297353CC}">
              <c16:uniqueId val="{00000006-8101-4F76-B7C4-A177593DDC2C}"/>
            </c:ext>
          </c:extLst>
        </c:ser>
        <c:dLbls>
          <c:showLegendKey val="0"/>
          <c:showVal val="0"/>
          <c:showCatName val="0"/>
          <c:showSerName val="0"/>
          <c:showPercent val="0"/>
          <c:showBubbleSize val="0"/>
        </c:dLbls>
        <c:gapWidth val="219"/>
        <c:overlap val="-27"/>
        <c:axId val="584326328"/>
        <c:axId val="584327312"/>
      </c:barChart>
      <c:catAx>
        <c:axId val="5843263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327312"/>
        <c:crosses val="autoZero"/>
        <c:auto val="1"/>
        <c:lblAlgn val="ctr"/>
        <c:lblOffset val="100"/>
        <c:noMultiLvlLbl val="0"/>
      </c:catAx>
      <c:valAx>
        <c:axId val="58432731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326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8165</Words>
  <Characters>46542</Characters>
  <Application>Microsoft Office Word</Application>
  <DocSecurity>0</DocSecurity>
  <Lines>387</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12</cp:revision>
  <cp:lastPrinted>2021-11-03T08:55:00Z</cp:lastPrinted>
  <dcterms:created xsi:type="dcterms:W3CDTF">2021-11-15T19:54:00Z</dcterms:created>
  <dcterms:modified xsi:type="dcterms:W3CDTF">2021-12-07T15:26:00Z</dcterms:modified>
</cp:coreProperties>
</file>