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7D7717" w:rsidRDefault="00EC6F8D" w:rsidP="00EC6F8D">
      <w:pPr>
        <w:spacing w:before="1440"/>
        <w:jc w:val="center"/>
        <w:rPr>
          <w:rFonts w:ascii="Arial" w:hAnsi="Arial" w:cs="Arial"/>
          <w:b/>
          <w:sz w:val="22"/>
          <w:szCs w:val="22"/>
          <w:lang w:val="en-GB"/>
        </w:rPr>
      </w:pPr>
      <w:r w:rsidRPr="007D7717">
        <w:rPr>
          <w:rFonts w:ascii="Arial" w:hAnsi="Arial" w:cs="Arial"/>
          <w:b/>
          <w:sz w:val="22"/>
          <w:szCs w:val="22"/>
          <w:lang w:val="en-GB"/>
        </w:rPr>
        <w:t>CONVENTION FOR THE SAFEGUARDING OF THE</w:t>
      </w:r>
      <w:r w:rsidRPr="007D7717">
        <w:rPr>
          <w:rFonts w:ascii="Arial" w:hAnsi="Arial" w:cs="Arial"/>
          <w:b/>
          <w:sz w:val="22"/>
          <w:szCs w:val="22"/>
          <w:lang w:val="en-GB"/>
        </w:rPr>
        <w:br/>
        <w:t>INTANGIBLE CULTURAL HERITAGE</w:t>
      </w:r>
    </w:p>
    <w:p w14:paraId="626CD28A" w14:textId="6BFFEBBD" w:rsidR="00E06423" w:rsidRPr="00D61FBC" w:rsidRDefault="0078767C" w:rsidP="00E06423">
      <w:pPr>
        <w:spacing w:before="1200"/>
        <w:ind w:right="-1"/>
        <w:jc w:val="center"/>
        <w:rPr>
          <w:rFonts w:ascii="Arial" w:eastAsia="Calibri" w:hAnsi="Arial" w:cs="Arial"/>
          <w:b/>
          <w:bCs/>
          <w:sz w:val="22"/>
          <w:szCs w:val="22"/>
          <w:lang w:val="en-GB"/>
        </w:rPr>
      </w:pPr>
      <w:bookmarkStart w:id="0" w:name="_Hlk70514086"/>
      <w:r w:rsidRPr="00D61FBC">
        <w:rPr>
          <w:rFonts w:ascii="Arial" w:eastAsia="Calibri" w:hAnsi="Arial" w:cs="Arial"/>
          <w:b/>
          <w:bCs/>
          <w:sz w:val="22"/>
          <w:szCs w:val="22"/>
          <w:lang w:val="en-GB"/>
        </w:rPr>
        <w:t>Open-ended intergovernmental working group</w:t>
      </w:r>
    </w:p>
    <w:p w14:paraId="4AB83F65" w14:textId="5403A247" w:rsidR="00E06423" w:rsidRPr="00D61FBC" w:rsidRDefault="0078767C" w:rsidP="00E06423">
      <w:pPr>
        <w:jc w:val="center"/>
        <w:rPr>
          <w:rFonts w:ascii="Arial" w:eastAsia="Calibri" w:hAnsi="Arial" w:cs="Arial"/>
          <w:b/>
          <w:bCs/>
          <w:sz w:val="22"/>
          <w:szCs w:val="22"/>
          <w:lang w:val="en-GB"/>
        </w:rPr>
      </w:pPr>
      <w:r w:rsidRPr="00D61FBC">
        <w:rPr>
          <w:rFonts w:ascii="Arial" w:eastAsia="Calibri" w:hAnsi="Arial" w:cs="Arial"/>
          <w:b/>
          <w:bCs/>
          <w:sz w:val="22"/>
          <w:szCs w:val="22"/>
          <w:lang w:val="en-GB"/>
        </w:rPr>
        <w:t>in the</w:t>
      </w:r>
      <w:r w:rsidR="00E06423" w:rsidRPr="00D61FBC">
        <w:rPr>
          <w:rFonts w:ascii="Arial" w:eastAsia="Calibri" w:hAnsi="Arial" w:cs="Arial"/>
          <w:b/>
          <w:bCs/>
          <w:sz w:val="22"/>
          <w:szCs w:val="22"/>
          <w:lang w:val="en-GB"/>
        </w:rPr>
        <w:t xml:space="preserve"> </w:t>
      </w:r>
      <w:r w:rsidRPr="00D61FBC">
        <w:rPr>
          <w:rFonts w:ascii="Arial" w:eastAsia="Calibri" w:hAnsi="Arial" w:cs="Arial"/>
          <w:b/>
          <w:bCs/>
          <w:sz w:val="22"/>
          <w:szCs w:val="22"/>
          <w:lang w:val="en-GB"/>
        </w:rPr>
        <w:t>framework of</w:t>
      </w:r>
      <w:r w:rsidR="00E06423" w:rsidRPr="00D61FBC">
        <w:rPr>
          <w:rFonts w:ascii="Arial" w:eastAsia="Calibri" w:hAnsi="Arial" w:cs="Arial"/>
          <w:b/>
          <w:bCs/>
          <w:sz w:val="22"/>
          <w:szCs w:val="22"/>
          <w:lang w:val="en-GB"/>
        </w:rPr>
        <w:t xml:space="preserve"> </w:t>
      </w:r>
      <w:r w:rsidRPr="00D61FBC">
        <w:rPr>
          <w:rFonts w:ascii="Arial" w:eastAsia="Calibri" w:hAnsi="Arial" w:cs="Arial"/>
          <w:b/>
          <w:bCs/>
          <w:sz w:val="22"/>
          <w:szCs w:val="22"/>
          <w:lang w:val="en-GB"/>
        </w:rPr>
        <w:t>the reflection on a broader implementation of Article 18 of the</w:t>
      </w:r>
    </w:p>
    <w:p w14:paraId="307EC764" w14:textId="73DB9A38" w:rsidR="0078767C" w:rsidRPr="00D61FBC" w:rsidRDefault="0078767C" w:rsidP="00E06423">
      <w:pPr>
        <w:jc w:val="center"/>
        <w:rPr>
          <w:rFonts w:ascii="Arial" w:eastAsia="Calibri" w:hAnsi="Arial" w:cs="Arial"/>
          <w:b/>
          <w:bCs/>
          <w:sz w:val="22"/>
          <w:szCs w:val="22"/>
          <w:lang w:val="en-GB" w:eastAsia="en-US"/>
        </w:rPr>
      </w:pPr>
      <w:r w:rsidRPr="00D61FBC">
        <w:rPr>
          <w:rFonts w:ascii="Arial" w:eastAsia="Calibri" w:hAnsi="Arial" w:cs="Arial"/>
          <w:b/>
          <w:bCs/>
          <w:sz w:val="22"/>
          <w:szCs w:val="22"/>
          <w:lang w:val="en-GB"/>
        </w:rPr>
        <w:t>2003</w:t>
      </w:r>
      <w:r w:rsidR="00E06423" w:rsidRPr="00D61FBC">
        <w:rPr>
          <w:rFonts w:ascii="Arial" w:eastAsia="Calibri" w:hAnsi="Arial" w:cs="Arial"/>
          <w:b/>
          <w:bCs/>
          <w:sz w:val="22"/>
          <w:szCs w:val="22"/>
          <w:lang w:val="en-GB"/>
        </w:rPr>
        <w:t xml:space="preserve"> </w:t>
      </w:r>
      <w:r w:rsidRPr="00D61FBC">
        <w:rPr>
          <w:rFonts w:ascii="Arial" w:eastAsia="Calibri" w:hAnsi="Arial" w:cs="Arial"/>
          <w:b/>
          <w:bCs/>
          <w:sz w:val="22"/>
          <w:szCs w:val="22"/>
          <w:lang w:val="en-GB"/>
        </w:rPr>
        <w:t>Convention</w:t>
      </w:r>
      <w:r w:rsidR="00E06423" w:rsidRPr="00D61FBC">
        <w:rPr>
          <w:rFonts w:ascii="Arial" w:eastAsia="Calibri" w:hAnsi="Arial" w:cs="Arial"/>
          <w:b/>
          <w:bCs/>
          <w:sz w:val="22"/>
          <w:szCs w:val="22"/>
          <w:lang w:val="en-GB"/>
        </w:rPr>
        <w:t xml:space="preserve"> </w:t>
      </w:r>
      <w:r w:rsidRPr="00D61FBC">
        <w:rPr>
          <w:rFonts w:ascii="Arial" w:eastAsia="Calibri" w:hAnsi="Arial" w:cs="Arial"/>
          <w:b/>
          <w:bCs/>
          <w:sz w:val="22"/>
          <w:szCs w:val="22"/>
          <w:lang w:val="en-GB"/>
        </w:rPr>
        <w:t>for the Safeguarding of the Intangible Cultural Heritage</w:t>
      </w:r>
    </w:p>
    <w:bookmarkEnd w:id="0"/>
    <w:p w14:paraId="2E1CD4B4" w14:textId="0980826C" w:rsidR="00EC6F8D" w:rsidRPr="007D7717" w:rsidRDefault="0078767C" w:rsidP="001D14FE">
      <w:pPr>
        <w:spacing w:before="840"/>
        <w:jc w:val="center"/>
        <w:rPr>
          <w:rFonts w:ascii="Arial" w:hAnsi="Arial" w:cs="Arial"/>
          <w:b/>
          <w:sz w:val="22"/>
          <w:szCs w:val="22"/>
          <w:lang w:val="en-GB"/>
        </w:rPr>
      </w:pPr>
      <w:r w:rsidRPr="007D7717">
        <w:rPr>
          <w:rFonts w:ascii="Arial" w:hAnsi="Arial" w:cs="Arial"/>
          <w:b/>
          <w:sz w:val="22"/>
          <w:szCs w:val="22"/>
          <w:lang w:val="en-GB"/>
        </w:rPr>
        <w:t xml:space="preserve">UNESCO Headquarters, Room </w:t>
      </w:r>
      <w:r w:rsidR="003B758D" w:rsidRPr="007D7717">
        <w:rPr>
          <w:rFonts w:ascii="Arial" w:hAnsi="Arial" w:cs="Arial"/>
          <w:b/>
          <w:sz w:val="22"/>
          <w:szCs w:val="22"/>
          <w:lang w:val="en-GB"/>
        </w:rPr>
        <w:t>X</w:t>
      </w:r>
      <w:r w:rsidR="002F33AC" w:rsidRPr="007D7717">
        <w:rPr>
          <w:rFonts w:ascii="Arial" w:hAnsi="Arial" w:cs="Arial"/>
          <w:b/>
          <w:sz w:val="22"/>
          <w:szCs w:val="22"/>
          <w:lang w:val="en-GB"/>
        </w:rPr>
        <w:t>I</w:t>
      </w:r>
    </w:p>
    <w:p w14:paraId="1FD89575" w14:textId="2CF5E4D0" w:rsidR="00B2172B" w:rsidRPr="007D7717" w:rsidRDefault="0078767C" w:rsidP="00B2172B">
      <w:pPr>
        <w:jc w:val="center"/>
        <w:rPr>
          <w:rFonts w:ascii="Arial" w:hAnsi="Arial" w:cs="Arial"/>
          <w:b/>
          <w:sz w:val="22"/>
          <w:szCs w:val="22"/>
          <w:lang w:val="en-GB"/>
        </w:rPr>
      </w:pPr>
      <w:r w:rsidRPr="007D7717">
        <w:rPr>
          <w:rFonts w:ascii="Arial" w:hAnsi="Arial" w:cs="Arial"/>
          <w:b/>
          <w:sz w:val="22"/>
          <w:szCs w:val="22"/>
          <w:lang w:val="en-GB"/>
        </w:rPr>
        <w:t>4 to 6 July 2023</w:t>
      </w:r>
    </w:p>
    <w:p w14:paraId="0365203A" w14:textId="0F404F97" w:rsidR="00EC6F8D" w:rsidRPr="007D7717" w:rsidRDefault="00EC6F8D" w:rsidP="00EC6F8D">
      <w:pPr>
        <w:pStyle w:val="Sansinterligne2"/>
        <w:spacing w:before="1200"/>
        <w:jc w:val="center"/>
        <w:rPr>
          <w:rFonts w:ascii="Arial" w:hAnsi="Arial" w:cs="Arial"/>
          <w:b/>
          <w:sz w:val="22"/>
          <w:szCs w:val="22"/>
          <w:lang w:val="en-GB"/>
        </w:rPr>
      </w:pPr>
      <w:r w:rsidRPr="007D7717">
        <w:rPr>
          <w:rFonts w:ascii="Arial" w:hAnsi="Arial" w:cs="Arial"/>
          <w:b/>
          <w:sz w:val="22"/>
          <w:szCs w:val="22"/>
          <w:u w:val="single"/>
          <w:lang w:val="en-GB"/>
        </w:rPr>
        <w:t xml:space="preserve">Item </w:t>
      </w:r>
      <w:r w:rsidR="00F81338" w:rsidRPr="007D7717">
        <w:rPr>
          <w:rFonts w:ascii="Arial" w:hAnsi="Arial" w:cs="Arial"/>
          <w:b/>
          <w:sz w:val="22"/>
          <w:szCs w:val="22"/>
          <w:u w:val="single"/>
          <w:lang w:val="en-GB"/>
        </w:rPr>
        <w:t>3</w:t>
      </w:r>
      <w:r w:rsidRPr="007D7717">
        <w:rPr>
          <w:rFonts w:ascii="Arial" w:hAnsi="Arial" w:cs="Arial"/>
          <w:b/>
          <w:sz w:val="22"/>
          <w:szCs w:val="22"/>
          <w:lang w:val="en-GB"/>
        </w:rPr>
        <w:t>:</w:t>
      </w:r>
    </w:p>
    <w:p w14:paraId="59920478" w14:textId="23DECCC2" w:rsidR="004A2875" w:rsidRPr="007D7717" w:rsidRDefault="00F81338" w:rsidP="004A2875">
      <w:pPr>
        <w:pStyle w:val="Sansinterligne2"/>
        <w:spacing w:after="960"/>
        <w:jc w:val="center"/>
        <w:rPr>
          <w:rFonts w:ascii="Arial" w:hAnsi="Arial" w:cs="Arial"/>
          <w:bCs/>
          <w:sz w:val="22"/>
          <w:szCs w:val="22"/>
          <w:lang w:val="en-GB"/>
        </w:rPr>
      </w:pPr>
      <w:r w:rsidRPr="007D7717">
        <w:rPr>
          <w:rFonts w:ascii="Arial" w:hAnsi="Arial" w:cs="Arial"/>
          <w:b/>
          <w:sz w:val="22"/>
          <w:szCs w:val="22"/>
          <w:lang w:val="en-GB"/>
        </w:rPr>
        <w:t>How to share good living heritage safeguarding experiences more broadly?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552F5" w14:paraId="75AC6221" w14:textId="77777777" w:rsidTr="00BF7D94">
        <w:trPr>
          <w:jc w:val="center"/>
        </w:trPr>
        <w:tc>
          <w:tcPr>
            <w:tcW w:w="5670" w:type="dxa"/>
            <w:tcBorders>
              <w:top w:val="single" w:sz="4" w:space="0" w:color="auto"/>
              <w:left w:val="single" w:sz="4" w:space="0" w:color="auto"/>
              <w:bottom w:val="single" w:sz="4" w:space="0" w:color="auto"/>
              <w:right w:val="single" w:sz="4" w:space="0" w:color="auto"/>
            </w:tcBorders>
            <w:vAlign w:val="center"/>
          </w:tcPr>
          <w:p w14:paraId="51C260A9" w14:textId="77777777" w:rsidR="00EC6F8D" w:rsidRPr="007D7717" w:rsidRDefault="00EC6F8D" w:rsidP="00CA56BB">
            <w:pPr>
              <w:pStyle w:val="Sansinterligne1"/>
              <w:spacing w:before="200" w:after="200"/>
              <w:jc w:val="center"/>
              <w:rPr>
                <w:rFonts w:ascii="Arial" w:hAnsi="Arial" w:cs="Arial"/>
                <w:b/>
                <w:sz w:val="22"/>
                <w:szCs w:val="22"/>
                <w:lang w:val="en-GB"/>
              </w:rPr>
            </w:pPr>
            <w:r w:rsidRPr="007D7717">
              <w:rPr>
                <w:rFonts w:ascii="Arial" w:hAnsi="Arial" w:cs="Arial"/>
                <w:b/>
                <w:sz w:val="22"/>
                <w:szCs w:val="22"/>
                <w:lang w:val="en-GB"/>
              </w:rPr>
              <w:t>Summary</w:t>
            </w:r>
          </w:p>
          <w:p w14:paraId="290310E8" w14:textId="19F62900" w:rsidR="00EC6F8D" w:rsidRPr="007D7717" w:rsidRDefault="00387AE2" w:rsidP="00626DEC">
            <w:pPr>
              <w:pStyle w:val="Sansinterligne1"/>
              <w:spacing w:after="120"/>
              <w:jc w:val="both"/>
              <w:rPr>
                <w:rFonts w:ascii="Arial" w:hAnsi="Arial" w:cs="Arial"/>
                <w:b/>
                <w:sz w:val="22"/>
                <w:szCs w:val="22"/>
                <w:lang w:val="en-GB"/>
              </w:rPr>
            </w:pPr>
            <w:r w:rsidRPr="007D7717">
              <w:rPr>
                <w:rFonts w:ascii="Arial" w:hAnsi="Arial" w:cs="Arial"/>
                <w:sz w:val="22"/>
                <w:szCs w:val="22"/>
                <w:lang w:val="en-GB"/>
              </w:rPr>
              <w:t xml:space="preserve">The </w:t>
            </w:r>
            <w:r w:rsidR="00D536ED" w:rsidRPr="007D7717">
              <w:rPr>
                <w:rFonts w:ascii="Arial" w:hAnsi="Arial" w:cs="Arial"/>
                <w:sz w:val="22"/>
                <w:szCs w:val="22"/>
                <w:lang w:val="en-GB"/>
              </w:rPr>
              <w:t xml:space="preserve">Committee </w:t>
            </w:r>
            <w:r w:rsidR="00746F38" w:rsidRPr="007D7717">
              <w:rPr>
                <w:rFonts w:ascii="Arial" w:hAnsi="Arial" w:cs="Arial"/>
                <w:sz w:val="22"/>
                <w:szCs w:val="22"/>
                <w:lang w:val="en-GB"/>
              </w:rPr>
              <w:t xml:space="preserve">has </w:t>
            </w:r>
            <w:r w:rsidR="00D536ED" w:rsidRPr="007D7717">
              <w:rPr>
                <w:rFonts w:ascii="Arial" w:hAnsi="Arial" w:cs="Arial"/>
                <w:sz w:val="22"/>
                <w:szCs w:val="22"/>
                <w:lang w:val="en-GB"/>
              </w:rPr>
              <w:t xml:space="preserve">requested that the </w:t>
            </w:r>
            <w:r w:rsidRPr="007D7717">
              <w:rPr>
                <w:rFonts w:ascii="Arial" w:hAnsi="Arial" w:cs="Arial"/>
                <w:sz w:val="22"/>
                <w:szCs w:val="22"/>
                <w:lang w:val="en-GB"/>
              </w:rPr>
              <w:t xml:space="preserve">Open-ended intergovernmental working group reflect on how to share good living heritage safeguarding experiences more broadly. This document provides </w:t>
            </w:r>
            <w:r w:rsidR="00D536ED" w:rsidRPr="007D7717">
              <w:rPr>
                <w:rFonts w:ascii="Arial" w:hAnsi="Arial" w:cs="Arial"/>
                <w:sz w:val="22"/>
                <w:szCs w:val="22"/>
                <w:lang w:val="en-GB"/>
              </w:rPr>
              <w:t xml:space="preserve">some </w:t>
            </w:r>
            <w:r w:rsidRPr="007D7717">
              <w:rPr>
                <w:rFonts w:ascii="Arial" w:hAnsi="Arial" w:cs="Arial"/>
                <w:sz w:val="22"/>
                <w:szCs w:val="22"/>
                <w:lang w:val="en-GB"/>
              </w:rPr>
              <w:t>points of consideration along three reflection topics, based on the recommendations of the Category VI meeting of experts</w:t>
            </w:r>
            <w:r w:rsidR="00BF410E" w:rsidRPr="007D7717">
              <w:rPr>
                <w:rFonts w:ascii="Arial" w:hAnsi="Arial" w:cs="Arial"/>
                <w:sz w:val="22"/>
                <w:szCs w:val="22"/>
                <w:lang w:val="en-GB"/>
              </w:rPr>
              <w:t xml:space="preserve">, </w:t>
            </w:r>
            <w:r w:rsidR="00D536ED" w:rsidRPr="007D7717">
              <w:rPr>
                <w:rFonts w:ascii="Arial" w:hAnsi="Arial" w:cs="Arial"/>
                <w:sz w:val="22"/>
                <w:szCs w:val="22"/>
                <w:lang w:val="en-GB"/>
              </w:rPr>
              <w:t xml:space="preserve">which was </w:t>
            </w:r>
            <w:r w:rsidR="00BF410E" w:rsidRPr="007D7717">
              <w:rPr>
                <w:rFonts w:ascii="Arial" w:hAnsi="Arial" w:cs="Arial"/>
                <w:sz w:val="22"/>
                <w:szCs w:val="22"/>
                <w:lang w:val="en-GB"/>
              </w:rPr>
              <w:t xml:space="preserve">convened </w:t>
            </w:r>
            <w:r w:rsidRPr="007D7717">
              <w:rPr>
                <w:rFonts w:ascii="Arial" w:hAnsi="Arial" w:cs="Arial"/>
                <w:sz w:val="22"/>
                <w:szCs w:val="22"/>
                <w:lang w:val="en-GB"/>
              </w:rPr>
              <w:t>in April 2023 to lay the ground for the discussion</w:t>
            </w:r>
            <w:r w:rsidR="00235324" w:rsidRPr="007D7717">
              <w:rPr>
                <w:rFonts w:ascii="Arial" w:hAnsi="Arial" w:cs="Arial"/>
                <w:sz w:val="22"/>
                <w:szCs w:val="22"/>
                <w:lang w:val="en-GB"/>
              </w:rPr>
              <w:t>s</w:t>
            </w:r>
            <w:r w:rsidRPr="007D7717">
              <w:rPr>
                <w:rFonts w:ascii="Arial" w:hAnsi="Arial" w:cs="Arial"/>
                <w:sz w:val="22"/>
                <w:szCs w:val="22"/>
                <w:lang w:val="en-GB"/>
              </w:rPr>
              <w:t xml:space="preserve"> </w:t>
            </w:r>
            <w:r w:rsidR="00D536ED" w:rsidRPr="007D7717">
              <w:rPr>
                <w:rFonts w:ascii="Arial" w:hAnsi="Arial" w:cs="Arial"/>
                <w:sz w:val="22"/>
                <w:szCs w:val="22"/>
                <w:lang w:val="en-GB"/>
              </w:rPr>
              <w:t>of</w:t>
            </w:r>
            <w:r w:rsidRPr="007D7717">
              <w:rPr>
                <w:rFonts w:ascii="Arial" w:hAnsi="Arial" w:cs="Arial"/>
                <w:sz w:val="22"/>
                <w:szCs w:val="22"/>
                <w:lang w:val="en-GB"/>
              </w:rPr>
              <w:t xml:space="preserve"> the </w:t>
            </w:r>
            <w:r w:rsidR="00A453DF" w:rsidRPr="007D7717">
              <w:rPr>
                <w:rFonts w:ascii="Arial" w:hAnsi="Arial" w:cs="Arial"/>
                <w:sz w:val="22"/>
                <w:szCs w:val="22"/>
                <w:lang w:val="en-GB"/>
              </w:rPr>
              <w:t>w</w:t>
            </w:r>
            <w:r w:rsidRPr="007D7717">
              <w:rPr>
                <w:rFonts w:ascii="Arial" w:hAnsi="Arial" w:cs="Arial"/>
                <w:sz w:val="22"/>
                <w:szCs w:val="22"/>
                <w:lang w:val="en-GB"/>
              </w:rPr>
              <w:t xml:space="preserve">orking </w:t>
            </w:r>
            <w:r w:rsidR="00A453DF" w:rsidRPr="007D7717">
              <w:rPr>
                <w:rFonts w:ascii="Arial" w:hAnsi="Arial" w:cs="Arial"/>
                <w:sz w:val="22"/>
                <w:szCs w:val="22"/>
                <w:lang w:val="en-GB"/>
              </w:rPr>
              <w:t>g</w:t>
            </w:r>
            <w:r w:rsidRPr="007D7717">
              <w:rPr>
                <w:rFonts w:ascii="Arial" w:hAnsi="Arial" w:cs="Arial"/>
                <w:sz w:val="22"/>
                <w:szCs w:val="22"/>
                <w:lang w:val="en-GB"/>
              </w:rPr>
              <w:t>roup.</w:t>
            </w:r>
          </w:p>
        </w:tc>
      </w:tr>
    </w:tbl>
    <w:p w14:paraId="713D819F" w14:textId="77777777" w:rsidR="004A2875" w:rsidRPr="007D7717" w:rsidRDefault="00655736" w:rsidP="009A32F3">
      <w:pPr>
        <w:pStyle w:val="ListParagraph"/>
        <w:keepLines/>
        <w:numPr>
          <w:ilvl w:val="0"/>
          <w:numId w:val="5"/>
        </w:numPr>
        <w:spacing w:after="240"/>
        <w:ind w:left="567" w:hanging="567"/>
        <w:contextualSpacing w:val="0"/>
        <w:rPr>
          <w:rFonts w:ascii="Arial" w:hAnsi="Arial" w:cs="Arial"/>
          <w:b/>
          <w:snapToGrid w:val="0"/>
          <w:sz w:val="22"/>
          <w:szCs w:val="22"/>
          <w:lang w:val="en-GB" w:eastAsia="en-US"/>
        </w:rPr>
      </w:pPr>
      <w:r w:rsidRPr="007D7717">
        <w:rPr>
          <w:lang w:val="en-GB"/>
        </w:rPr>
        <w:br w:type="page"/>
      </w:r>
    </w:p>
    <w:p w14:paraId="6C62585F" w14:textId="414B2C51" w:rsidR="00F70CC5" w:rsidRPr="007D7717" w:rsidRDefault="00665DD0" w:rsidP="00F70CC5">
      <w:pPr>
        <w:pStyle w:val="COMPara"/>
        <w:numPr>
          <w:ilvl w:val="0"/>
          <w:numId w:val="0"/>
        </w:numPr>
        <w:spacing w:before="240"/>
        <w:jc w:val="both"/>
        <w:rPr>
          <w:b/>
          <w:bCs/>
        </w:rPr>
      </w:pPr>
      <w:bookmarkStart w:id="1" w:name="_Hlk124351255"/>
      <w:r w:rsidRPr="007D7717">
        <w:rPr>
          <w:b/>
          <w:bCs/>
        </w:rPr>
        <w:lastRenderedPageBreak/>
        <w:t>Introduction</w:t>
      </w:r>
    </w:p>
    <w:bookmarkEnd w:id="1"/>
    <w:p w14:paraId="491C5F37" w14:textId="7E41616E" w:rsidR="006E2613" w:rsidRPr="007D7717" w:rsidRDefault="00C730A0" w:rsidP="00D07CBF">
      <w:pPr>
        <w:pStyle w:val="COMPara"/>
        <w:ind w:left="567" w:hanging="567"/>
        <w:jc w:val="both"/>
      </w:pPr>
      <w:r w:rsidRPr="007D7717">
        <w:t xml:space="preserve">Having initiated a reflection on Article 18 </w:t>
      </w:r>
      <w:r w:rsidR="00D536ED" w:rsidRPr="007D7717">
        <w:t xml:space="preserve">in 2021 </w:t>
      </w:r>
      <w:r w:rsidRPr="007D7717">
        <w:t xml:space="preserve">(Decision </w:t>
      </w:r>
      <w:hyperlink r:id="rId11" w:history="1">
        <w:r w:rsidRPr="007D7717">
          <w:rPr>
            <w:rStyle w:val="Hyperlink"/>
          </w:rPr>
          <w:t>16.COM 14</w:t>
        </w:r>
      </w:hyperlink>
      <w:r w:rsidRPr="007D7717">
        <w:t xml:space="preserve">), at its seventeenth session in 2022 </w:t>
      </w:r>
      <w:r w:rsidR="00D536ED" w:rsidRPr="007D7717">
        <w:t xml:space="preserve">the Committee requested that </w:t>
      </w:r>
      <w:r w:rsidRPr="007D7717">
        <w:t>t</w:t>
      </w:r>
      <w:r w:rsidR="00D07CBF" w:rsidRPr="007D7717">
        <w:t xml:space="preserve">he Open-ended intergovernmental working group </w:t>
      </w:r>
      <w:r w:rsidR="005C6063" w:rsidRPr="007D7717">
        <w:t>(hereafter</w:t>
      </w:r>
      <w:r w:rsidR="00746F38" w:rsidRPr="007D7717">
        <w:t xml:space="preserve">, </w:t>
      </w:r>
      <w:r w:rsidR="005C6063" w:rsidRPr="007D7717">
        <w:t>the ‘</w:t>
      </w:r>
      <w:r w:rsidR="00A453DF" w:rsidRPr="007D7717">
        <w:t>w</w:t>
      </w:r>
      <w:r w:rsidR="005C6063" w:rsidRPr="007D7717">
        <w:t xml:space="preserve">orking </w:t>
      </w:r>
      <w:r w:rsidR="00A453DF" w:rsidRPr="007D7717">
        <w:t>g</w:t>
      </w:r>
      <w:r w:rsidR="005C6063" w:rsidRPr="007D7717">
        <w:t xml:space="preserve">roup’) </w:t>
      </w:r>
      <w:r w:rsidRPr="007D7717">
        <w:t>reflect on how to share good living heritage safeguarding experience more broadly</w:t>
      </w:r>
      <w:r w:rsidR="006F50EF" w:rsidRPr="007D7717">
        <w:t xml:space="preserve"> </w:t>
      </w:r>
      <w:r w:rsidRPr="007D7717">
        <w:t xml:space="preserve">(Decision </w:t>
      </w:r>
      <w:hyperlink r:id="rId12" w:history="1">
        <w:r w:rsidRPr="007D7717">
          <w:rPr>
            <w:rStyle w:val="Hyperlink"/>
          </w:rPr>
          <w:t>17.COM</w:t>
        </w:r>
        <w:r w:rsidR="002E79CD" w:rsidRPr="007D7717">
          <w:rPr>
            <w:rStyle w:val="Hyperlink"/>
          </w:rPr>
          <w:t> </w:t>
        </w:r>
        <w:r w:rsidRPr="007D7717">
          <w:rPr>
            <w:rStyle w:val="Hyperlink"/>
          </w:rPr>
          <w:t>10</w:t>
        </w:r>
      </w:hyperlink>
      <w:r w:rsidRPr="007D7717">
        <w:t>)</w:t>
      </w:r>
      <w:r w:rsidR="0039202E" w:rsidRPr="007D7717">
        <w:t>.</w:t>
      </w:r>
      <w:r w:rsidR="009E1A2E" w:rsidRPr="007D7717">
        <w:t xml:space="preserve"> </w:t>
      </w:r>
      <w:r w:rsidR="004E592C" w:rsidRPr="007D7717">
        <w:t>S</w:t>
      </w:r>
      <w:r w:rsidR="009E1A2E" w:rsidRPr="007D7717">
        <w:t xml:space="preserve">ee </w:t>
      </w:r>
      <w:r w:rsidR="0039202E" w:rsidRPr="007D7717">
        <w:t xml:space="preserve">document </w:t>
      </w:r>
      <w:hyperlink r:id="rId13" w:history="1">
        <w:r w:rsidR="001C5DD8" w:rsidRPr="007D7717">
          <w:rPr>
            <w:rStyle w:val="Hyperlink"/>
          </w:rPr>
          <w:t>LHE/23/</w:t>
        </w:r>
        <w:r w:rsidR="004B3E7C" w:rsidRPr="007D7717">
          <w:rPr>
            <w:rStyle w:val="Hyperlink"/>
          </w:rPr>
          <w:t>18.COM</w:t>
        </w:r>
        <w:r w:rsidR="00453301" w:rsidRPr="007D7717">
          <w:rPr>
            <w:rStyle w:val="Hyperlink"/>
          </w:rPr>
          <w:t> </w:t>
        </w:r>
        <w:r w:rsidR="004B3E7C" w:rsidRPr="007D7717">
          <w:rPr>
            <w:rStyle w:val="Hyperlink"/>
          </w:rPr>
          <w:t>WG</w:t>
        </w:r>
        <w:r w:rsidR="00453301" w:rsidRPr="007D7717">
          <w:rPr>
            <w:rStyle w:val="Hyperlink"/>
          </w:rPr>
          <w:t> </w:t>
        </w:r>
        <w:r w:rsidR="001C5DD8" w:rsidRPr="007D7717">
          <w:rPr>
            <w:rStyle w:val="Hyperlink"/>
          </w:rPr>
          <w:t>ART18/1</w:t>
        </w:r>
      </w:hyperlink>
      <w:r w:rsidR="004E592C" w:rsidRPr="007D7717">
        <w:t xml:space="preserve"> for </w:t>
      </w:r>
      <w:r w:rsidR="00D536ED" w:rsidRPr="007D7717">
        <w:t xml:space="preserve">the </w:t>
      </w:r>
      <w:r w:rsidR="004E592C" w:rsidRPr="007D7717">
        <w:t>agenda and timetable</w:t>
      </w:r>
      <w:r w:rsidR="0054297C" w:rsidRPr="007D7717">
        <w:t xml:space="preserve"> of the </w:t>
      </w:r>
      <w:r w:rsidR="00A453DF" w:rsidRPr="007D7717">
        <w:t>w</w:t>
      </w:r>
      <w:r w:rsidR="0054297C" w:rsidRPr="007D7717">
        <w:t xml:space="preserve">orking </w:t>
      </w:r>
      <w:r w:rsidR="00A453DF" w:rsidRPr="007D7717">
        <w:t>g</w:t>
      </w:r>
      <w:r w:rsidR="0054297C" w:rsidRPr="007D7717">
        <w:t>roup</w:t>
      </w:r>
      <w:r w:rsidR="00D07CBF" w:rsidRPr="007D7717">
        <w:t xml:space="preserve">. </w:t>
      </w:r>
      <w:r w:rsidR="0039202E" w:rsidRPr="007D7717">
        <w:t xml:space="preserve">The background to this reflection is provided in document </w:t>
      </w:r>
      <w:hyperlink r:id="rId14" w:history="1">
        <w:r w:rsidR="001C5DD8" w:rsidRPr="007D7717">
          <w:rPr>
            <w:rStyle w:val="Hyperlink"/>
          </w:rPr>
          <w:t>LHE/23/</w:t>
        </w:r>
        <w:r w:rsidR="004B3E7C" w:rsidRPr="007D7717">
          <w:rPr>
            <w:rStyle w:val="Hyperlink"/>
          </w:rPr>
          <w:t>18.COM WG ART</w:t>
        </w:r>
        <w:r w:rsidR="001C5DD8" w:rsidRPr="007D7717">
          <w:rPr>
            <w:rStyle w:val="Hyperlink"/>
          </w:rPr>
          <w:t>18/2</w:t>
        </w:r>
      </w:hyperlink>
      <w:r w:rsidR="0039202E" w:rsidRPr="007D7717">
        <w:t>.</w:t>
      </w:r>
    </w:p>
    <w:p w14:paraId="00743995" w14:textId="6DE4CB2B" w:rsidR="0057439C" w:rsidRPr="007D7717" w:rsidRDefault="00D07CBF" w:rsidP="00D07CBF">
      <w:pPr>
        <w:pStyle w:val="COMPara"/>
        <w:ind w:left="567" w:hanging="567"/>
        <w:jc w:val="both"/>
      </w:pPr>
      <w:r w:rsidRPr="007D7717">
        <w:t xml:space="preserve">This document provides </w:t>
      </w:r>
      <w:r w:rsidR="00D536ED" w:rsidRPr="007D7717">
        <w:t xml:space="preserve">some </w:t>
      </w:r>
      <w:r w:rsidR="0039202E" w:rsidRPr="007D7717">
        <w:t xml:space="preserve">information </w:t>
      </w:r>
      <w:r w:rsidR="00BF410E" w:rsidRPr="007D7717">
        <w:t xml:space="preserve">and points of consideration </w:t>
      </w:r>
      <w:r w:rsidR="00D536ED" w:rsidRPr="007D7717">
        <w:t xml:space="preserve">regarding </w:t>
      </w:r>
      <w:r w:rsidRPr="007D7717">
        <w:t>three reflection topics</w:t>
      </w:r>
      <w:r w:rsidR="00FB4498" w:rsidRPr="007D7717">
        <w:t xml:space="preserve">. </w:t>
      </w:r>
      <w:r w:rsidR="00BF410E" w:rsidRPr="007D7717">
        <w:t>They are</w:t>
      </w:r>
      <w:r w:rsidRPr="007D7717">
        <w:t xml:space="preserve"> based on the recommendations of the Category VI meeting of experts</w:t>
      </w:r>
      <w:r w:rsidR="0054297C" w:rsidRPr="007D7717">
        <w:t xml:space="preserve"> that </w:t>
      </w:r>
      <w:r w:rsidR="00D536ED" w:rsidRPr="007D7717">
        <w:t xml:space="preserve">was </w:t>
      </w:r>
      <w:r w:rsidR="0054297C" w:rsidRPr="007D7717">
        <w:t xml:space="preserve">held from </w:t>
      </w:r>
      <w:r w:rsidR="00BF410E" w:rsidRPr="007D7717">
        <w:t>1</w:t>
      </w:r>
      <w:r w:rsidR="00384D74" w:rsidRPr="007D7717">
        <w:t xml:space="preserve">9 to 21 </w:t>
      </w:r>
      <w:r w:rsidRPr="007D7717">
        <w:t>April 2023</w:t>
      </w:r>
      <w:r w:rsidR="00C8070F" w:rsidRPr="007D7717">
        <w:t xml:space="preserve"> </w:t>
      </w:r>
      <w:r w:rsidR="0054297C" w:rsidRPr="007D7717">
        <w:t xml:space="preserve">in </w:t>
      </w:r>
      <w:r w:rsidR="00C8070F" w:rsidRPr="007D7717">
        <w:t>Stockholm, Swede</w:t>
      </w:r>
      <w:r w:rsidR="00FB4498" w:rsidRPr="007D7717">
        <w:t>n</w:t>
      </w:r>
      <w:r w:rsidR="00D536ED" w:rsidRPr="007D7717">
        <w:t>,</w:t>
      </w:r>
      <w:r w:rsidRPr="007D7717">
        <w:t xml:space="preserve"> to lay the ground for the discussion</w:t>
      </w:r>
      <w:r w:rsidR="0054297C" w:rsidRPr="007D7717">
        <w:t>s</w:t>
      </w:r>
      <w:r w:rsidRPr="007D7717">
        <w:t xml:space="preserve"> </w:t>
      </w:r>
      <w:r w:rsidR="00D536ED" w:rsidRPr="007D7717">
        <w:t>of</w:t>
      </w:r>
      <w:r w:rsidRPr="007D7717">
        <w:t xml:space="preserve"> the </w:t>
      </w:r>
      <w:r w:rsidR="00A453DF" w:rsidRPr="007D7717">
        <w:t>w</w:t>
      </w:r>
      <w:r w:rsidRPr="007D7717">
        <w:t xml:space="preserve">orking </w:t>
      </w:r>
      <w:r w:rsidR="00A453DF" w:rsidRPr="007D7717">
        <w:t>g</w:t>
      </w:r>
      <w:r w:rsidRPr="007D7717">
        <w:t>roup</w:t>
      </w:r>
      <w:r w:rsidR="00B051A6" w:rsidRPr="007D7717">
        <w:t xml:space="preserve">, as presented in </w:t>
      </w:r>
      <w:r w:rsidR="00BC6574" w:rsidRPr="007D7717">
        <w:t xml:space="preserve">document </w:t>
      </w:r>
      <w:hyperlink r:id="rId15" w:history="1">
        <w:r w:rsidR="00F2319D" w:rsidRPr="007D7717">
          <w:rPr>
            <w:rStyle w:val="Hyperlink"/>
            <w:rFonts w:eastAsiaTheme="minorEastAsia"/>
            <w:lang w:eastAsia="ko-KR"/>
          </w:rPr>
          <w:t>LHE/23/18.COM EXP/4</w:t>
        </w:r>
      </w:hyperlink>
      <w:r w:rsidRPr="007D7717">
        <w:t>.</w:t>
      </w:r>
      <w:r w:rsidR="007917DA" w:rsidRPr="007D7717">
        <w:t xml:space="preserve"> </w:t>
      </w:r>
      <w:r w:rsidR="00B051A6" w:rsidRPr="007D7717">
        <w:t>While many sections</w:t>
      </w:r>
      <w:r w:rsidR="00BF410E" w:rsidRPr="007D7717">
        <w:t xml:space="preserve"> of this document</w:t>
      </w:r>
      <w:r w:rsidR="00B051A6" w:rsidRPr="007D7717">
        <w:t xml:space="preserve"> </w:t>
      </w:r>
      <w:r w:rsidR="00D536ED" w:rsidRPr="007D7717">
        <w:t>have been</w:t>
      </w:r>
      <w:r w:rsidR="00B051A6" w:rsidRPr="007D7717">
        <w:t xml:space="preserve"> taken directly from the experts’ recommendations, they are presented in a different order </w:t>
      </w:r>
      <w:r w:rsidR="0054297C" w:rsidRPr="007D7717">
        <w:t xml:space="preserve">and </w:t>
      </w:r>
      <w:r w:rsidR="00D536ED" w:rsidRPr="007D7717">
        <w:t xml:space="preserve">with </w:t>
      </w:r>
      <w:r w:rsidR="0054297C" w:rsidRPr="007D7717">
        <w:t xml:space="preserve">adjustments so as </w:t>
      </w:r>
      <w:r w:rsidR="00B051A6" w:rsidRPr="007D7717">
        <w:t xml:space="preserve">to facilitate the </w:t>
      </w:r>
      <w:r w:rsidR="00D536ED" w:rsidRPr="007D7717">
        <w:t xml:space="preserve">working group’s </w:t>
      </w:r>
      <w:r w:rsidR="00B051A6" w:rsidRPr="007D7717">
        <w:t xml:space="preserve">discussions. </w:t>
      </w:r>
      <w:r w:rsidR="00FB4498" w:rsidRPr="007D7717">
        <w:t xml:space="preserve">It </w:t>
      </w:r>
      <w:r w:rsidR="007917DA" w:rsidRPr="007D7717">
        <w:t xml:space="preserve">is expected that </w:t>
      </w:r>
      <w:r w:rsidR="00A411B0" w:rsidRPr="007D7717">
        <w:t xml:space="preserve">the </w:t>
      </w:r>
      <w:r w:rsidR="009D1E55" w:rsidRPr="007D7717">
        <w:t>w</w:t>
      </w:r>
      <w:r w:rsidR="00A411B0" w:rsidRPr="007D7717">
        <w:t xml:space="preserve">orking </w:t>
      </w:r>
      <w:r w:rsidR="009D1E55" w:rsidRPr="007D7717">
        <w:t>g</w:t>
      </w:r>
      <w:r w:rsidR="00A411B0" w:rsidRPr="007D7717">
        <w:t xml:space="preserve">roup </w:t>
      </w:r>
      <w:r w:rsidR="00872E15" w:rsidRPr="007D7717">
        <w:t xml:space="preserve">will provide its recommendations to </w:t>
      </w:r>
      <w:r w:rsidR="00B85B73" w:rsidRPr="007D7717">
        <w:t>the eighteenth session of the Committee</w:t>
      </w:r>
      <w:r w:rsidR="00D536ED" w:rsidRPr="007D7717">
        <w:t>,</w:t>
      </w:r>
      <w:r w:rsidR="00B85B73" w:rsidRPr="007D7717">
        <w:t xml:space="preserve"> which will take place from 4 to 9 December 2023 </w:t>
      </w:r>
      <w:r w:rsidR="00D536ED" w:rsidRPr="007D7717">
        <w:t xml:space="preserve">in </w:t>
      </w:r>
      <w:r w:rsidR="00B85B73" w:rsidRPr="007D7717">
        <w:t>Kasane, Republic of Botswana</w:t>
      </w:r>
      <w:r w:rsidR="0054297C" w:rsidRPr="007D7717">
        <w:t>.</w:t>
      </w:r>
      <w:r w:rsidR="00BF410E" w:rsidRPr="007D7717">
        <w:t xml:space="preserve"> </w:t>
      </w:r>
      <w:r w:rsidR="0054297C" w:rsidRPr="007D7717">
        <w:t>I</w:t>
      </w:r>
      <w:r w:rsidR="00BF410E" w:rsidRPr="007D7717">
        <w:t>n this regard</w:t>
      </w:r>
      <w:r w:rsidR="00D536ED" w:rsidRPr="007D7717">
        <w:t>,</w:t>
      </w:r>
      <w:r w:rsidR="00B051A6" w:rsidRPr="007D7717">
        <w:t xml:space="preserve"> document </w:t>
      </w:r>
      <w:hyperlink r:id="rId16" w:history="1">
        <w:r w:rsidR="00B051A6" w:rsidRPr="007D7717">
          <w:rPr>
            <w:rStyle w:val="Hyperlink"/>
          </w:rPr>
          <w:t>LHE/23/</w:t>
        </w:r>
        <w:r w:rsidR="004B3E7C" w:rsidRPr="007D7717">
          <w:rPr>
            <w:rStyle w:val="Hyperlink"/>
          </w:rPr>
          <w:t>18.COM WG</w:t>
        </w:r>
        <w:r w:rsidR="00B051A6" w:rsidRPr="007D7717">
          <w:rPr>
            <w:rStyle w:val="Hyperlink"/>
          </w:rPr>
          <w:t xml:space="preserve"> ART18/4</w:t>
        </w:r>
      </w:hyperlink>
      <w:r w:rsidR="0054297C" w:rsidRPr="007D7717">
        <w:t xml:space="preserve">, which </w:t>
      </w:r>
      <w:r w:rsidR="00D536ED" w:rsidRPr="007D7717">
        <w:t xml:space="preserve">has been </w:t>
      </w:r>
      <w:r w:rsidR="0054297C" w:rsidRPr="007D7717">
        <w:t xml:space="preserve">published as a skeleton for the recommendations of the </w:t>
      </w:r>
      <w:r w:rsidR="009D1E55" w:rsidRPr="007D7717">
        <w:t>w</w:t>
      </w:r>
      <w:r w:rsidR="0054297C" w:rsidRPr="007D7717">
        <w:t xml:space="preserve">orking </w:t>
      </w:r>
      <w:r w:rsidR="009D1E55" w:rsidRPr="007D7717">
        <w:t>g</w:t>
      </w:r>
      <w:r w:rsidR="0054297C" w:rsidRPr="007D7717">
        <w:t>roup to be developed,</w:t>
      </w:r>
      <w:r w:rsidR="00B051A6" w:rsidRPr="007D7717">
        <w:t xml:space="preserve"> will be </w:t>
      </w:r>
      <w:r w:rsidR="00BF410E" w:rsidRPr="007D7717">
        <w:t xml:space="preserve">revised during the meeting to reflect the </w:t>
      </w:r>
      <w:r w:rsidR="00D536ED" w:rsidRPr="007D7717">
        <w:t xml:space="preserve">working group’s </w:t>
      </w:r>
      <w:r w:rsidR="00BF410E" w:rsidRPr="007D7717">
        <w:t>discussions so that the</w:t>
      </w:r>
      <w:r w:rsidR="00D536ED" w:rsidRPr="007D7717">
        <w:t xml:space="preserve"> group can adopt the</w:t>
      </w:r>
      <w:r w:rsidR="00BF410E" w:rsidRPr="007D7717">
        <w:t xml:space="preserve"> recommendations on the last day of </w:t>
      </w:r>
      <w:r w:rsidR="00D536ED" w:rsidRPr="007D7717">
        <w:t xml:space="preserve">its </w:t>
      </w:r>
      <w:r w:rsidR="00BF410E" w:rsidRPr="007D7717">
        <w:t>meeting</w:t>
      </w:r>
      <w:r w:rsidR="00B85B73" w:rsidRPr="007D7717">
        <w:t>.</w:t>
      </w:r>
    </w:p>
    <w:p w14:paraId="69FA05F1" w14:textId="081A4371" w:rsidR="00BC55C2" w:rsidRPr="007D7717" w:rsidRDefault="00BC55C2" w:rsidP="009E1A2E">
      <w:pPr>
        <w:pStyle w:val="COMPara"/>
        <w:numPr>
          <w:ilvl w:val="0"/>
          <w:numId w:val="0"/>
        </w:numPr>
        <w:spacing w:before="240"/>
        <w:jc w:val="both"/>
        <w:rPr>
          <w:b/>
          <w:bCs/>
        </w:rPr>
      </w:pPr>
      <w:r w:rsidRPr="007D7717">
        <w:rPr>
          <w:b/>
          <w:bCs/>
        </w:rPr>
        <w:t>General considerations</w:t>
      </w:r>
    </w:p>
    <w:p w14:paraId="7299FBD9" w14:textId="1F59B751" w:rsidR="00BC55C2" w:rsidRPr="007D7717" w:rsidRDefault="00EB1DB8" w:rsidP="00976551">
      <w:pPr>
        <w:pStyle w:val="COMPara"/>
        <w:ind w:left="567" w:hanging="567"/>
        <w:jc w:val="both"/>
      </w:pPr>
      <w:r w:rsidRPr="007D7717">
        <w:t xml:space="preserve">Article 18 </w:t>
      </w:r>
      <w:r w:rsidR="00FB4498" w:rsidRPr="007D7717">
        <w:t xml:space="preserve">of the 2003 Convention </w:t>
      </w:r>
      <w:r w:rsidRPr="007D7717">
        <w:t xml:space="preserve">has the potential to </w:t>
      </w:r>
      <w:r w:rsidR="007D0DA8" w:rsidRPr="007D7717">
        <w:t>contribute to</w:t>
      </w:r>
      <w:r w:rsidRPr="007D7717">
        <w:t xml:space="preserve"> </w:t>
      </w:r>
      <w:r w:rsidR="00073CAA" w:rsidRPr="007D7717">
        <w:t xml:space="preserve">all </w:t>
      </w:r>
      <w:r w:rsidRPr="007D7717">
        <w:t xml:space="preserve">the purposes of </w:t>
      </w:r>
      <w:r w:rsidR="007D0DA8" w:rsidRPr="007D7717">
        <w:t>the</w:t>
      </w:r>
      <w:r w:rsidR="00D536ED" w:rsidRPr="007D7717">
        <w:t xml:space="preserve"> </w:t>
      </w:r>
      <w:r w:rsidRPr="007D7717">
        <w:t>Convention</w:t>
      </w:r>
      <w:r w:rsidR="00D536ED" w:rsidRPr="007D7717">
        <w:t>,</w:t>
      </w:r>
      <w:r w:rsidRPr="007D7717">
        <w:t xml:space="preserve"> </w:t>
      </w:r>
      <w:r w:rsidR="00D536ED" w:rsidRPr="007D7717">
        <w:t>as</w:t>
      </w:r>
      <w:r w:rsidR="00FB4498" w:rsidRPr="007D7717">
        <w:t xml:space="preserve"> </w:t>
      </w:r>
      <w:r w:rsidRPr="007D7717">
        <w:t>set out in Article 1</w:t>
      </w:r>
      <w:r w:rsidR="00D536ED" w:rsidRPr="007D7717">
        <w:t xml:space="preserve"> thereof</w:t>
      </w:r>
      <w:r w:rsidRPr="007D7717">
        <w:t xml:space="preserve">. </w:t>
      </w:r>
      <w:r w:rsidR="00073CAA" w:rsidRPr="007D7717">
        <w:t>In this regard, it is</w:t>
      </w:r>
      <w:r w:rsidR="005C6063" w:rsidRPr="007D7717">
        <w:t xml:space="preserve"> important to emphasis</w:t>
      </w:r>
      <w:r w:rsidR="00D536ED" w:rsidRPr="007D7717">
        <w:t>e</w:t>
      </w:r>
      <w:r w:rsidR="005C6063" w:rsidRPr="007D7717">
        <w:t xml:space="preserve"> the twofold </w:t>
      </w:r>
      <w:r w:rsidR="005C6063" w:rsidRPr="00F659B2">
        <w:t>guiding principle</w:t>
      </w:r>
      <w:r w:rsidR="005C6063" w:rsidRPr="007D7717">
        <w:t xml:space="preserve"> that the </w:t>
      </w:r>
      <w:r w:rsidR="009D1E55" w:rsidRPr="007D7717">
        <w:t>w</w:t>
      </w:r>
      <w:r w:rsidR="007E497E" w:rsidRPr="007D7717">
        <w:t xml:space="preserve">orking </w:t>
      </w:r>
      <w:r w:rsidR="009D1E55" w:rsidRPr="007D7717">
        <w:t>g</w:t>
      </w:r>
      <w:r w:rsidR="007E497E" w:rsidRPr="007D7717">
        <w:t>roup may wish to bear in mind</w:t>
      </w:r>
      <w:r w:rsidR="00D536ED" w:rsidRPr="007D7717">
        <w:t>.</w:t>
      </w:r>
      <w:r w:rsidR="002736C3" w:rsidRPr="007D7717">
        <w:t xml:space="preserve"> </w:t>
      </w:r>
      <w:r w:rsidR="00D536ED" w:rsidRPr="007D7717">
        <w:t xml:space="preserve">This </w:t>
      </w:r>
      <w:r w:rsidR="00073CAA" w:rsidRPr="007D7717">
        <w:t xml:space="preserve">will </w:t>
      </w:r>
      <w:r w:rsidR="002736C3" w:rsidRPr="007D7717">
        <w:t xml:space="preserve">ensure </w:t>
      </w:r>
      <w:r w:rsidR="007E497E" w:rsidRPr="007D7717">
        <w:t xml:space="preserve">continuity with the </w:t>
      </w:r>
      <w:r w:rsidR="00A72360" w:rsidRPr="007D7717">
        <w:t>g</w:t>
      </w:r>
      <w:r w:rsidR="007E497E" w:rsidRPr="007D7717">
        <w:t>lobal reflection on the listing mechanisms of the 2003 Convention</w:t>
      </w:r>
      <w:r w:rsidR="00D536ED" w:rsidRPr="007D7717">
        <w:t>,</w:t>
      </w:r>
      <w:r w:rsidR="007E497E" w:rsidRPr="007D7717">
        <w:t xml:space="preserve"> </w:t>
      </w:r>
      <w:r w:rsidR="00D536ED" w:rsidRPr="007D7717">
        <w:t xml:space="preserve">which </w:t>
      </w:r>
      <w:r w:rsidR="00C716C4" w:rsidRPr="007D7717">
        <w:t xml:space="preserve">followed </w:t>
      </w:r>
      <w:r w:rsidR="007E497E" w:rsidRPr="007D7717">
        <w:t>the same principle</w:t>
      </w:r>
      <w:r w:rsidR="0071246A" w:rsidRPr="007D7717">
        <w:t xml:space="preserve"> (Decision </w:t>
      </w:r>
      <w:hyperlink r:id="rId17" w:history="1">
        <w:r w:rsidR="0071246A" w:rsidRPr="007D7717">
          <w:rPr>
            <w:rStyle w:val="Hyperlink"/>
          </w:rPr>
          <w:t>16.COM 14</w:t>
        </w:r>
      </w:hyperlink>
      <w:r w:rsidR="0071246A" w:rsidRPr="007D7717">
        <w:t>)</w:t>
      </w:r>
      <w:r w:rsidR="00B322E4" w:rsidRPr="007D7717">
        <w:t>, namely</w:t>
      </w:r>
      <w:r w:rsidR="00D536ED" w:rsidRPr="007D7717">
        <w:t xml:space="preserve"> that:</w:t>
      </w:r>
    </w:p>
    <w:p w14:paraId="26C8461B" w14:textId="30814B01" w:rsidR="00D70C80" w:rsidRPr="007D7717" w:rsidRDefault="007E497E" w:rsidP="009A32F3">
      <w:pPr>
        <w:pStyle w:val="COMPara"/>
        <w:numPr>
          <w:ilvl w:val="0"/>
          <w:numId w:val="8"/>
        </w:numPr>
        <w:ind w:left="1134" w:hanging="567"/>
        <w:jc w:val="both"/>
      </w:pPr>
      <w:r w:rsidRPr="007D7717">
        <w:t>C</w:t>
      </w:r>
      <w:r w:rsidR="00D70C80" w:rsidRPr="007D7717">
        <w:t xml:space="preserve">ommunities, groups and, where appropriate, individuals </w:t>
      </w:r>
      <w:r w:rsidR="007D0DA8" w:rsidRPr="007D7717">
        <w:t>(hereafter</w:t>
      </w:r>
      <w:r w:rsidR="00D536ED" w:rsidRPr="007D7717">
        <w:t xml:space="preserve">, </w:t>
      </w:r>
      <w:r w:rsidR="007D0DA8" w:rsidRPr="007D7717">
        <w:t xml:space="preserve">‘communities’) </w:t>
      </w:r>
      <w:r w:rsidRPr="007D7717">
        <w:t xml:space="preserve">must be placed </w:t>
      </w:r>
      <w:r w:rsidR="00D70C80" w:rsidRPr="007D7717">
        <w:t xml:space="preserve">at the centre of efforts to safeguard </w:t>
      </w:r>
      <w:r w:rsidR="007D0DA8" w:rsidRPr="007D7717">
        <w:t xml:space="preserve">their </w:t>
      </w:r>
      <w:r w:rsidR="00D70C80" w:rsidRPr="007D7717">
        <w:t>intangible cultural heritage</w:t>
      </w:r>
      <w:r w:rsidRPr="007D7717">
        <w:t xml:space="preserve"> in the spirit of Article 15 of the Convention and of the </w:t>
      </w:r>
      <w:hyperlink r:id="rId18" w:history="1">
        <w:r w:rsidRPr="007D7717">
          <w:rPr>
            <w:rStyle w:val="Hyperlink"/>
          </w:rPr>
          <w:t>Ethical Principles</w:t>
        </w:r>
      </w:hyperlink>
      <w:r w:rsidRPr="007D7717">
        <w:t xml:space="preserve"> for Safeguarding Intangible Cultural Heritage</w:t>
      </w:r>
      <w:r w:rsidR="007A4E05" w:rsidRPr="007D7717">
        <w:t>,</w:t>
      </w:r>
      <w:r w:rsidR="00B322E4" w:rsidRPr="007D7717">
        <w:t xml:space="preserve"> as well as </w:t>
      </w:r>
      <w:r w:rsidR="007D0DA8" w:rsidRPr="007D7717">
        <w:t xml:space="preserve">the </w:t>
      </w:r>
      <w:r w:rsidR="00B322E4" w:rsidRPr="007D7717">
        <w:t xml:space="preserve">Universal Declaration </w:t>
      </w:r>
      <w:r w:rsidR="007D0DA8" w:rsidRPr="007D7717">
        <w:t>o</w:t>
      </w:r>
      <w:r w:rsidR="001011CD" w:rsidRPr="007D7717">
        <w:t>n</w:t>
      </w:r>
      <w:r w:rsidR="00B322E4" w:rsidRPr="007D7717">
        <w:t xml:space="preserve"> Human Rights (in particular its Article 27)</w:t>
      </w:r>
      <w:r w:rsidR="007A4E05" w:rsidRPr="007D7717">
        <w:t>;</w:t>
      </w:r>
    </w:p>
    <w:p w14:paraId="7566CE2E" w14:textId="5D213A6C" w:rsidR="00D70C80" w:rsidRPr="007D7717" w:rsidRDefault="00B9337A" w:rsidP="009A32F3">
      <w:pPr>
        <w:pStyle w:val="COMPara"/>
        <w:numPr>
          <w:ilvl w:val="0"/>
          <w:numId w:val="8"/>
        </w:numPr>
        <w:ind w:left="1134" w:hanging="567"/>
        <w:jc w:val="both"/>
      </w:pPr>
      <w:r w:rsidRPr="007D7717">
        <w:t>The a</w:t>
      </w:r>
      <w:r w:rsidR="00D70C80" w:rsidRPr="007D7717">
        <w:t xml:space="preserve">ctive participation </w:t>
      </w:r>
      <w:r w:rsidRPr="007D7717">
        <w:t xml:space="preserve">of communities </w:t>
      </w:r>
      <w:r w:rsidR="007B73CC" w:rsidRPr="007D7717">
        <w:t>must be ensured in the implementation of Article</w:t>
      </w:r>
      <w:r w:rsidR="001965E1">
        <w:t> </w:t>
      </w:r>
      <w:r w:rsidR="007B73CC" w:rsidRPr="007D7717">
        <w:t xml:space="preserve">18, </w:t>
      </w:r>
      <w:r w:rsidR="00D70C80" w:rsidRPr="007D7717">
        <w:t>including the Register of Good Safeguarding Practices</w:t>
      </w:r>
      <w:r w:rsidR="007B73CC" w:rsidRPr="007D7717">
        <w:t>.</w:t>
      </w:r>
    </w:p>
    <w:p w14:paraId="41A58A35" w14:textId="52E839B4" w:rsidR="007D0DA8" w:rsidRPr="007D7717" w:rsidRDefault="007D0DA8" w:rsidP="007D0DA8">
      <w:pPr>
        <w:pStyle w:val="COMPara"/>
        <w:ind w:left="567" w:hanging="567"/>
        <w:jc w:val="both"/>
      </w:pPr>
      <w:r w:rsidRPr="007D7717">
        <w:t xml:space="preserve">The </w:t>
      </w:r>
      <w:r w:rsidR="009D1E55" w:rsidRPr="007D7717">
        <w:t>w</w:t>
      </w:r>
      <w:r w:rsidRPr="007D7717">
        <w:t xml:space="preserve">orking </w:t>
      </w:r>
      <w:r w:rsidR="009D1E55" w:rsidRPr="007D7717">
        <w:t>g</w:t>
      </w:r>
      <w:r w:rsidRPr="007D7717">
        <w:t xml:space="preserve">roup may recall the original intent of Article 18. On the one hand, it calls upon the Committee to provide inspiration to communities around the world by selecting and promoting programmes, projects, and activities for the safeguarding of living heritage that best reflect the principles and objectives of the Convention. At the same time, Article 18 should be considered in relation to Articles 19 to 24 in terms of facilitating cooperation and </w:t>
      </w:r>
      <w:proofErr w:type="gramStart"/>
      <w:r w:rsidRPr="007D7717">
        <w:t>providing assistance to</w:t>
      </w:r>
      <w:proofErr w:type="gramEnd"/>
      <w:r w:rsidRPr="007D7717">
        <w:t xml:space="preserve"> States Parties and communities concerned </w:t>
      </w:r>
      <w:r w:rsidR="007A4E05" w:rsidRPr="007D7717">
        <w:t>in</w:t>
      </w:r>
      <w:r w:rsidRPr="007D7717">
        <w:t xml:space="preserve"> planning, implementing and following up </w:t>
      </w:r>
      <w:r w:rsidR="007A4E05" w:rsidRPr="007D7717">
        <w:t xml:space="preserve">on </w:t>
      </w:r>
      <w:r w:rsidRPr="007D7717">
        <w:t>their safeguarding efforts. Finally, Article 18</w:t>
      </w:r>
      <w:r w:rsidR="007A4E05" w:rsidRPr="007D7717">
        <w:t xml:space="preserve"> </w:t>
      </w:r>
      <w:bookmarkStart w:id="2" w:name="_Hlk137660565"/>
      <w:r w:rsidR="007A4E05" w:rsidRPr="007D7717">
        <w:t>–</w:t>
      </w:r>
      <w:bookmarkEnd w:id="2"/>
      <w:r w:rsidRPr="007D7717">
        <w:t xml:space="preserve"> together with Articles 16 and 17</w:t>
      </w:r>
      <w:r w:rsidR="007A4E05" w:rsidRPr="007D7717">
        <w:t>,</w:t>
      </w:r>
      <w:r w:rsidRPr="007D7717">
        <w:t xml:space="preserve"> </w:t>
      </w:r>
      <w:r w:rsidR="007A4E05" w:rsidRPr="007D7717">
        <w:t xml:space="preserve">which </w:t>
      </w:r>
      <w:r w:rsidRPr="007D7717">
        <w:t xml:space="preserve">introduce the two </w:t>
      </w:r>
      <w:r w:rsidR="007A4E05" w:rsidRPr="007D7717">
        <w:t>Li</w:t>
      </w:r>
      <w:r w:rsidRPr="007D7717">
        <w:t>sts of the Convention</w:t>
      </w:r>
      <w:r w:rsidR="007A4E05" w:rsidRPr="007D7717">
        <w:t xml:space="preserve"> – forms</w:t>
      </w:r>
      <w:r w:rsidRPr="007D7717">
        <w:t xml:space="preserve"> </w:t>
      </w:r>
      <w:r w:rsidR="00BF6030" w:rsidRPr="007D7717">
        <w:t>part of a</w:t>
      </w:r>
      <w:r w:rsidRPr="007D7717">
        <w:t xml:space="preserve"> chapter of the Convention entitled </w:t>
      </w:r>
      <w:r w:rsidR="00BF6030" w:rsidRPr="007D7717">
        <w:t>‘</w:t>
      </w:r>
      <w:r w:rsidRPr="007D7717">
        <w:t xml:space="preserve">Safeguarding of the </w:t>
      </w:r>
      <w:r w:rsidR="00BF6030" w:rsidRPr="007D7717">
        <w:t>intangible cultural heritage</w:t>
      </w:r>
      <w:r w:rsidRPr="007D7717">
        <w:t xml:space="preserve"> at the international level</w:t>
      </w:r>
      <w:r w:rsidR="00BF6030" w:rsidRPr="007D7717">
        <w:t>’</w:t>
      </w:r>
      <w:r w:rsidRPr="007D7717">
        <w:t xml:space="preserve">. </w:t>
      </w:r>
      <w:r w:rsidR="00BF6030" w:rsidRPr="007D7717">
        <w:t>As is the case for</w:t>
      </w:r>
      <w:r w:rsidRPr="007D7717">
        <w:t xml:space="preserve"> the two </w:t>
      </w:r>
      <w:r w:rsidR="00BF6030" w:rsidRPr="007D7717">
        <w:t>L</w:t>
      </w:r>
      <w:r w:rsidRPr="007D7717">
        <w:t>ists of the Convention</w:t>
      </w:r>
      <w:r w:rsidR="00BF6030" w:rsidRPr="007D7717">
        <w:t>,</w:t>
      </w:r>
      <w:r w:rsidRPr="007D7717">
        <w:t xml:space="preserve"> the implementation of Article 18 should contribute to the safeguarding of intangible cultural heritage of communities worldwide through concerted actions at the international level. The specific responsibility of the Committee in this respect is also confirmed in Article 7(b) of the Convention.</w:t>
      </w:r>
    </w:p>
    <w:p w14:paraId="3953121D" w14:textId="77661D68" w:rsidR="00EA7F8B" w:rsidRPr="007D7717" w:rsidRDefault="007904A8" w:rsidP="00464C42">
      <w:pPr>
        <w:pStyle w:val="COMPara"/>
        <w:keepNext/>
        <w:ind w:left="567" w:hanging="567"/>
        <w:jc w:val="both"/>
      </w:pPr>
      <w:r w:rsidRPr="007D7717">
        <w:lastRenderedPageBreak/>
        <w:t>T</w:t>
      </w:r>
      <w:r w:rsidR="000C7618" w:rsidRPr="007D7717">
        <w:t>he Category VI meeting of experts</w:t>
      </w:r>
      <w:r w:rsidRPr="007D7717">
        <w:t xml:space="preserve"> identified</w:t>
      </w:r>
      <w:r w:rsidR="000C7618" w:rsidRPr="007D7717">
        <w:t xml:space="preserve"> the following key issues</w:t>
      </w:r>
      <w:r w:rsidR="00CC66A6" w:rsidRPr="007D7717">
        <w:rPr>
          <w:rStyle w:val="FootnoteReference"/>
        </w:rPr>
        <w:footnoteReference w:id="1"/>
      </w:r>
      <w:r w:rsidR="000C7618" w:rsidRPr="007D7717">
        <w:t>:</w:t>
      </w:r>
    </w:p>
    <w:p w14:paraId="661C4BA9" w14:textId="58B9A1B4" w:rsidR="003D5249" w:rsidRPr="007D7717" w:rsidRDefault="0091492E" w:rsidP="003D5249">
      <w:pPr>
        <w:pStyle w:val="COMPara"/>
        <w:numPr>
          <w:ilvl w:val="1"/>
          <w:numId w:val="7"/>
        </w:numPr>
        <w:ind w:left="1134" w:hanging="567"/>
        <w:jc w:val="both"/>
      </w:pPr>
      <w:r w:rsidRPr="007D7717">
        <w:t xml:space="preserve">A larger </w:t>
      </w:r>
      <w:r w:rsidR="003D5249" w:rsidRPr="007D7717">
        <w:t xml:space="preserve">number of good safeguarding practices should be made available by means of the Register of Good Safeguarding Practices (hereafter the ‘Register’), which at present presents no more than </w:t>
      </w:r>
      <w:r w:rsidRPr="007D7717">
        <w:t>thirty-three</w:t>
      </w:r>
      <w:r w:rsidR="003D5249" w:rsidRPr="007D7717">
        <w:t xml:space="preserve"> practices.</w:t>
      </w:r>
    </w:p>
    <w:p w14:paraId="6A6C3E6E" w14:textId="77777777" w:rsidR="001011CD" w:rsidRPr="007D7717" w:rsidRDefault="001011CD" w:rsidP="001011CD">
      <w:pPr>
        <w:pStyle w:val="COMPara"/>
        <w:numPr>
          <w:ilvl w:val="1"/>
          <w:numId w:val="7"/>
        </w:numPr>
        <w:ind w:left="1134" w:hanging="567"/>
        <w:jc w:val="both"/>
      </w:pPr>
      <w:r w:rsidRPr="007D7717">
        <w:t>The good safeguarding practices shared under the Convention should be more equitably distributed geographically than is presently the case, with reference to paragraph 6 of the Operational Directives, facilitating South-South and North-South-South cooperation.</w:t>
      </w:r>
    </w:p>
    <w:p w14:paraId="7560F678" w14:textId="396B378D" w:rsidR="000C7618" w:rsidRPr="007D7717" w:rsidRDefault="001011CD" w:rsidP="009A32F3">
      <w:pPr>
        <w:pStyle w:val="COMPara"/>
        <w:numPr>
          <w:ilvl w:val="1"/>
          <w:numId w:val="7"/>
        </w:numPr>
        <w:ind w:left="1134" w:hanging="567"/>
        <w:jc w:val="both"/>
      </w:pPr>
      <w:r w:rsidRPr="007D7717">
        <w:t xml:space="preserve">Not only </w:t>
      </w:r>
      <w:r w:rsidR="0091492E" w:rsidRPr="007D7717">
        <w:t xml:space="preserve">a </w:t>
      </w:r>
      <w:r w:rsidRPr="007D7717">
        <w:t>larger number</w:t>
      </w:r>
      <w:r w:rsidR="0091492E" w:rsidRPr="007D7717">
        <w:t xml:space="preserve"> </w:t>
      </w:r>
      <w:r w:rsidRPr="007D7717">
        <w:t>but also a</w:t>
      </w:r>
      <w:r w:rsidR="000C7618" w:rsidRPr="007D7717">
        <w:t xml:space="preserve"> wider range of good safeguarding practices should be shared, reflecting the diversity of living heritage covered </w:t>
      </w:r>
      <w:r w:rsidR="0091492E" w:rsidRPr="007D7717">
        <w:t>under</w:t>
      </w:r>
      <w:r w:rsidR="000C7618" w:rsidRPr="007D7717">
        <w:t xml:space="preserve"> Article</w:t>
      </w:r>
      <w:r w:rsidRPr="007D7717">
        <w:t>s</w:t>
      </w:r>
      <w:r w:rsidR="000C7618" w:rsidRPr="007D7717">
        <w:t xml:space="preserve"> 2.1</w:t>
      </w:r>
      <w:r w:rsidRPr="007D7717">
        <w:t xml:space="preserve"> and 2.2</w:t>
      </w:r>
      <w:r w:rsidR="0091492E" w:rsidRPr="007D7717">
        <w:t>. Such practices should</w:t>
      </w:r>
      <w:r w:rsidR="00211850" w:rsidRPr="007D7717">
        <w:t xml:space="preserve"> also reflect </w:t>
      </w:r>
      <w:r w:rsidR="000C7618" w:rsidRPr="007D7717">
        <w:t xml:space="preserve">the range of threats </w:t>
      </w:r>
      <w:r w:rsidR="0091492E" w:rsidRPr="007D7717">
        <w:t xml:space="preserve">that exist </w:t>
      </w:r>
      <w:r w:rsidR="000C7618" w:rsidRPr="007D7717">
        <w:t xml:space="preserve">to </w:t>
      </w:r>
      <w:r w:rsidR="0091492E" w:rsidRPr="007D7717">
        <w:t xml:space="preserve">the </w:t>
      </w:r>
      <w:r w:rsidR="000C7618" w:rsidRPr="007D7717">
        <w:t xml:space="preserve">viability of living heritage </w:t>
      </w:r>
      <w:r w:rsidR="0091492E" w:rsidRPr="007D7717">
        <w:t xml:space="preserve">as well as </w:t>
      </w:r>
      <w:r w:rsidR="000C7618" w:rsidRPr="007D7717">
        <w:t xml:space="preserve">of </w:t>
      </w:r>
      <w:r w:rsidR="0091492E" w:rsidRPr="007D7717">
        <w:t xml:space="preserve">the </w:t>
      </w:r>
      <w:r w:rsidR="000C7618" w:rsidRPr="007D7717">
        <w:t>possible safeguarding measures indicated in Article 2.3 of the Convention and the Operational Directives</w:t>
      </w:r>
      <w:r w:rsidR="000D339E" w:rsidRPr="007D7717">
        <w:t xml:space="preserve"> (with reference to paragraph 14 for multinational proposals).</w:t>
      </w:r>
    </w:p>
    <w:p w14:paraId="23DC5A8C" w14:textId="6DF276F7" w:rsidR="000C7618" w:rsidRPr="007D7717" w:rsidRDefault="000C7618" w:rsidP="009A32F3">
      <w:pPr>
        <w:pStyle w:val="COMPara"/>
        <w:numPr>
          <w:ilvl w:val="1"/>
          <w:numId w:val="7"/>
        </w:numPr>
        <w:ind w:left="1134" w:hanging="567"/>
        <w:jc w:val="both"/>
      </w:pPr>
      <w:r w:rsidRPr="007D7717">
        <w:t xml:space="preserve">A broader implementation of Article 18 should be accompanied by </w:t>
      </w:r>
      <w:r w:rsidR="0091492E" w:rsidRPr="007D7717">
        <w:t>the</w:t>
      </w:r>
      <w:r w:rsidRPr="007D7717">
        <w:t xml:space="preserve"> wide involvement of stakeholders</w:t>
      </w:r>
      <w:r w:rsidR="0091492E" w:rsidRPr="007D7717">
        <w:t>,</w:t>
      </w:r>
      <w:r w:rsidRPr="007D7717">
        <w:t xml:space="preserve"> including </w:t>
      </w:r>
      <w:r w:rsidR="00F825C7" w:rsidRPr="007D7717">
        <w:t>(but not limited</w:t>
      </w:r>
      <w:r w:rsidR="007643E5" w:rsidRPr="007D7717">
        <w:t xml:space="preserve"> to</w:t>
      </w:r>
      <w:r w:rsidR="00F825C7" w:rsidRPr="007D7717">
        <w:t xml:space="preserve">) </w:t>
      </w:r>
      <w:r w:rsidRPr="007D7717">
        <w:t>community contact persons</w:t>
      </w:r>
      <w:r w:rsidR="00E0796C" w:rsidRPr="007D7717">
        <w:t xml:space="preserve"> </w:t>
      </w:r>
      <w:r w:rsidR="00211850" w:rsidRPr="007D7717">
        <w:t>concerned by</w:t>
      </w:r>
      <w:r w:rsidRPr="007D7717">
        <w:t xml:space="preserve"> elements </w:t>
      </w:r>
      <w:r w:rsidR="00494D07" w:rsidRPr="007D7717">
        <w:t xml:space="preserve">already inscribed </w:t>
      </w:r>
      <w:r w:rsidRPr="007D7717">
        <w:t xml:space="preserve">and selected practices, country focal points for periodic reporting, Category 2 Centres, accredited non-governmental organizations, UNESCO Chairs and other </w:t>
      </w:r>
      <w:r w:rsidR="00211850" w:rsidRPr="007D7717">
        <w:t xml:space="preserve">individual </w:t>
      </w:r>
      <w:r w:rsidRPr="007D7717">
        <w:t xml:space="preserve">experts. </w:t>
      </w:r>
      <w:r w:rsidR="0091492E" w:rsidRPr="007D7717">
        <w:t xml:space="preserve">A wider </w:t>
      </w:r>
      <w:r w:rsidRPr="007D7717">
        <w:t xml:space="preserve">use of good safeguarding </w:t>
      </w:r>
      <w:r w:rsidR="00F85FC0" w:rsidRPr="007D7717">
        <w:t>experiences</w:t>
      </w:r>
      <w:r w:rsidRPr="007D7717">
        <w:t xml:space="preserve"> by multiple stakeholders should be encouraged</w:t>
      </w:r>
      <w:r w:rsidR="0091492E" w:rsidRPr="007D7717">
        <w:t>,</w:t>
      </w:r>
      <w:r w:rsidRPr="007D7717">
        <w:t xml:space="preserve"> particular</w:t>
      </w:r>
      <w:r w:rsidR="0091492E" w:rsidRPr="007D7717">
        <w:t>ly</w:t>
      </w:r>
      <w:r w:rsidRPr="007D7717">
        <w:t xml:space="preserve"> to achieve the aims of the Convention</w:t>
      </w:r>
      <w:r w:rsidR="0091492E" w:rsidRPr="007D7717">
        <w:t xml:space="preserve"> and</w:t>
      </w:r>
      <w:r w:rsidRPr="007D7717">
        <w:t xml:space="preserve"> fulfil the aims of the Overall Results Framework and the needs of sustainable development.</w:t>
      </w:r>
    </w:p>
    <w:p w14:paraId="5D8ADF1A" w14:textId="57370B9E" w:rsidR="00665DD0" w:rsidRPr="007D7717" w:rsidRDefault="00665DD0" w:rsidP="009E03FA">
      <w:pPr>
        <w:pStyle w:val="COMPara"/>
        <w:numPr>
          <w:ilvl w:val="0"/>
          <w:numId w:val="0"/>
        </w:numPr>
        <w:spacing w:before="240"/>
        <w:jc w:val="both"/>
        <w:rPr>
          <w:b/>
          <w:bCs/>
        </w:rPr>
      </w:pPr>
      <w:r w:rsidRPr="007D7717">
        <w:rPr>
          <w:b/>
          <w:bCs/>
        </w:rPr>
        <w:t xml:space="preserve">Topic 1: Improving </w:t>
      </w:r>
      <w:r w:rsidR="00B720EA" w:rsidRPr="007D7717">
        <w:rPr>
          <w:b/>
          <w:bCs/>
        </w:rPr>
        <w:t xml:space="preserve">the </w:t>
      </w:r>
      <w:r w:rsidRPr="007D7717">
        <w:rPr>
          <w:b/>
          <w:bCs/>
        </w:rPr>
        <w:t>access to and increasing the visibility of the Register of Good Safeguarding Practices</w:t>
      </w:r>
    </w:p>
    <w:p w14:paraId="12A30F2A" w14:textId="5ECB35F9" w:rsidR="00211850" w:rsidRPr="007D7717" w:rsidRDefault="00211850" w:rsidP="00211850">
      <w:pPr>
        <w:pStyle w:val="COMPara"/>
        <w:ind w:left="567" w:hanging="567"/>
        <w:jc w:val="both"/>
      </w:pPr>
      <w:r w:rsidRPr="007D7717">
        <w:t xml:space="preserve">The first reflection topic is aimed at improving the utilization of the Register of Good Safeguarding Practices itself, both in terms of access to it and its visibility. The Register, which directly reflects </w:t>
      </w:r>
      <w:r w:rsidR="0091492E" w:rsidRPr="007D7717">
        <w:t xml:space="preserve">the </w:t>
      </w:r>
      <w:r w:rsidRPr="007D7717">
        <w:t>safeguarding activities of communities and of those who cooperate with them</w:t>
      </w:r>
      <w:r w:rsidR="0091492E" w:rsidRPr="007D7717">
        <w:t>,</w:t>
      </w:r>
      <w:r w:rsidRPr="007D7717">
        <w:t xml:space="preserve"> </w:t>
      </w:r>
      <w:r w:rsidR="0091492E" w:rsidRPr="007D7717">
        <w:t xml:space="preserve">has </w:t>
      </w:r>
      <w:r w:rsidRPr="007D7717">
        <w:t xml:space="preserve">not yet </w:t>
      </w:r>
      <w:r w:rsidR="0091492E" w:rsidRPr="007D7717">
        <w:t xml:space="preserve">reached </w:t>
      </w:r>
      <w:r w:rsidRPr="007D7717">
        <w:t xml:space="preserve">its </w:t>
      </w:r>
      <w:r w:rsidR="0091492E" w:rsidRPr="007D7717">
        <w:t xml:space="preserve">full </w:t>
      </w:r>
      <w:r w:rsidRPr="007D7717">
        <w:t>potential to serve as a tool for capacity</w:t>
      </w:r>
      <w:r w:rsidR="0091492E" w:rsidRPr="007D7717">
        <w:t xml:space="preserve"> </w:t>
      </w:r>
      <w:r w:rsidRPr="007D7717">
        <w:t>building and for supporting and enriching the safeguarding efforts</w:t>
      </w:r>
      <w:r w:rsidR="0091492E" w:rsidRPr="007D7717">
        <w:t xml:space="preserve"> of the communities concerned</w:t>
      </w:r>
      <w:r w:rsidRPr="007D7717">
        <w:t xml:space="preserve">. The </w:t>
      </w:r>
      <w:r w:rsidR="009D1E55" w:rsidRPr="007D7717">
        <w:t>w</w:t>
      </w:r>
      <w:r w:rsidRPr="007D7717">
        <w:t xml:space="preserve">orking </w:t>
      </w:r>
      <w:r w:rsidR="009D1E55" w:rsidRPr="007D7717">
        <w:t>g</w:t>
      </w:r>
      <w:r w:rsidRPr="007D7717">
        <w:t>roup may wish to prioritize the following issues in its deliberations: (1) selection criteria</w:t>
      </w:r>
      <w:r w:rsidR="0091492E" w:rsidRPr="007D7717">
        <w:t>;</w:t>
      </w:r>
      <w:r w:rsidRPr="007D7717">
        <w:t xml:space="preserve"> (2) accessibility and visibility</w:t>
      </w:r>
      <w:r w:rsidR="0091492E" w:rsidRPr="007D7717">
        <w:t>;</w:t>
      </w:r>
      <w:r w:rsidRPr="007D7717">
        <w:t xml:space="preserve"> and (3) relations with international cooperation mechanisms of the Convention.</w:t>
      </w:r>
    </w:p>
    <w:p w14:paraId="6B7DEFE7" w14:textId="73916C25" w:rsidR="00814F40" w:rsidRPr="007D7717" w:rsidRDefault="001A6740" w:rsidP="00CC4A47">
      <w:pPr>
        <w:pStyle w:val="COMPara"/>
        <w:numPr>
          <w:ilvl w:val="0"/>
          <w:numId w:val="0"/>
        </w:numPr>
        <w:rPr>
          <w:rFonts w:eastAsiaTheme="minorEastAsia"/>
          <w:u w:val="single"/>
          <w:lang w:eastAsia="ko-KR"/>
        </w:rPr>
      </w:pPr>
      <w:r w:rsidRPr="007D7717">
        <w:rPr>
          <w:rFonts w:eastAsiaTheme="minorEastAsia"/>
          <w:u w:val="single"/>
        </w:rPr>
        <w:t>D</w:t>
      </w:r>
      <w:r w:rsidR="00814F40" w:rsidRPr="007D7717">
        <w:rPr>
          <w:rFonts w:eastAsiaTheme="minorEastAsia"/>
          <w:u w:val="single"/>
        </w:rPr>
        <w:t>iscussion</w:t>
      </w:r>
      <w:r w:rsidR="00814F40" w:rsidRPr="007D7717">
        <w:rPr>
          <w:rFonts w:eastAsiaTheme="minorEastAsia"/>
          <w:u w:val="single"/>
          <w:lang w:eastAsia="ko-KR"/>
        </w:rPr>
        <w:t xml:space="preserve"> </w:t>
      </w:r>
      <w:proofErr w:type="gramStart"/>
      <w:r w:rsidR="00814F40" w:rsidRPr="007D7717">
        <w:rPr>
          <w:rFonts w:eastAsiaTheme="minorEastAsia"/>
          <w:u w:val="single"/>
          <w:lang w:eastAsia="ko-KR"/>
        </w:rPr>
        <w:t>point</w:t>
      </w:r>
      <w:proofErr w:type="gramEnd"/>
      <w:r w:rsidR="00814F40" w:rsidRPr="007D7717">
        <w:rPr>
          <w:rFonts w:eastAsiaTheme="minorEastAsia"/>
          <w:u w:val="single"/>
          <w:lang w:eastAsia="ko-KR"/>
        </w:rPr>
        <w:t xml:space="preserve"> 1: </w:t>
      </w:r>
      <w:r w:rsidR="00BB4369" w:rsidRPr="007D7717">
        <w:rPr>
          <w:rFonts w:eastAsiaTheme="minorEastAsia"/>
          <w:u w:val="single"/>
          <w:lang w:eastAsia="ko-KR"/>
        </w:rPr>
        <w:t>Adjustments to the s</w:t>
      </w:r>
      <w:r w:rsidR="00814F40" w:rsidRPr="007D7717">
        <w:rPr>
          <w:rFonts w:eastAsiaTheme="minorEastAsia"/>
          <w:u w:val="single"/>
          <w:lang w:eastAsia="ko-KR"/>
        </w:rPr>
        <w:t>election criteria</w:t>
      </w:r>
    </w:p>
    <w:p w14:paraId="610C6975" w14:textId="3EE178A3" w:rsidR="00814F40" w:rsidRPr="007D7717" w:rsidRDefault="00814F40" w:rsidP="00814F40">
      <w:pPr>
        <w:pStyle w:val="COMPara"/>
        <w:ind w:left="567" w:hanging="567"/>
        <w:jc w:val="both"/>
      </w:pPr>
      <w:r w:rsidRPr="007D7717">
        <w:t xml:space="preserve">One concrete outcome of the </w:t>
      </w:r>
      <w:r w:rsidR="0089211A" w:rsidRPr="007D7717">
        <w:t>g</w:t>
      </w:r>
      <w:r w:rsidRPr="007D7717">
        <w:t xml:space="preserve">lobal </w:t>
      </w:r>
      <w:r w:rsidR="0089211A" w:rsidRPr="007D7717">
        <w:t>r</w:t>
      </w:r>
      <w:r w:rsidRPr="007D7717">
        <w:t xml:space="preserve">eflection </w:t>
      </w:r>
      <w:r w:rsidR="0089211A" w:rsidRPr="007D7717">
        <w:t xml:space="preserve">on the listing mechanisms of the Convention </w:t>
      </w:r>
      <w:r w:rsidRPr="007D7717">
        <w:t xml:space="preserve">was the deletion of selection criterion P.9 from the set of criteria presented in </w:t>
      </w:r>
      <w:r w:rsidR="00F825C7" w:rsidRPr="007D7717">
        <w:t xml:space="preserve">paragraph 7 of the </w:t>
      </w:r>
      <w:r w:rsidRPr="007D7717">
        <w:t>Operational Directive</w:t>
      </w:r>
      <w:r w:rsidR="00F825C7" w:rsidRPr="007D7717">
        <w:t>s</w:t>
      </w:r>
      <w:r w:rsidRPr="007D7717">
        <w:t xml:space="preserve"> (</w:t>
      </w:r>
      <w:r w:rsidR="0091492E" w:rsidRPr="007D7717">
        <w:t>d</w:t>
      </w:r>
      <w:r w:rsidRPr="007D7717">
        <w:t>ocument </w:t>
      </w:r>
      <w:hyperlink r:id="rId19" w:history="1">
        <w:r w:rsidRPr="007D7717">
          <w:rPr>
            <w:rStyle w:val="Hyperlink"/>
          </w:rPr>
          <w:t>LHE/23/EXP ART18/2</w:t>
        </w:r>
        <w:r w:rsidR="00937F44" w:rsidRPr="007D7717">
          <w:rPr>
            <w:rStyle w:val="Hyperlink"/>
          </w:rPr>
          <w:t xml:space="preserve"> </w:t>
        </w:r>
        <w:r w:rsidR="00937F44" w:rsidRPr="00D61FBC">
          <w:rPr>
            <w:rStyle w:val="Hyperlink"/>
          </w:rPr>
          <w:t>Rev.</w:t>
        </w:r>
      </w:hyperlink>
      <w:r w:rsidRPr="007D7717">
        <w:t xml:space="preserve">). The Part I and Part II meetings of the Open-ended intergovernmental working group </w:t>
      </w:r>
      <w:r w:rsidR="00F825C7" w:rsidRPr="007D7717">
        <w:t xml:space="preserve">within the framework of the </w:t>
      </w:r>
      <w:r w:rsidR="007321E8" w:rsidRPr="007D7717">
        <w:t>g</w:t>
      </w:r>
      <w:r w:rsidR="00F825C7" w:rsidRPr="007D7717">
        <w:t xml:space="preserve">lobal reflection on the listing mechanisms of the Convention </w:t>
      </w:r>
      <w:r w:rsidRPr="007D7717">
        <w:t xml:space="preserve">also recommended </w:t>
      </w:r>
      <w:r w:rsidR="00597E10" w:rsidRPr="007D7717">
        <w:t xml:space="preserve">that </w:t>
      </w:r>
      <w:r w:rsidRPr="007D7717">
        <w:t>the deletion or reformulation of criteria, other than criterion P.9 could be further discussed pending a broader discussion on the implementation of Article 18 of the Convention.</w:t>
      </w:r>
    </w:p>
    <w:p w14:paraId="7C85D467" w14:textId="6ADE7EF4" w:rsidR="009A32F3" w:rsidRPr="007D7717" w:rsidRDefault="009A32F3" w:rsidP="009A32F3">
      <w:pPr>
        <w:pStyle w:val="COMPara"/>
        <w:ind w:left="567" w:hanging="567"/>
        <w:jc w:val="both"/>
      </w:pPr>
      <w:r w:rsidRPr="007D7717">
        <w:t xml:space="preserve">The selection criteria </w:t>
      </w:r>
      <w:r w:rsidR="0091492E" w:rsidRPr="007D7717">
        <w:t xml:space="preserve">could </w:t>
      </w:r>
      <w:r w:rsidRPr="007D7717">
        <w:t xml:space="preserve">be revised </w:t>
      </w:r>
      <w:proofErr w:type="gramStart"/>
      <w:r w:rsidRPr="007D7717">
        <w:t>taking into account</w:t>
      </w:r>
      <w:proofErr w:type="gramEnd"/>
      <w:r w:rsidRPr="007D7717">
        <w:t xml:space="preserve"> the following:</w:t>
      </w:r>
    </w:p>
    <w:p w14:paraId="35326AB4" w14:textId="0ED1B343" w:rsidR="009A32F3" w:rsidRPr="007D7717" w:rsidRDefault="0091492E" w:rsidP="009A32F3">
      <w:pPr>
        <w:pStyle w:val="COMPara"/>
        <w:numPr>
          <w:ilvl w:val="0"/>
          <w:numId w:val="9"/>
        </w:numPr>
        <w:ind w:left="1134" w:hanging="567"/>
        <w:jc w:val="both"/>
      </w:pPr>
      <w:r w:rsidRPr="007D7717">
        <w:t xml:space="preserve">The criteria </w:t>
      </w:r>
      <w:r w:rsidR="009A32F3" w:rsidRPr="007D7717">
        <w:t xml:space="preserve">should focus on the description of the programme, project or activity in the sense of Article 2.3 of the Convention, references to safeguarding measures in the Operational Directives, as well as the principles and objectives of the Convention and the Ethical Principles for Safeguarding Intangible Cultural Heritage (criteria P.1 and P.3, which </w:t>
      </w:r>
      <w:r w:rsidR="0061755C" w:rsidRPr="007D7717">
        <w:t xml:space="preserve">could </w:t>
      </w:r>
      <w:r w:rsidR="009A32F3" w:rsidRPr="007D7717">
        <w:t>be merged).</w:t>
      </w:r>
    </w:p>
    <w:p w14:paraId="6A345BD2" w14:textId="0D114ED4" w:rsidR="009A32F3" w:rsidRPr="007D7717" w:rsidRDefault="009A32F3" w:rsidP="009A32F3">
      <w:pPr>
        <w:pStyle w:val="COMPara"/>
        <w:numPr>
          <w:ilvl w:val="0"/>
          <w:numId w:val="9"/>
        </w:numPr>
        <w:ind w:left="1134" w:hanging="567"/>
        <w:jc w:val="both"/>
      </w:pPr>
      <w:r w:rsidRPr="007D7717">
        <w:t xml:space="preserve">The participation of the communities concerned should be an important requirement (criteria P.5 and partly P.7 with </w:t>
      </w:r>
      <w:r w:rsidR="00597E10" w:rsidRPr="007D7717">
        <w:t>reference to</w:t>
      </w:r>
      <w:r w:rsidRPr="007D7717">
        <w:t xml:space="preserve"> Ethical Principle 4).</w:t>
      </w:r>
    </w:p>
    <w:p w14:paraId="75B37EB9" w14:textId="5FD46283" w:rsidR="009A32F3" w:rsidRPr="007D7717" w:rsidRDefault="009A32F3" w:rsidP="009A32F3">
      <w:pPr>
        <w:pStyle w:val="COMPara"/>
        <w:numPr>
          <w:ilvl w:val="0"/>
          <w:numId w:val="9"/>
        </w:numPr>
        <w:ind w:left="1134" w:hanging="567"/>
        <w:jc w:val="both"/>
      </w:pPr>
      <w:r w:rsidRPr="007D7717">
        <w:t xml:space="preserve">Furthermore, a demonstration of the effectiveness of the programme, project or activity </w:t>
      </w:r>
      <w:r w:rsidR="00597E10" w:rsidRPr="007D7717">
        <w:t xml:space="preserve">will remain a requirement, </w:t>
      </w:r>
      <w:r w:rsidR="0061755C" w:rsidRPr="007D7717">
        <w:t>rendering</w:t>
      </w:r>
      <w:r w:rsidRPr="007D7717">
        <w:t xml:space="preserve"> the requirement to carry out an assessment of the results redundant (criterion P.4 could therefore </w:t>
      </w:r>
      <w:r w:rsidR="0061755C" w:rsidRPr="007D7717">
        <w:t xml:space="preserve">be </w:t>
      </w:r>
      <w:proofErr w:type="gramStart"/>
      <w:r w:rsidRPr="007D7717">
        <w:t>kept</w:t>
      </w:r>
      <w:proofErr w:type="gramEnd"/>
      <w:r w:rsidRPr="007D7717">
        <w:t xml:space="preserve"> and criteria P.8 deleted).</w:t>
      </w:r>
      <w:r w:rsidR="00597E10" w:rsidRPr="007D7717">
        <w:t xml:space="preserve"> Such </w:t>
      </w:r>
      <w:r w:rsidR="0061755C" w:rsidRPr="007D7717">
        <w:t xml:space="preserve">a </w:t>
      </w:r>
      <w:r w:rsidR="00597E10" w:rsidRPr="007D7717">
        <w:t>demonstration may need to include a description of the initial situation which called for safeguarding and of the situation</w:t>
      </w:r>
      <w:r w:rsidR="0061755C" w:rsidRPr="007D7717">
        <w:t xml:space="preserve"> once</w:t>
      </w:r>
      <w:r w:rsidR="00597E10" w:rsidRPr="007D7717">
        <w:t xml:space="preserve"> the safeguarding measures </w:t>
      </w:r>
      <w:r w:rsidR="0061755C" w:rsidRPr="007D7717">
        <w:t xml:space="preserve">had been </w:t>
      </w:r>
      <w:r w:rsidR="00597E10" w:rsidRPr="007D7717">
        <w:t xml:space="preserve">successfully executed. </w:t>
      </w:r>
    </w:p>
    <w:p w14:paraId="02116D95" w14:textId="71D415BA" w:rsidR="009A32F3" w:rsidRPr="007D7717" w:rsidRDefault="009A32F3" w:rsidP="009A32F3">
      <w:pPr>
        <w:pStyle w:val="COMPara"/>
        <w:numPr>
          <w:ilvl w:val="0"/>
          <w:numId w:val="9"/>
        </w:numPr>
        <w:ind w:left="1134" w:hanging="567"/>
        <w:jc w:val="both"/>
      </w:pPr>
      <w:r w:rsidRPr="007D7717">
        <w:t xml:space="preserve">Criterion P.7 </w:t>
      </w:r>
      <w:r w:rsidR="0061755C" w:rsidRPr="007D7717">
        <w:t xml:space="preserve">could </w:t>
      </w:r>
      <w:r w:rsidRPr="007D7717">
        <w:t xml:space="preserve">be adjusted to </w:t>
      </w:r>
      <w:r w:rsidR="0061755C" w:rsidRPr="007D7717">
        <w:t xml:space="preserve">refer to </w:t>
      </w:r>
      <w:r w:rsidRPr="007D7717">
        <w:t xml:space="preserve">‘good practices’ instead of ‘best </w:t>
      </w:r>
      <w:proofErr w:type="gramStart"/>
      <w:r w:rsidRPr="007D7717">
        <w:t>practices’</w:t>
      </w:r>
      <w:proofErr w:type="gramEnd"/>
      <w:r w:rsidRPr="007D7717">
        <w:t>.</w:t>
      </w:r>
    </w:p>
    <w:p w14:paraId="71A58FAB" w14:textId="70526E1D" w:rsidR="009A32F3" w:rsidRPr="007D7717" w:rsidRDefault="009A32F3" w:rsidP="009A32F3">
      <w:pPr>
        <w:pStyle w:val="COMPara"/>
        <w:numPr>
          <w:ilvl w:val="0"/>
          <w:numId w:val="9"/>
        </w:numPr>
        <w:ind w:left="1134" w:hanging="567"/>
        <w:jc w:val="both"/>
      </w:pPr>
      <w:r w:rsidRPr="007D7717">
        <w:t xml:space="preserve">Reference to the possibility of using the good safeguarding practices as a model (P.6) </w:t>
      </w:r>
      <w:r w:rsidR="0061755C" w:rsidRPr="007D7717">
        <w:t xml:space="preserve">could </w:t>
      </w:r>
      <w:r w:rsidRPr="007D7717">
        <w:t>be included in the combined criterion for P.1 and P.3, but should not be limited to</w:t>
      </w:r>
      <w:r w:rsidR="00406F47" w:rsidRPr="007D7717">
        <w:t xml:space="preserve"> the</w:t>
      </w:r>
      <w:r w:rsidRPr="007D7717">
        <w:t xml:space="preserve"> international level, as models may be relevant at the national </w:t>
      </w:r>
      <w:r w:rsidR="00406F47" w:rsidRPr="007D7717">
        <w:t xml:space="preserve">or local </w:t>
      </w:r>
      <w:r w:rsidRPr="007D7717">
        <w:t>level</w:t>
      </w:r>
      <w:r w:rsidR="0061755C" w:rsidRPr="007D7717">
        <w:t>s</w:t>
      </w:r>
      <w:r w:rsidRPr="007D7717">
        <w:t>.</w:t>
      </w:r>
    </w:p>
    <w:p w14:paraId="2512A6EF" w14:textId="77858935" w:rsidR="00814F40" w:rsidRPr="00D61FBC" w:rsidRDefault="009A32F3" w:rsidP="009A32F3">
      <w:pPr>
        <w:pStyle w:val="COMPara"/>
        <w:numPr>
          <w:ilvl w:val="0"/>
          <w:numId w:val="9"/>
        </w:numPr>
        <w:ind w:left="1134" w:hanging="567"/>
        <w:jc w:val="both"/>
        <w:rPr>
          <w:rFonts w:eastAsiaTheme="minorEastAsia"/>
          <w:lang w:eastAsia="ko-KR"/>
        </w:rPr>
      </w:pPr>
      <w:r w:rsidRPr="007D7717">
        <w:t>Some good safeguarding practices may be limited to local activities and criterion P.2 may therefore unnecessarily limit the diversity of the Register and could be deleted.</w:t>
      </w:r>
    </w:p>
    <w:p w14:paraId="765DDFCA" w14:textId="4A7FDBB1" w:rsidR="00406F47" w:rsidRPr="007D7717" w:rsidRDefault="007A7F75" w:rsidP="007A7F75">
      <w:pPr>
        <w:pStyle w:val="COMPara"/>
        <w:keepNext/>
        <w:ind w:left="567" w:hanging="567"/>
        <w:jc w:val="both"/>
        <w:rPr>
          <w:snapToGrid/>
        </w:rPr>
      </w:pPr>
      <w:r w:rsidRPr="007D7717">
        <w:rPr>
          <w:snapToGrid/>
        </w:rPr>
        <w:t xml:space="preserve">While criterion P.9 was deleted from the selection criteria as a result of the global reflection on the listing mechanisms of the Convention, paragraph 6 of the Operational Directives continues to mention the </w:t>
      </w:r>
      <w:r w:rsidR="003D42C7" w:rsidRPr="007D7717">
        <w:rPr>
          <w:snapToGrid/>
        </w:rPr>
        <w:t>‘</w:t>
      </w:r>
      <w:r w:rsidRPr="007D7717">
        <w:rPr>
          <w:snapToGrid/>
        </w:rPr>
        <w:t xml:space="preserve">needs of developing </w:t>
      </w:r>
      <w:proofErr w:type="gramStart"/>
      <w:r w:rsidRPr="007D7717">
        <w:rPr>
          <w:snapToGrid/>
        </w:rPr>
        <w:t>countries</w:t>
      </w:r>
      <w:r w:rsidR="003D42C7" w:rsidRPr="007D7717">
        <w:rPr>
          <w:snapToGrid/>
        </w:rPr>
        <w:t>’</w:t>
      </w:r>
      <w:proofErr w:type="gramEnd"/>
      <w:r w:rsidRPr="007D7717">
        <w:rPr>
          <w:snapToGrid/>
        </w:rPr>
        <w:t xml:space="preserve">. The deletion of </w:t>
      </w:r>
      <w:r w:rsidR="00007EEB" w:rsidRPr="007D7717">
        <w:rPr>
          <w:snapToGrid/>
        </w:rPr>
        <w:t xml:space="preserve">criterion </w:t>
      </w:r>
      <w:r w:rsidRPr="007D7717">
        <w:rPr>
          <w:snapToGrid/>
        </w:rPr>
        <w:t xml:space="preserve">P.9 did not mean that the needs of developing countries are not important, but rather that </w:t>
      </w:r>
      <w:r w:rsidR="00406F47" w:rsidRPr="007D7717">
        <w:rPr>
          <w:snapToGrid/>
        </w:rPr>
        <w:t xml:space="preserve">specific </w:t>
      </w:r>
      <w:r w:rsidRPr="007D7717">
        <w:rPr>
          <w:snapToGrid/>
        </w:rPr>
        <w:t xml:space="preserve">safeguarding practices may be relevant </w:t>
      </w:r>
      <w:r w:rsidR="00406F47" w:rsidRPr="007D7717">
        <w:rPr>
          <w:snapToGrid/>
        </w:rPr>
        <w:t>for communities and countries everywhere in the world</w:t>
      </w:r>
      <w:r w:rsidRPr="007D7717">
        <w:rPr>
          <w:snapToGrid/>
        </w:rPr>
        <w:t>.</w:t>
      </w:r>
      <w:r w:rsidR="003D42C7" w:rsidRPr="007D7717">
        <w:rPr>
          <w:snapToGrid/>
        </w:rPr>
        <w:t xml:space="preserve"> </w:t>
      </w:r>
      <w:r w:rsidR="00406F47" w:rsidRPr="007D7717">
        <w:rPr>
          <w:snapToGrid/>
        </w:rPr>
        <w:t xml:space="preserve">In this respect, the importance of advocating </w:t>
      </w:r>
      <w:r w:rsidR="0061755C" w:rsidRPr="007D7717">
        <w:rPr>
          <w:snapToGrid/>
        </w:rPr>
        <w:t xml:space="preserve">for </w:t>
      </w:r>
      <w:r w:rsidR="00406F47" w:rsidRPr="007D7717">
        <w:rPr>
          <w:snapToGrid/>
        </w:rPr>
        <w:t>international cooperation when implementing Article</w:t>
      </w:r>
      <w:r w:rsidR="009E3F76">
        <w:rPr>
          <w:snapToGrid/>
        </w:rPr>
        <w:t> </w:t>
      </w:r>
      <w:r w:rsidR="00406F47" w:rsidRPr="007D7717">
        <w:rPr>
          <w:snapToGrid/>
        </w:rPr>
        <w:t xml:space="preserve">18 </w:t>
      </w:r>
      <w:r w:rsidR="007B546D" w:rsidRPr="007D7717">
        <w:rPr>
          <w:snapToGrid/>
        </w:rPr>
        <w:t xml:space="preserve">could </w:t>
      </w:r>
      <w:r w:rsidR="00406F47" w:rsidRPr="007D7717">
        <w:rPr>
          <w:snapToGrid/>
        </w:rPr>
        <w:t>be recalled.</w:t>
      </w:r>
    </w:p>
    <w:p w14:paraId="6D8DB05E" w14:textId="56729F4D" w:rsidR="007A7F75" w:rsidRPr="001965E1" w:rsidRDefault="00007EEB" w:rsidP="00AE7563">
      <w:pPr>
        <w:pStyle w:val="COMPara"/>
        <w:ind w:left="567" w:hanging="567"/>
        <w:jc w:val="both"/>
        <w:rPr>
          <w:rFonts w:eastAsiaTheme="minorEastAsia"/>
          <w:lang w:eastAsia="ko-KR"/>
        </w:rPr>
      </w:pPr>
      <w:r w:rsidRPr="001965E1">
        <w:rPr>
          <w:rFonts w:eastAsiaTheme="minorEastAsia"/>
          <w:lang w:eastAsia="ko-KR"/>
        </w:rPr>
        <w:t xml:space="preserve">The </w:t>
      </w:r>
      <w:r w:rsidR="009D1E55" w:rsidRPr="001965E1">
        <w:rPr>
          <w:rFonts w:eastAsiaTheme="minorEastAsia"/>
          <w:lang w:eastAsia="ko-KR"/>
        </w:rPr>
        <w:t>w</w:t>
      </w:r>
      <w:r w:rsidRPr="001965E1">
        <w:rPr>
          <w:rFonts w:eastAsiaTheme="minorEastAsia"/>
          <w:lang w:eastAsia="ko-KR"/>
        </w:rPr>
        <w:t xml:space="preserve">orking </w:t>
      </w:r>
      <w:r w:rsidR="009D1E55" w:rsidRPr="001965E1">
        <w:rPr>
          <w:rFonts w:eastAsiaTheme="minorEastAsia"/>
          <w:lang w:eastAsia="ko-KR"/>
        </w:rPr>
        <w:t>g</w:t>
      </w:r>
      <w:r w:rsidRPr="001965E1">
        <w:rPr>
          <w:rFonts w:eastAsiaTheme="minorEastAsia"/>
          <w:lang w:eastAsia="ko-KR"/>
        </w:rPr>
        <w:t xml:space="preserve">roup may wish to request </w:t>
      </w:r>
      <w:r w:rsidR="0061755C" w:rsidRPr="001965E1">
        <w:rPr>
          <w:rFonts w:eastAsiaTheme="minorEastAsia"/>
          <w:lang w:eastAsia="ko-KR"/>
        </w:rPr>
        <w:t xml:space="preserve">that </w:t>
      </w:r>
      <w:r w:rsidRPr="001965E1">
        <w:rPr>
          <w:rFonts w:eastAsiaTheme="minorEastAsia"/>
          <w:lang w:eastAsia="ko-KR"/>
        </w:rPr>
        <w:t xml:space="preserve">the Secretariat present draft amendments to the Operational Directives to reflect the recommendations of the </w:t>
      </w:r>
      <w:r w:rsidR="009D1E55" w:rsidRPr="001965E1">
        <w:rPr>
          <w:rFonts w:eastAsiaTheme="minorEastAsia"/>
          <w:lang w:eastAsia="ko-KR"/>
        </w:rPr>
        <w:t>w</w:t>
      </w:r>
      <w:r w:rsidRPr="001965E1">
        <w:rPr>
          <w:rFonts w:eastAsiaTheme="minorEastAsia"/>
          <w:lang w:eastAsia="ko-KR"/>
        </w:rPr>
        <w:t xml:space="preserve">orking </w:t>
      </w:r>
      <w:r w:rsidR="009D1E55" w:rsidRPr="001965E1">
        <w:rPr>
          <w:rFonts w:eastAsiaTheme="minorEastAsia"/>
          <w:lang w:eastAsia="ko-KR"/>
        </w:rPr>
        <w:t>g</w:t>
      </w:r>
      <w:r w:rsidRPr="001965E1">
        <w:rPr>
          <w:rFonts w:eastAsiaTheme="minorEastAsia"/>
          <w:lang w:eastAsia="ko-KR"/>
        </w:rPr>
        <w:t xml:space="preserve">roup </w:t>
      </w:r>
      <w:r w:rsidR="0061755C" w:rsidRPr="001965E1">
        <w:rPr>
          <w:rFonts w:eastAsiaTheme="minorEastAsia"/>
          <w:lang w:eastAsia="ko-KR"/>
        </w:rPr>
        <w:t xml:space="preserve">regarding </w:t>
      </w:r>
      <w:r w:rsidRPr="001965E1">
        <w:rPr>
          <w:rFonts w:eastAsiaTheme="minorEastAsia"/>
          <w:lang w:eastAsia="ko-KR"/>
        </w:rPr>
        <w:t>the selection criteria for examination by the eighteenth session of the Committee. If the Committee so wishes, these amendments may be brought to the attention of the tenth session of the General Assembly in mid-2024.</w:t>
      </w:r>
      <w:r w:rsidR="00174E99" w:rsidRPr="001965E1">
        <w:rPr>
          <w:rFonts w:eastAsiaTheme="minorEastAsia"/>
          <w:lang w:eastAsia="ko-KR"/>
        </w:rPr>
        <w:t xml:space="preserve"> </w:t>
      </w:r>
      <w:r w:rsidR="002516C6" w:rsidRPr="001965E1">
        <w:rPr>
          <w:rFonts w:eastAsiaTheme="minorEastAsia"/>
          <w:lang w:eastAsia="ko-KR"/>
        </w:rPr>
        <w:t>Following that,</w:t>
      </w:r>
      <w:r w:rsidR="00174E99" w:rsidRPr="001965E1">
        <w:rPr>
          <w:rFonts w:eastAsiaTheme="minorEastAsia"/>
          <w:lang w:eastAsia="ko-KR"/>
        </w:rPr>
        <w:t xml:space="preserve"> adjustments </w:t>
      </w:r>
      <w:r w:rsidR="0061755C" w:rsidRPr="001965E1">
        <w:rPr>
          <w:rFonts w:eastAsiaTheme="minorEastAsia"/>
          <w:lang w:eastAsia="ko-KR"/>
        </w:rPr>
        <w:t xml:space="preserve">to </w:t>
      </w:r>
      <w:r w:rsidR="00174E99" w:rsidRPr="001965E1">
        <w:rPr>
          <w:rFonts w:eastAsiaTheme="minorEastAsia"/>
          <w:lang w:eastAsia="ko-KR"/>
        </w:rPr>
        <w:t xml:space="preserve">Form ICH-03 could be envisaged to take place in the second half of 2024, in order to support States Parties </w:t>
      </w:r>
      <w:r w:rsidR="0061755C" w:rsidRPr="001965E1">
        <w:rPr>
          <w:rFonts w:eastAsiaTheme="minorEastAsia"/>
          <w:lang w:eastAsia="ko-KR"/>
        </w:rPr>
        <w:t xml:space="preserve">that wish </w:t>
      </w:r>
      <w:r w:rsidR="00174E99" w:rsidRPr="001965E1">
        <w:rPr>
          <w:rFonts w:eastAsiaTheme="minorEastAsia"/>
          <w:lang w:eastAsia="ko-KR"/>
        </w:rPr>
        <w:t xml:space="preserve">to propose </w:t>
      </w:r>
      <w:r w:rsidR="004C21A5" w:rsidRPr="001965E1">
        <w:rPr>
          <w:rFonts w:eastAsiaTheme="minorEastAsia"/>
          <w:lang w:eastAsia="ko-KR"/>
        </w:rPr>
        <w:t xml:space="preserve">programmes, </w:t>
      </w:r>
      <w:r w:rsidR="00174E99" w:rsidRPr="001965E1">
        <w:rPr>
          <w:rFonts w:eastAsiaTheme="minorEastAsia"/>
          <w:lang w:eastAsia="ko-KR"/>
        </w:rPr>
        <w:t>projects and activities for inclusion in the Register of Good Safeguarding Practices</w:t>
      </w:r>
      <w:r w:rsidR="002516C6" w:rsidRPr="001965E1">
        <w:rPr>
          <w:rFonts w:eastAsiaTheme="minorEastAsia"/>
          <w:lang w:eastAsia="ko-KR"/>
        </w:rPr>
        <w:t xml:space="preserve">. The revised form </w:t>
      </w:r>
      <w:r w:rsidR="0061755C" w:rsidRPr="001965E1">
        <w:rPr>
          <w:rFonts w:eastAsiaTheme="minorEastAsia"/>
          <w:lang w:eastAsia="ko-KR"/>
        </w:rPr>
        <w:t xml:space="preserve">could </w:t>
      </w:r>
      <w:r w:rsidR="002516C6" w:rsidRPr="001965E1">
        <w:rPr>
          <w:rFonts w:eastAsiaTheme="minorEastAsia"/>
          <w:lang w:eastAsia="ko-KR"/>
        </w:rPr>
        <w:t>be made available for the examination of proposals under the 2026 cycle, for which</w:t>
      </w:r>
      <w:r w:rsidR="00174E99" w:rsidRPr="001965E1">
        <w:rPr>
          <w:rFonts w:eastAsiaTheme="minorEastAsia"/>
          <w:lang w:eastAsia="ko-KR"/>
        </w:rPr>
        <w:t xml:space="preserve"> the </w:t>
      </w:r>
      <w:r w:rsidR="002516C6" w:rsidRPr="001965E1">
        <w:rPr>
          <w:rFonts w:eastAsiaTheme="minorEastAsia"/>
          <w:lang w:eastAsia="ko-KR"/>
        </w:rPr>
        <w:t xml:space="preserve">submission </w:t>
      </w:r>
      <w:r w:rsidR="00174E99" w:rsidRPr="001965E1">
        <w:rPr>
          <w:rFonts w:eastAsiaTheme="minorEastAsia"/>
          <w:lang w:eastAsia="ko-KR"/>
        </w:rPr>
        <w:t xml:space="preserve">deadline </w:t>
      </w:r>
      <w:r w:rsidR="002516C6" w:rsidRPr="001965E1">
        <w:rPr>
          <w:rFonts w:eastAsiaTheme="minorEastAsia"/>
          <w:lang w:eastAsia="ko-KR"/>
        </w:rPr>
        <w:t xml:space="preserve">is </w:t>
      </w:r>
      <w:r w:rsidR="00174E99" w:rsidRPr="001965E1">
        <w:rPr>
          <w:rFonts w:eastAsiaTheme="minorEastAsia"/>
          <w:lang w:eastAsia="ko-KR"/>
        </w:rPr>
        <w:t>31 March 2025</w:t>
      </w:r>
      <w:r w:rsidRPr="001965E1">
        <w:rPr>
          <w:rFonts w:eastAsiaTheme="minorEastAsia"/>
          <w:lang w:eastAsia="ko-KR"/>
        </w:rPr>
        <w:t>.</w:t>
      </w:r>
    </w:p>
    <w:p w14:paraId="3C6678D1" w14:textId="338427E0" w:rsidR="00476D3B" w:rsidRPr="007D7717" w:rsidRDefault="001A6740" w:rsidP="00CC4A47">
      <w:pPr>
        <w:pStyle w:val="COMPara"/>
        <w:numPr>
          <w:ilvl w:val="0"/>
          <w:numId w:val="0"/>
        </w:numPr>
        <w:rPr>
          <w:rFonts w:eastAsiaTheme="minorEastAsia"/>
          <w:color w:val="000000" w:themeColor="text1"/>
          <w:u w:val="single"/>
          <w:lang w:eastAsia="ko-KR"/>
        </w:rPr>
      </w:pPr>
      <w:r w:rsidRPr="007D7717">
        <w:rPr>
          <w:rFonts w:eastAsiaTheme="minorEastAsia"/>
          <w:u w:val="single"/>
        </w:rPr>
        <w:t>D</w:t>
      </w:r>
      <w:r w:rsidR="00476D3B" w:rsidRPr="007D7717">
        <w:rPr>
          <w:rFonts w:eastAsiaTheme="minorEastAsia"/>
          <w:u w:val="single"/>
        </w:rPr>
        <w:t>iscussion</w:t>
      </w:r>
      <w:r w:rsidR="00476D3B" w:rsidRPr="007D7717">
        <w:rPr>
          <w:rFonts w:eastAsiaTheme="minorEastAsia"/>
          <w:color w:val="000000" w:themeColor="text1"/>
          <w:u w:val="single"/>
          <w:lang w:eastAsia="ko-KR"/>
        </w:rPr>
        <w:t xml:space="preserve"> </w:t>
      </w:r>
      <w:proofErr w:type="gramStart"/>
      <w:r w:rsidR="00476D3B" w:rsidRPr="007D7717">
        <w:rPr>
          <w:rFonts w:eastAsiaTheme="minorEastAsia"/>
          <w:color w:val="000000" w:themeColor="text1"/>
          <w:u w:val="single"/>
          <w:lang w:eastAsia="ko-KR"/>
        </w:rPr>
        <w:t>point</w:t>
      </w:r>
      <w:proofErr w:type="gramEnd"/>
      <w:r w:rsidR="00476D3B" w:rsidRPr="007D7717">
        <w:rPr>
          <w:rFonts w:eastAsiaTheme="minorEastAsia"/>
          <w:color w:val="000000" w:themeColor="text1"/>
          <w:u w:val="single"/>
          <w:lang w:eastAsia="ko-KR"/>
        </w:rPr>
        <w:t xml:space="preserve"> 2:</w:t>
      </w:r>
      <w:r w:rsidR="002924E0" w:rsidRPr="007D7717">
        <w:rPr>
          <w:rFonts w:eastAsiaTheme="minorEastAsia"/>
          <w:color w:val="000000" w:themeColor="text1"/>
          <w:u w:val="single"/>
          <w:lang w:eastAsia="ko-KR"/>
        </w:rPr>
        <w:t xml:space="preserve"> </w:t>
      </w:r>
      <w:r w:rsidR="00BB4369" w:rsidRPr="007D7717">
        <w:rPr>
          <w:rFonts w:eastAsiaTheme="minorEastAsia"/>
          <w:color w:val="000000" w:themeColor="text1"/>
          <w:u w:val="single"/>
          <w:lang w:eastAsia="ko-KR"/>
        </w:rPr>
        <w:t>A</w:t>
      </w:r>
      <w:r w:rsidR="002924E0" w:rsidRPr="007D7717">
        <w:rPr>
          <w:rFonts w:eastAsiaTheme="minorEastAsia"/>
          <w:color w:val="000000" w:themeColor="text1"/>
          <w:u w:val="single"/>
          <w:lang w:eastAsia="ko-KR"/>
        </w:rPr>
        <w:t xml:space="preserve">ccessibility </w:t>
      </w:r>
      <w:r w:rsidR="00BB4369" w:rsidRPr="007D7717">
        <w:rPr>
          <w:rFonts w:eastAsiaTheme="minorEastAsia"/>
          <w:color w:val="000000" w:themeColor="text1"/>
          <w:u w:val="single"/>
          <w:lang w:eastAsia="ko-KR"/>
        </w:rPr>
        <w:t xml:space="preserve">to </w:t>
      </w:r>
      <w:r w:rsidR="002924E0" w:rsidRPr="007D7717">
        <w:rPr>
          <w:rFonts w:eastAsiaTheme="minorEastAsia"/>
          <w:color w:val="000000" w:themeColor="text1"/>
          <w:u w:val="single"/>
          <w:lang w:eastAsia="ko-KR"/>
        </w:rPr>
        <w:t>and visibility</w:t>
      </w:r>
      <w:r w:rsidR="00BB4369" w:rsidRPr="007D7717">
        <w:rPr>
          <w:rFonts w:eastAsiaTheme="minorEastAsia"/>
          <w:color w:val="000000" w:themeColor="text1"/>
          <w:u w:val="single"/>
          <w:lang w:eastAsia="ko-KR"/>
        </w:rPr>
        <w:t xml:space="preserve"> of the Register</w:t>
      </w:r>
    </w:p>
    <w:p w14:paraId="0048B566" w14:textId="13ACA9C4" w:rsidR="008E01E3" w:rsidRPr="007D7717" w:rsidRDefault="00F0643E" w:rsidP="00AE7563">
      <w:pPr>
        <w:pStyle w:val="COMPara"/>
        <w:ind w:left="567" w:hanging="567"/>
        <w:jc w:val="both"/>
        <w:rPr>
          <w:rFonts w:eastAsiaTheme="minorEastAsia"/>
          <w:lang w:eastAsia="ko-KR"/>
        </w:rPr>
      </w:pPr>
      <w:r w:rsidRPr="007D7717">
        <w:t xml:space="preserve">One of the weaknesses identified in the functioning of the Register </w:t>
      </w:r>
      <w:r w:rsidR="008D3724" w:rsidRPr="007D7717">
        <w:t xml:space="preserve">is </w:t>
      </w:r>
      <w:r w:rsidRPr="007D7717">
        <w:t>that it has not been able to serve satisfactorily as a source of inspiration and information for communities and</w:t>
      </w:r>
      <w:r w:rsidR="00012B52" w:rsidRPr="007D7717">
        <w:t xml:space="preserve"> other</w:t>
      </w:r>
      <w:r w:rsidRPr="007D7717">
        <w:t xml:space="preserve"> stakeholders around the world </w:t>
      </w:r>
      <w:r w:rsidR="0061755C" w:rsidRPr="007D7717">
        <w:t>seeking</w:t>
      </w:r>
      <w:r w:rsidRPr="007D7717">
        <w:t xml:space="preserve"> safeguarding advice. The issue is partly quantitative since not enough programmes, projects or activities have been selected to cover a </w:t>
      </w:r>
      <w:r w:rsidR="006478C2" w:rsidRPr="007D7717">
        <w:t xml:space="preserve">sufficiently </w:t>
      </w:r>
      <w:r w:rsidRPr="007D7717">
        <w:t>broad range of safeguarding issues and to form a useful set of experiences.</w:t>
      </w:r>
    </w:p>
    <w:p w14:paraId="3454342A" w14:textId="5BC26902" w:rsidR="00012B52" w:rsidRPr="007D7717" w:rsidRDefault="00012B52" w:rsidP="00012B52">
      <w:pPr>
        <w:pStyle w:val="COMPara"/>
        <w:ind w:left="567" w:hanging="567"/>
        <w:jc w:val="both"/>
        <w:rPr>
          <w:rFonts w:eastAsiaTheme="minorEastAsia"/>
          <w:lang w:eastAsia="ko-KR"/>
        </w:rPr>
      </w:pPr>
      <w:r w:rsidRPr="007D7717">
        <w:t xml:space="preserve">In this regard, the recommendations of the Category VI meeting of experts </w:t>
      </w:r>
      <w:r w:rsidR="00A45F98" w:rsidRPr="007D7717">
        <w:t xml:space="preserve">emphasises </w:t>
      </w:r>
      <w:r w:rsidRPr="007D7717">
        <w:t xml:space="preserve">that </w:t>
      </w:r>
      <w:r w:rsidR="008D3724" w:rsidRPr="007D7717">
        <w:t xml:space="preserve">proposals </w:t>
      </w:r>
      <w:r w:rsidRPr="007D7717">
        <w:t xml:space="preserve">to the Register be considered </w:t>
      </w:r>
      <w:r w:rsidR="0061755C" w:rsidRPr="007D7717">
        <w:t xml:space="preserve">separately </w:t>
      </w:r>
      <w:r w:rsidRPr="007D7717">
        <w:t xml:space="preserve">from nominations to the Representative List and the Urgent Safeguarding List, which </w:t>
      </w:r>
      <w:r w:rsidR="00CE19FD" w:rsidRPr="007D7717">
        <w:t>might result in</w:t>
      </w:r>
      <w:r w:rsidRPr="007D7717">
        <w:t xml:space="preserve"> States Parties simultaneously </w:t>
      </w:r>
      <w:r w:rsidR="00CE19FD" w:rsidRPr="007D7717">
        <w:t xml:space="preserve">submitting </w:t>
      </w:r>
      <w:r w:rsidRPr="007D7717">
        <w:t xml:space="preserve">a proposal for the Register and a nomination to one of the two Lists, instead of having to choose between these two options. However, it may not seem timely to re-open a discussion on this point, following the completion of the </w:t>
      </w:r>
      <w:r w:rsidR="007321E8" w:rsidRPr="007D7717">
        <w:t>g</w:t>
      </w:r>
      <w:r w:rsidRPr="007D7717">
        <w:t>lobal reflection on the listing mechanisms (20</w:t>
      </w:r>
      <w:r w:rsidR="008D3724" w:rsidRPr="007D7717">
        <w:t>1</w:t>
      </w:r>
      <w:r w:rsidRPr="007D7717">
        <w:t>8</w:t>
      </w:r>
      <w:r w:rsidR="0061755C" w:rsidRPr="007D7717">
        <w:t>–</w:t>
      </w:r>
      <w:r w:rsidRPr="007D7717">
        <w:t xml:space="preserve">2022) which concluded </w:t>
      </w:r>
      <w:r w:rsidR="0061755C" w:rsidRPr="007D7717">
        <w:t>by</w:t>
      </w:r>
      <w:r w:rsidRPr="007D7717">
        <w:t xml:space="preserve"> fine-tun</w:t>
      </w:r>
      <w:r w:rsidR="0061755C" w:rsidRPr="007D7717">
        <w:t>ing</w:t>
      </w:r>
      <w:r w:rsidRPr="007D7717">
        <w:t xml:space="preserve"> the existing system rather than drastically changing the set-up of the Lists and the Register. Instead, the working group may wish to</w:t>
      </w:r>
      <w:r w:rsidR="0061755C" w:rsidRPr="007D7717">
        <w:t xml:space="preserve"> allow sufficient</w:t>
      </w:r>
      <w:r w:rsidRPr="007D7717">
        <w:t xml:space="preserve"> time to evaluate the results of further adjustments that may be made </w:t>
      </w:r>
      <w:r w:rsidR="0061755C" w:rsidRPr="007D7717">
        <w:t>to</w:t>
      </w:r>
      <w:r w:rsidRPr="007D7717">
        <w:t xml:space="preserve"> the selection criteria and Form ICH-03.</w:t>
      </w:r>
    </w:p>
    <w:p w14:paraId="02E420D4" w14:textId="4C43674A" w:rsidR="008C37AE" w:rsidRPr="007D7717" w:rsidRDefault="00DC5B88" w:rsidP="008C37AE">
      <w:pPr>
        <w:pStyle w:val="COMPara"/>
        <w:ind w:left="567" w:hanging="567"/>
        <w:jc w:val="both"/>
      </w:pPr>
      <w:r w:rsidRPr="007D7717">
        <w:t>In terms of presentation</w:t>
      </w:r>
      <w:r w:rsidR="008B5E3E" w:rsidRPr="007D7717">
        <w:t>, in accordance with paragraphs 44 and 45 of the Operational Directives</w:t>
      </w:r>
      <w:r w:rsidRPr="007D7717">
        <w:t>, g</w:t>
      </w:r>
      <w:r w:rsidR="008C37AE" w:rsidRPr="007D7717">
        <w:t xml:space="preserve">ood safeguarding practices </w:t>
      </w:r>
      <w:r w:rsidR="008B5E3E" w:rsidRPr="007D7717">
        <w:t>should be analysed and</w:t>
      </w:r>
      <w:r w:rsidR="00A5649C" w:rsidRPr="007D7717">
        <w:t xml:space="preserve"> presented</w:t>
      </w:r>
      <w:r w:rsidR="00A84618" w:rsidRPr="007D7717">
        <w:t xml:space="preserve"> in such a way that they can be easily searched thanks to an indexing system,</w:t>
      </w:r>
      <w:r w:rsidR="008C37AE" w:rsidRPr="007D7717">
        <w:t xml:space="preserve"> so that communities and other stakeholders </w:t>
      </w:r>
      <w:r w:rsidR="0061755C" w:rsidRPr="007D7717">
        <w:t>can</w:t>
      </w:r>
      <w:r w:rsidR="008C37AE" w:rsidRPr="007D7717">
        <w:t xml:space="preserve"> understand and apply various approaches used to address safeguarding issues. </w:t>
      </w:r>
      <w:r w:rsidR="00FA4A08" w:rsidRPr="007D7717">
        <w:t xml:space="preserve">Together with </w:t>
      </w:r>
      <w:r w:rsidR="0061755C" w:rsidRPr="007D7717">
        <w:t xml:space="preserve">any </w:t>
      </w:r>
      <w:r w:rsidR="008B5E3E" w:rsidRPr="007D7717">
        <w:t>adaptations</w:t>
      </w:r>
      <w:r w:rsidR="00FA4A08" w:rsidRPr="007D7717">
        <w:t xml:space="preserve"> needed to reflect the possible adjustments to the selection criteria as mentioned above</w:t>
      </w:r>
      <w:r w:rsidR="008C37AE" w:rsidRPr="007D7717">
        <w:t xml:space="preserve">, Form ICH-03 can be revised to </w:t>
      </w:r>
      <w:r w:rsidR="003C7739" w:rsidRPr="007D7717">
        <w:t>ensure</w:t>
      </w:r>
      <w:r w:rsidR="0061755C" w:rsidRPr="007D7717">
        <w:t xml:space="preserve"> greater</w:t>
      </w:r>
      <w:r w:rsidR="008B5E3E" w:rsidRPr="007D7717">
        <w:t xml:space="preserve"> </w:t>
      </w:r>
      <w:r w:rsidR="00FA4A08" w:rsidRPr="007D7717">
        <w:t xml:space="preserve">accessibility </w:t>
      </w:r>
      <w:r w:rsidR="008B5E3E" w:rsidRPr="007D7717">
        <w:t xml:space="preserve">by </w:t>
      </w:r>
      <w:r w:rsidR="008C37AE" w:rsidRPr="007D7717">
        <w:t>including</w:t>
      </w:r>
      <w:r w:rsidR="008B5E3E" w:rsidRPr="007D7717">
        <w:t>, for instance,</w:t>
      </w:r>
      <w:r w:rsidR="008C37AE" w:rsidRPr="007D7717">
        <w:t xml:space="preserve"> questions that facilitate the characterization of safeguarding approaches and their effectiveness, </w:t>
      </w:r>
      <w:proofErr w:type="gramStart"/>
      <w:r w:rsidR="008C37AE" w:rsidRPr="007D7717">
        <w:t>taking into account</w:t>
      </w:r>
      <w:proofErr w:type="gramEnd"/>
      <w:r w:rsidR="008C37AE" w:rsidRPr="007D7717">
        <w:t xml:space="preserve"> thematic areas </w:t>
      </w:r>
      <w:r w:rsidR="008B5E3E" w:rsidRPr="007D7717">
        <w:t xml:space="preserve">and </w:t>
      </w:r>
      <w:r w:rsidR="008C37AE" w:rsidRPr="007D7717">
        <w:t xml:space="preserve">assessment factors </w:t>
      </w:r>
      <w:r w:rsidR="008B5E3E" w:rsidRPr="007D7717">
        <w:t xml:space="preserve">laid down </w:t>
      </w:r>
      <w:r w:rsidR="008C37AE" w:rsidRPr="007D7717">
        <w:t>in the O</w:t>
      </w:r>
      <w:r w:rsidR="008B5E3E" w:rsidRPr="007D7717">
        <w:t>verall Results Framework</w:t>
      </w:r>
      <w:r w:rsidR="008C37AE" w:rsidRPr="007D7717">
        <w:rPr>
          <w:color w:val="000000"/>
          <w:shd w:val="clear" w:color="auto" w:fill="FFFFFF"/>
        </w:rPr>
        <w:t>.</w:t>
      </w:r>
    </w:p>
    <w:p w14:paraId="4018E68E" w14:textId="61E97A86" w:rsidR="007A07D0" w:rsidRPr="007D7717" w:rsidRDefault="001A6740" w:rsidP="008B5E3E">
      <w:pPr>
        <w:pStyle w:val="COMPara"/>
        <w:keepNext/>
        <w:numPr>
          <w:ilvl w:val="0"/>
          <w:numId w:val="0"/>
        </w:numPr>
        <w:rPr>
          <w:u w:val="single"/>
        </w:rPr>
      </w:pPr>
      <w:r w:rsidRPr="007D7717">
        <w:rPr>
          <w:rFonts w:eastAsiaTheme="minorEastAsia"/>
          <w:u w:val="single"/>
        </w:rPr>
        <w:t>D</w:t>
      </w:r>
      <w:r w:rsidR="00664080" w:rsidRPr="007D7717">
        <w:rPr>
          <w:rFonts w:eastAsiaTheme="minorEastAsia"/>
          <w:u w:val="single"/>
        </w:rPr>
        <w:t>iscussion</w:t>
      </w:r>
      <w:r w:rsidR="00664080" w:rsidRPr="007D7717">
        <w:rPr>
          <w:u w:val="single"/>
        </w:rPr>
        <w:t xml:space="preserve"> </w:t>
      </w:r>
      <w:proofErr w:type="gramStart"/>
      <w:r w:rsidR="00664080" w:rsidRPr="007D7717">
        <w:rPr>
          <w:u w:val="single"/>
        </w:rPr>
        <w:t>point</w:t>
      </w:r>
      <w:proofErr w:type="gramEnd"/>
      <w:r w:rsidRPr="007D7717">
        <w:rPr>
          <w:u w:val="single"/>
        </w:rPr>
        <w:t xml:space="preserve"> 3: </w:t>
      </w:r>
      <w:r w:rsidR="00BB4369" w:rsidRPr="007D7717">
        <w:rPr>
          <w:u w:val="single"/>
        </w:rPr>
        <w:t>Re</w:t>
      </w:r>
      <w:r w:rsidRPr="007D7717">
        <w:rPr>
          <w:u w:val="single"/>
        </w:rPr>
        <w:t>lations with international cooperation mechanisms of the Convention</w:t>
      </w:r>
    </w:p>
    <w:p w14:paraId="40B68D38" w14:textId="7D68FA43" w:rsidR="00D57C55" w:rsidRPr="007D7717" w:rsidRDefault="00D57C55" w:rsidP="008B5E3E">
      <w:pPr>
        <w:pStyle w:val="COMPara"/>
        <w:keepNext/>
        <w:ind w:left="567" w:hanging="567"/>
        <w:jc w:val="both"/>
      </w:pPr>
      <w:r w:rsidRPr="007D7717">
        <w:t xml:space="preserve">In </w:t>
      </w:r>
      <w:r w:rsidR="00807F5E" w:rsidRPr="007D7717">
        <w:t>line with</w:t>
      </w:r>
      <w:r w:rsidRPr="007D7717">
        <w:t xml:space="preserve"> Articles 18.2 and 18.3 </w:t>
      </w:r>
      <w:r w:rsidR="0061755C" w:rsidRPr="007D7717">
        <w:t>as well as</w:t>
      </w:r>
      <w:r w:rsidRPr="007D7717">
        <w:t xml:space="preserve"> with reference to paragraphs 9(c)</w:t>
      </w:r>
      <w:r w:rsidR="00807F5E" w:rsidRPr="007D7717">
        <w:t>,</w:t>
      </w:r>
      <w:r w:rsidRPr="007D7717">
        <w:t xml:space="preserve"> 21(b)</w:t>
      </w:r>
      <w:r w:rsidR="00807F5E" w:rsidRPr="007D7717">
        <w:t xml:space="preserve"> and 42</w:t>
      </w:r>
      <w:r w:rsidRPr="007D7717">
        <w:t xml:space="preserve"> of the Operational Directives, States Parties and other stakeholders should be encouraged to use International Assistance and/or to cooperate </w:t>
      </w:r>
      <w:r w:rsidR="0061755C" w:rsidRPr="007D7717">
        <w:t>by other means at</w:t>
      </w:r>
      <w:r w:rsidR="00807F5E" w:rsidRPr="007D7717">
        <w:t xml:space="preserve"> the international level. One </w:t>
      </w:r>
      <w:r w:rsidR="0061755C" w:rsidRPr="007D7717">
        <w:t xml:space="preserve">possible </w:t>
      </w:r>
      <w:r w:rsidR="00807F5E" w:rsidRPr="007D7717">
        <w:t xml:space="preserve">approach might be </w:t>
      </w:r>
      <w:r w:rsidR="0061755C" w:rsidRPr="007D7717">
        <w:t xml:space="preserve">to </w:t>
      </w:r>
      <w:r w:rsidRPr="007D7717">
        <w:t>co-</w:t>
      </w:r>
      <w:r w:rsidR="0061755C" w:rsidRPr="007D7717">
        <w:t xml:space="preserve">finance </w:t>
      </w:r>
      <w:r w:rsidRPr="007D7717">
        <w:t>effort</w:t>
      </w:r>
      <w:r w:rsidR="00807F5E" w:rsidRPr="007D7717">
        <w:t>s</w:t>
      </w:r>
      <w:r w:rsidRPr="007D7717">
        <w:t xml:space="preserve"> to prepare, implement and follow up </w:t>
      </w:r>
      <w:r w:rsidR="0061755C" w:rsidRPr="007D7717">
        <w:t xml:space="preserve">on </w:t>
      </w:r>
      <w:r w:rsidRPr="007D7717">
        <w:t>proposals of programmes, projects or activities</w:t>
      </w:r>
      <w:r w:rsidR="00CC0920" w:rsidRPr="007D7717">
        <w:t xml:space="preserve"> (see also paragraph 9 of document </w:t>
      </w:r>
      <w:hyperlink r:id="rId20" w:history="1">
        <w:r w:rsidR="00CC0920" w:rsidRPr="00D61FBC">
          <w:rPr>
            <w:rStyle w:val="Hyperlink"/>
          </w:rPr>
          <w:t>LHE/23/18.COM WG ART18/</w:t>
        </w:r>
        <w:r w:rsidR="00C96190" w:rsidRPr="00D61FBC">
          <w:rPr>
            <w:rStyle w:val="Hyperlink"/>
          </w:rPr>
          <w:t>2</w:t>
        </w:r>
      </w:hyperlink>
      <w:r w:rsidR="00CC0920" w:rsidRPr="007D7717">
        <w:t xml:space="preserve"> concerning the underutilization of International Assistance mechanisms for the Register)</w:t>
      </w:r>
      <w:r w:rsidRPr="007D7717">
        <w:t xml:space="preserve">. </w:t>
      </w:r>
      <w:r w:rsidR="00E45742" w:rsidRPr="007D7717">
        <w:t>To promote this endeavour, a</w:t>
      </w:r>
      <w:r w:rsidRPr="007D7717">
        <w:t>ttention should be paid to undertak</w:t>
      </w:r>
      <w:r w:rsidR="00E45742" w:rsidRPr="007D7717">
        <w:t>ing</w:t>
      </w:r>
      <w:r w:rsidRPr="007D7717">
        <w:t xml:space="preserve"> activities that focus on capacity building, </w:t>
      </w:r>
      <w:r w:rsidR="00807F5E" w:rsidRPr="007D7717">
        <w:t xml:space="preserve">on </w:t>
      </w:r>
      <w:r w:rsidRPr="007D7717">
        <w:t xml:space="preserve">exchanging </w:t>
      </w:r>
      <w:r w:rsidR="00807F5E" w:rsidRPr="007D7717">
        <w:t xml:space="preserve">and </w:t>
      </w:r>
      <w:r w:rsidRPr="007D7717">
        <w:t xml:space="preserve">sharing </w:t>
      </w:r>
      <w:r w:rsidR="00807F5E" w:rsidRPr="007D7717">
        <w:t xml:space="preserve">experiences and on </w:t>
      </w:r>
      <w:r w:rsidRPr="007D7717">
        <w:t>awareness raising.</w:t>
      </w:r>
      <w:r w:rsidR="00145E65" w:rsidRPr="007D7717">
        <w:t xml:space="preserve"> </w:t>
      </w:r>
      <w:r w:rsidR="00282C1F" w:rsidRPr="007D7717">
        <w:t xml:space="preserve">The preparation of proposals for selection </w:t>
      </w:r>
      <w:r w:rsidR="00807F5E" w:rsidRPr="007D7717">
        <w:t xml:space="preserve">as </w:t>
      </w:r>
      <w:r w:rsidR="00BA11AE" w:rsidRPr="007D7717">
        <w:t xml:space="preserve">good </w:t>
      </w:r>
      <w:r w:rsidR="00807F5E" w:rsidRPr="007D7717">
        <w:t xml:space="preserve">safeguarding practices </w:t>
      </w:r>
      <w:r w:rsidR="007B546D" w:rsidRPr="007D7717">
        <w:t xml:space="preserve">could </w:t>
      </w:r>
      <w:r w:rsidR="00282C1F" w:rsidRPr="007D7717">
        <w:t xml:space="preserve">be supported by accredited NGOs </w:t>
      </w:r>
      <w:r w:rsidR="00807F5E" w:rsidRPr="007D7717">
        <w:t>and by community representatives with successful experiences in this area</w:t>
      </w:r>
      <w:r w:rsidR="00E45742" w:rsidRPr="007D7717">
        <w:t xml:space="preserve"> </w:t>
      </w:r>
      <w:r w:rsidR="00282C1F" w:rsidRPr="007D7717">
        <w:t xml:space="preserve">and </w:t>
      </w:r>
      <w:r w:rsidR="00E45742" w:rsidRPr="007D7717">
        <w:t xml:space="preserve">could be </w:t>
      </w:r>
      <w:r w:rsidR="00282C1F" w:rsidRPr="007D7717">
        <w:t>complemented by guidelines and capacity-building materials to increase accessibility for communities. T</w:t>
      </w:r>
      <w:r w:rsidR="00E45742" w:rsidRPr="007D7717">
        <w:t xml:space="preserve">o realize and harness the full potential of Article 18, </w:t>
      </w:r>
      <w:r w:rsidR="009A1727" w:rsidRPr="007D7717">
        <w:t xml:space="preserve">all the available information should be continuously assessed and duly </w:t>
      </w:r>
      <w:proofErr w:type="gramStart"/>
      <w:r w:rsidR="009A1727" w:rsidRPr="007D7717">
        <w:t>taken into account</w:t>
      </w:r>
      <w:proofErr w:type="gramEnd"/>
      <w:r w:rsidR="009A1727" w:rsidRPr="007D7717">
        <w:t>.</w:t>
      </w:r>
    </w:p>
    <w:p w14:paraId="602DDB0E" w14:textId="5EEB0DDA" w:rsidR="006565CE" w:rsidRPr="007D7717" w:rsidRDefault="00975BAC" w:rsidP="00CA7420">
      <w:pPr>
        <w:pStyle w:val="COMPara"/>
        <w:ind w:left="567" w:hanging="567"/>
        <w:jc w:val="both"/>
      </w:pPr>
      <w:r w:rsidRPr="007D7717">
        <w:t xml:space="preserve">Notwithstanding </w:t>
      </w:r>
      <w:r w:rsidR="00D363B8" w:rsidRPr="007D7717">
        <w:t>Article 7</w:t>
      </w:r>
      <w:r w:rsidR="004C21A5">
        <w:t>(</w:t>
      </w:r>
      <w:r w:rsidR="00D363B8" w:rsidRPr="007D7717">
        <w:t xml:space="preserve">b) of the Convention and </w:t>
      </w:r>
      <w:r w:rsidRPr="007D7717">
        <w:t xml:space="preserve">paragraph 45 of the Operational Directives, the current </w:t>
      </w:r>
      <w:r w:rsidR="006D2791" w:rsidRPr="007D7717">
        <w:t>set-up</w:t>
      </w:r>
      <w:r w:rsidRPr="007D7717">
        <w:t xml:space="preserve"> of the Register does not include a dedicated follow-up and monitoring system, unlike the Urgent Safeguarding List</w:t>
      </w:r>
      <w:r w:rsidR="00D363B8" w:rsidRPr="007D7717">
        <w:t xml:space="preserve"> and the Representative List</w:t>
      </w:r>
      <w:r w:rsidRPr="007D7717">
        <w:t xml:space="preserve">. Yet interest </w:t>
      </w:r>
      <w:r w:rsidR="00E45742" w:rsidRPr="007D7717">
        <w:t xml:space="preserve">has been expressed </w:t>
      </w:r>
      <w:r w:rsidRPr="007D7717">
        <w:t>in learning about post-selection experiences: what happened after the selection</w:t>
      </w:r>
      <w:r w:rsidR="00D363B8" w:rsidRPr="007D7717">
        <w:t xml:space="preserve"> (were the positive results sustainable?)</w:t>
      </w:r>
      <w:r w:rsidRPr="007D7717">
        <w:t>; how were ideas and methods of safeguarding shared</w:t>
      </w:r>
      <w:r w:rsidR="00E45742" w:rsidRPr="007D7717">
        <w:t>, and</w:t>
      </w:r>
      <w:r w:rsidRPr="007D7717">
        <w:t xml:space="preserve"> how often and with whom? It would be pertinent to reflect on whether, and if so how, information on follow-up and monitoring could be integrated into the periodic reporting framework.</w:t>
      </w:r>
      <w:r w:rsidR="00420BE1" w:rsidRPr="007D7717">
        <w:t xml:space="preserve"> </w:t>
      </w:r>
      <w:r w:rsidR="00CA7420" w:rsidRPr="007D7717">
        <w:t xml:space="preserve">It would be pertinent to engage researchers to pursue these questions. </w:t>
      </w:r>
      <w:r w:rsidR="00420BE1" w:rsidRPr="007D7717">
        <w:t>Furthermore, t</w:t>
      </w:r>
      <w:r w:rsidR="006565CE" w:rsidRPr="007D7717">
        <w:t xml:space="preserve">he periodic reporting mechanisms and in particular Form ICH-10 could be revised </w:t>
      </w:r>
      <w:r w:rsidR="00CA7420" w:rsidRPr="007D7717">
        <w:t xml:space="preserve">to encourage States Parties to give updates on programmes included on the Register and to describe actions undertaken in the implementation of Article 18 (see paragraph 13, </w:t>
      </w:r>
      <w:r w:rsidR="00CD224D" w:rsidRPr="007D7717">
        <w:t xml:space="preserve">document </w:t>
      </w:r>
      <w:hyperlink r:id="rId21" w:history="1">
        <w:r w:rsidR="00CA7420" w:rsidRPr="007D7717">
          <w:rPr>
            <w:rStyle w:val="Hyperlink"/>
            <w:rFonts w:eastAsiaTheme="minorEastAsia"/>
            <w:lang w:eastAsia="ko-KR"/>
          </w:rPr>
          <w:t xml:space="preserve">LHE/23/18.COM </w:t>
        </w:r>
        <w:r w:rsidR="00CA7420" w:rsidRPr="007D7717">
          <w:rPr>
            <w:rStyle w:val="Hyperlink"/>
          </w:rPr>
          <w:t>EXP</w:t>
        </w:r>
        <w:r w:rsidR="00CA7420" w:rsidRPr="007D7717">
          <w:rPr>
            <w:rStyle w:val="Hyperlink"/>
            <w:rFonts w:eastAsiaTheme="minorEastAsia"/>
            <w:lang w:eastAsia="ko-KR"/>
          </w:rPr>
          <w:t>/4</w:t>
        </w:r>
      </w:hyperlink>
      <w:r w:rsidR="00CA7420" w:rsidRPr="007D7717">
        <w:rPr>
          <w:rFonts w:eastAsiaTheme="minorEastAsia"/>
          <w:lang w:eastAsia="ko-KR"/>
        </w:rPr>
        <w:t>).</w:t>
      </w:r>
    </w:p>
    <w:p w14:paraId="54B73213" w14:textId="2C04A9ED" w:rsidR="00665DD0" w:rsidRPr="007D7717" w:rsidRDefault="00665DD0" w:rsidP="00993E27">
      <w:pPr>
        <w:pStyle w:val="COMPara"/>
        <w:numPr>
          <w:ilvl w:val="0"/>
          <w:numId w:val="0"/>
        </w:numPr>
        <w:spacing w:before="240"/>
        <w:jc w:val="both"/>
        <w:rPr>
          <w:b/>
          <w:bCs/>
        </w:rPr>
      </w:pPr>
      <w:r w:rsidRPr="007D7717">
        <w:rPr>
          <w:b/>
          <w:bCs/>
        </w:rPr>
        <w:t>Topic 2: Towards the creation of a</w:t>
      </w:r>
      <w:r w:rsidR="00EC4818" w:rsidRPr="007D7717">
        <w:rPr>
          <w:b/>
          <w:bCs/>
        </w:rPr>
        <w:t>n online</w:t>
      </w:r>
      <w:r w:rsidR="00B720EA" w:rsidRPr="007D7717">
        <w:rPr>
          <w:b/>
          <w:bCs/>
        </w:rPr>
        <w:t xml:space="preserve"> platform</w:t>
      </w:r>
      <w:r w:rsidRPr="007D7717">
        <w:rPr>
          <w:b/>
          <w:bCs/>
        </w:rPr>
        <w:t xml:space="preserve"> for sharing good safeguarding </w:t>
      </w:r>
      <w:proofErr w:type="gramStart"/>
      <w:r w:rsidR="00B720EA" w:rsidRPr="007D7717">
        <w:rPr>
          <w:b/>
          <w:bCs/>
        </w:rPr>
        <w:t>experiences</w:t>
      </w:r>
      <w:proofErr w:type="gramEnd"/>
    </w:p>
    <w:p w14:paraId="739435D3" w14:textId="529BE068" w:rsidR="007E024E" w:rsidRPr="007D7717" w:rsidRDefault="000A7F94" w:rsidP="000A7F94">
      <w:pPr>
        <w:pStyle w:val="COMPara"/>
        <w:ind w:left="567" w:hanging="567"/>
        <w:jc w:val="both"/>
      </w:pPr>
      <w:r w:rsidRPr="007D7717">
        <w:t xml:space="preserve">The Register of Good Safeguarding Practices is not mentioned </w:t>
      </w:r>
      <w:r w:rsidR="0013190B" w:rsidRPr="007D7717">
        <w:t xml:space="preserve">as such </w:t>
      </w:r>
      <w:r w:rsidRPr="007D7717">
        <w:t>in Article 18 of the Convention</w:t>
      </w:r>
      <w:r w:rsidR="007E024E" w:rsidRPr="007D7717">
        <w:t xml:space="preserve">. </w:t>
      </w:r>
      <w:r w:rsidRPr="007D7717">
        <w:t xml:space="preserve">The idea behind the reflection is not only to continue discussing issues raised during the global reflection concerning the management of the Register of Good Safeguarding Practices, but also to </w:t>
      </w:r>
      <w:r w:rsidR="00334574" w:rsidRPr="007D7717">
        <w:t>explore</w:t>
      </w:r>
      <w:r w:rsidRPr="007D7717">
        <w:t xml:space="preserve"> the implementation of Article 18 beyond it.</w:t>
      </w:r>
    </w:p>
    <w:p w14:paraId="4DCEB7E5" w14:textId="1496BEB4" w:rsidR="007E024E" w:rsidRPr="007D7717" w:rsidRDefault="007E024E" w:rsidP="007E024E">
      <w:pPr>
        <w:pStyle w:val="COMPara"/>
        <w:numPr>
          <w:ilvl w:val="0"/>
          <w:numId w:val="0"/>
        </w:numPr>
        <w:rPr>
          <w:rFonts w:eastAsiaTheme="minorEastAsia"/>
          <w:u w:val="single"/>
        </w:rPr>
      </w:pPr>
      <w:r w:rsidRPr="007D7717">
        <w:rPr>
          <w:rFonts w:eastAsiaTheme="minorEastAsia"/>
          <w:u w:val="single"/>
        </w:rPr>
        <w:t xml:space="preserve">Discussion </w:t>
      </w:r>
      <w:proofErr w:type="gramStart"/>
      <w:r w:rsidRPr="007D7717">
        <w:rPr>
          <w:rFonts w:eastAsiaTheme="minorEastAsia"/>
          <w:u w:val="single"/>
        </w:rPr>
        <w:t>point</w:t>
      </w:r>
      <w:proofErr w:type="gramEnd"/>
      <w:r w:rsidRPr="007D7717">
        <w:rPr>
          <w:rFonts w:eastAsiaTheme="minorEastAsia"/>
          <w:u w:val="single"/>
        </w:rPr>
        <w:t xml:space="preserve"> 4: </w:t>
      </w:r>
      <w:r w:rsidR="00A24B02" w:rsidRPr="007D7717">
        <w:rPr>
          <w:rFonts w:eastAsiaTheme="minorEastAsia"/>
          <w:u w:val="single"/>
        </w:rPr>
        <w:t>Pertinence of</w:t>
      </w:r>
      <w:r w:rsidRPr="007D7717">
        <w:rPr>
          <w:rFonts w:eastAsiaTheme="minorEastAsia"/>
          <w:u w:val="single"/>
        </w:rPr>
        <w:t xml:space="preserve"> an online</w:t>
      </w:r>
      <w:r w:rsidR="00116936" w:rsidRPr="007D7717">
        <w:rPr>
          <w:rFonts w:eastAsiaTheme="minorEastAsia"/>
          <w:u w:val="single"/>
        </w:rPr>
        <w:t xml:space="preserve"> platform </w:t>
      </w:r>
    </w:p>
    <w:p w14:paraId="7669A9E6" w14:textId="5AAAC656" w:rsidR="00334574" w:rsidRPr="007D7717" w:rsidRDefault="00334574" w:rsidP="00334574">
      <w:pPr>
        <w:pStyle w:val="COMPara"/>
        <w:ind w:left="567" w:hanging="567"/>
        <w:jc w:val="both"/>
      </w:pPr>
      <w:r w:rsidRPr="007D7717">
        <w:t>I</w:t>
      </w:r>
      <w:r w:rsidR="000A7F94" w:rsidRPr="007D7717">
        <w:t xml:space="preserve">t seems pertinent to explore the possibility of setting up an online and moderated ‘platform’ (previously also called an ‘arm’s-length body’ or ‘observatory’) </w:t>
      </w:r>
      <w:r w:rsidRPr="007D7717">
        <w:t>that w</w:t>
      </w:r>
      <w:r w:rsidR="0013190B" w:rsidRPr="007D7717">
        <w:t xml:space="preserve">ould </w:t>
      </w:r>
      <w:r w:rsidRPr="007D7717">
        <w:t xml:space="preserve">allow communities in different parts of the world to benefit from </w:t>
      </w:r>
      <w:r w:rsidR="0013190B" w:rsidRPr="007D7717">
        <w:t>the</w:t>
      </w:r>
      <w:r w:rsidRPr="007D7717">
        <w:t xml:space="preserve"> full potential of Article 18 of the Convention. Ideas along </w:t>
      </w:r>
      <w:r w:rsidR="0013190B" w:rsidRPr="007D7717">
        <w:t xml:space="preserve">these </w:t>
      </w:r>
      <w:r w:rsidRPr="007D7717">
        <w:t xml:space="preserve">lines were </w:t>
      </w:r>
      <w:r w:rsidR="000A7F94" w:rsidRPr="007D7717">
        <w:t xml:space="preserve">raised earlier, for example in the context of the Evaluation of UNESCO’s Standard-setting Work of the Culture Sector, conducted by the </w:t>
      </w:r>
      <w:r w:rsidR="00BF7D94" w:rsidRPr="00D61FBC">
        <w:t xml:space="preserve">Division of </w:t>
      </w:r>
      <w:r w:rsidR="000A7F94" w:rsidRPr="00D61FBC">
        <w:t xml:space="preserve">Internal Oversight </w:t>
      </w:r>
      <w:r w:rsidR="00BF7D94" w:rsidRPr="00D61FBC">
        <w:t>Services</w:t>
      </w:r>
      <w:r w:rsidR="00BF7D94" w:rsidRPr="007D7717">
        <w:t xml:space="preserve"> </w:t>
      </w:r>
      <w:r w:rsidR="000A7F94" w:rsidRPr="007D7717">
        <w:t>of UNESCO in 2013 (</w:t>
      </w:r>
      <w:r w:rsidR="000A7F94" w:rsidRPr="007D7717">
        <w:rPr>
          <w:rFonts w:asciiTheme="minorBidi" w:hAnsiTheme="minorBidi" w:cstheme="minorBidi"/>
        </w:rPr>
        <w:t xml:space="preserve">Decision </w:t>
      </w:r>
      <w:hyperlink r:id="rId22" w:history="1">
        <w:r w:rsidR="000A7F94" w:rsidRPr="007D7717">
          <w:rPr>
            <w:rStyle w:val="Hyperlink"/>
            <w:rFonts w:asciiTheme="minorBidi" w:hAnsiTheme="minorBidi" w:cstheme="minorBidi"/>
          </w:rPr>
          <w:t>8.COM 5.c.1</w:t>
        </w:r>
      </w:hyperlink>
      <w:r w:rsidR="000A7F94" w:rsidRPr="007D7717">
        <w:t>).</w:t>
      </w:r>
    </w:p>
    <w:p w14:paraId="3EAB05F9" w14:textId="4AFEEDD6" w:rsidR="00422A1A" w:rsidRPr="007D7717" w:rsidRDefault="000A7F94" w:rsidP="00FD23E8">
      <w:pPr>
        <w:pStyle w:val="COMPara"/>
        <w:ind w:left="567" w:hanging="567"/>
        <w:jc w:val="both"/>
      </w:pPr>
      <w:r w:rsidRPr="007D7717">
        <w:t xml:space="preserve">The idea was further developed when experts were consulted </w:t>
      </w:r>
      <w:r w:rsidR="0013190B" w:rsidRPr="007D7717">
        <w:t>during</w:t>
      </w:r>
      <w:r w:rsidRPr="007D7717">
        <w:t xml:space="preserve"> the first phase of the </w:t>
      </w:r>
      <w:r w:rsidR="00A72360" w:rsidRPr="007D7717">
        <w:t>g</w:t>
      </w:r>
      <w:r w:rsidRPr="007D7717">
        <w:t xml:space="preserve">lobal </w:t>
      </w:r>
      <w:r w:rsidR="00A72360" w:rsidRPr="007D7717">
        <w:t>r</w:t>
      </w:r>
      <w:r w:rsidRPr="007D7717">
        <w:t>eflection</w:t>
      </w:r>
      <w:r w:rsidR="00A72360" w:rsidRPr="007D7717">
        <w:t xml:space="preserve"> on the listing mechanisms of the Convention</w:t>
      </w:r>
      <w:r w:rsidRPr="007D7717">
        <w:t xml:space="preserve"> (document </w:t>
      </w:r>
      <w:hyperlink r:id="rId23" w:history="1">
        <w:r w:rsidRPr="007D7717">
          <w:rPr>
            <w:rStyle w:val="Hyperlink"/>
          </w:rPr>
          <w:t>LHE/21/16.COM EXP/7</w:t>
        </w:r>
      </w:hyperlink>
      <w:r w:rsidRPr="007D7717">
        <w:t xml:space="preserve">). Given the high number of procedurally complex issues, the </w:t>
      </w:r>
      <w:r w:rsidR="00A72360" w:rsidRPr="007D7717">
        <w:t>g</w:t>
      </w:r>
      <w:r w:rsidRPr="007D7717">
        <w:t xml:space="preserve">lobal </w:t>
      </w:r>
      <w:r w:rsidR="00A72360" w:rsidRPr="007D7717">
        <w:t>r</w:t>
      </w:r>
      <w:r w:rsidRPr="007D7717">
        <w:t xml:space="preserve">eflection was not conclusive on the possibility of creating </w:t>
      </w:r>
      <w:r w:rsidR="007E024E" w:rsidRPr="007D7717">
        <w:t>an online platform</w:t>
      </w:r>
      <w:r w:rsidRPr="007D7717">
        <w:t xml:space="preserve">. </w:t>
      </w:r>
      <w:r w:rsidR="007E024E" w:rsidRPr="007D7717">
        <w:t xml:space="preserve">The </w:t>
      </w:r>
      <w:r w:rsidR="00334574" w:rsidRPr="007D7717">
        <w:t xml:space="preserve">recent </w:t>
      </w:r>
      <w:r w:rsidR="007E024E" w:rsidRPr="007D7717">
        <w:t xml:space="preserve">Category VI meeting of experts considered that the creation of a moderated online ‘platform’ for sharing good safeguarding practices </w:t>
      </w:r>
      <w:r w:rsidR="00334574" w:rsidRPr="007D7717">
        <w:t>could be</w:t>
      </w:r>
      <w:r w:rsidR="007E024E" w:rsidRPr="007D7717">
        <w:t xml:space="preserve"> essential for fully operationalizing Article 18.</w:t>
      </w:r>
      <w:r w:rsidR="00116936" w:rsidRPr="007D7717">
        <w:t xml:space="preserve"> With reference to Decision </w:t>
      </w:r>
      <w:hyperlink r:id="rId24" w:history="1">
        <w:r w:rsidR="00116936" w:rsidRPr="007D7717">
          <w:rPr>
            <w:rStyle w:val="Hyperlink"/>
          </w:rPr>
          <w:t>16.COM 14</w:t>
        </w:r>
      </w:hyperlink>
      <w:r w:rsidR="00116936" w:rsidRPr="007D7717">
        <w:t xml:space="preserve"> (paragraph 9), it is important to consider how such an online platform might enhance dialogue and communication among </w:t>
      </w:r>
      <w:r w:rsidR="00334574" w:rsidRPr="007D7717">
        <w:t xml:space="preserve">all stakeholders of the </w:t>
      </w:r>
      <w:r w:rsidR="00116936" w:rsidRPr="007D7717">
        <w:t>Convention in a concrete manner, with a particular focus on communities, groups and, where appropriate, individuals</w:t>
      </w:r>
      <w:r w:rsidR="00334574" w:rsidRPr="007D7717">
        <w:t xml:space="preserve"> and their safeguarding needs</w:t>
      </w:r>
      <w:r w:rsidR="00116936" w:rsidRPr="007D7717">
        <w:t>.</w:t>
      </w:r>
    </w:p>
    <w:p w14:paraId="5C3A92EC" w14:textId="6C31A5D9" w:rsidR="00116936" w:rsidRPr="007D7717" w:rsidRDefault="00116936" w:rsidP="006E380A">
      <w:pPr>
        <w:pStyle w:val="COMPara"/>
        <w:numPr>
          <w:ilvl w:val="0"/>
          <w:numId w:val="0"/>
        </w:numPr>
        <w:rPr>
          <w:rFonts w:eastAsiaTheme="minorEastAsia"/>
          <w:u w:val="single"/>
        </w:rPr>
      </w:pPr>
      <w:r w:rsidRPr="007D7717">
        <w:rPr>
          <w:rFonts w:eastAsiaTheme="minorEastAsia"/>
          <w:u w:val="single"/>
        </w:rPr>
        <w:t xml:space="preserve">Discussion </w:t>
      </w:r>
      <w:proofErr w:type="gramStart"/>
      <w:r w:rsidRPr="007D7717">
        <w:rPr>
          <w:rFonts w:eastAsiaTheme="minorEastAsia"/>
          <w:u w:val="single"/>
        </w:rPr>
        <w:t>point</w:t>
      </w:r>
      <w:proofErr w:type="gramEnd"/>
      <w:r w:rsidRPr="007D7717">
        <w:rPr>
          <w:rFonts w:eastAsiaTheme="minorEastAsia"/>
          <w:u w:val="single"/>
        </w:rPr>
        <w:t xml:space="preserve"> 5: </w:t>
      </w:r>
      <w:r w:rsidR="00AF0500" w:rsidRPr="007D7717">
        <w:rPr>
          <w:rFonts w:eastAsiaTheme="minorEastAsia"/>
          <w:u w:val="single"/>
        </w:rPr>
        <w:t>The o</w:t>
      </w:r>
      <w:r w:rsidR="00A62195" w:rsidRPr="007D7717">
        <w:rPr>
          <w:rFonts w:eastAsiaTheme="minorEastAsia"/>
          <w:u w:val="single"/>
        </w:rPr>
        <w:t>bjectives of an online platform</w:t>
      </w:r>
    </w:p>
    <w:p w14:paraId="3B7E9106" w14:textId="794D6030" w:rsidR="00553F36" w:rsidRPr="007D7717" w:rsidRDefault="00553F36" w:rsidP="00553F36">
      <w:pPr>
        <w:pStyle w:val="COMPara"/>
        <w:ind w:left="567" w:hanging="567"/>
        <w:jc w:val="both"/>
      </w:pPr>
      <w:r w:rsidRPr="007D7717">
        <w:t xml:space="preserve">The core objective of an online </w:t>
      </w:r>
      <w:r w:rsidR="00A24B02" w:rsidRPr="007D7717">
        <w:t>platform</w:t>
      </w:r>
      <w:r w:rsidRPr="007D7717">
        <w:t xml:space="preserve"> could be to enhance dialogue for the purposes of sharing good safeguarding practices, particular</w:t>
      </w:r>
      <w:r w:rsidR="00AF0500" w:rsidRPr="007D7717">
        <w:t>ly</w:t>
      </w:r>
      <w:r w:rsidRPr="007D7717">
        <w:t xml:space="preserve"> in terms of sharing, follow-up, communication, collaboration and capacity</w:t>
      </w:r>
      <w:r w:rsidR="00AF0500" w:rsidRPr="007D7717">
        <w:t xml:space="preserve"> </w:t>
      </w:r>
      <w:r w:rsidRPr="007D7717">
        <w:t xml:space="preserve">building. Dialogue through such an online </w:t>
      </w:r>
      <w:r w:rsidR="002F1CB0" w:rsidRPr="007D7717">
        <w:t xml:space="preserve">platform </w:t>
      </w:r>
      <w:r w:rsidRPr="007D7717">
        <w:t xml:space="preserve">would in the first instance allow for the exchange of information between and among </w:t>
      </w:r>
      <w:r w:rsidR="002A1AB4" w:rsidRPr="007D7717">
        <w:t xml:space="preserve">community members </w:t>
      </w:r>
      <w:r w:rsidRPr="007D7717">
        <w:t>from different parts of the world to support their safeguarding efforts</w:t>
      </w:r>
      <w:r w:rsidR="00CA55B1" w:rsidRPr="007D7717">
        <w:t>.</w:t>
      </w:r>
      <w:r w:rsidRPr="007D7717">
        <w:t xml:space="preserve"> At the same time, </w:t>
      </w:r>
      <w:r w:rsidR="00AF0500" w:rsidRPr="007D7717">
        <w:t xml:space="preserve">such a </w:t>
      </w:r>
      <w:r w:rsidRPr="007D7717">
        <w:t xml:space="preserve">dialogue might also bring about more direct engagement </w:t>
      </w:r>
      <w:r w:rsidR="002A1AB4" w:rsidRPr="007D7717">
        <w:t>of</w:t>
      </w:r>
      <w:r w:rsidRPr="007D7717">
        <w:t xml:space="preserve"> the Convention</w:t>
      </w:r>
      <w:r w:rsidR="002A1AB4" w:rsidRPr="007D7717">
        <w:t>’</w:t>
      </w:r>
      <w:r w:rsidRPr="007D7717">
        <w:t xml:space="preserve">s governing bodies with communities and bearers of living heritage. </w:t>
      </w:r>
      <w:r w:rsidR="00227FBE" w:rsidRPr="007D7717">
        <w:t>One of the direct consequences of the online platform could also be</w:t>
      </w:r>
      <w:r w:rsidR="00AF0500" w:rsidRPr="007D7717">
        <w:t xml:space="preserve"> an</w:t>
      </w:r>
      <w:r w:rsidR="00A55245" w:rsidRPr="007D7717">
        <w:t xml:space="preserve"> increased use of the Register by States</w:t>
      </w:r>
      <w:r w:rsidR="001150DD" w:rsidRPr="007D7717">
        <w:t xml:space="preserve"> Parties</w:t>
      </w:r>
      <w:r w:rsidR="00A55245" w:rsidRPr="007D7717">
        <w:t>, with a heightened awareness of th</w:t>
      </w:r>
      <w:r w:rsidR="001150DD" w:rsidRPr="007D7717">
        <w:t>is</w:t>
      </w:r>
      <w:r w:rsidR="00A55245" w:rsidRPr="007D7717">
        <w:t xml:space="preserve"> mechanism and the importance of sharing good safeguarding practices, </w:t>
      </w:r>
      <w:r w:rsidR="001150DD" w:rsidRPr="007D7717">
        <w:t>to be</w:t>
      </w:r>
      <w:r w:rsidR="00AF0500" w:rsidRPr="007D7717">
        <w:t xml:space="preserve"> </w:t>
      </w:r>
      <w:r w:rsidR="00A55245" w:rsidRPr="007D7717">
        <w:t>highlighted through the online platform.</w:t>
      </w:r>
    </w:p>
    <w:p w14:paraId="46546FFD" w14:textId="7371EC7A" w:rsidR="005613BA" w:rsidRPr="007D7717" w:rsidRDefault="002A1AB4" w:rsidP="005613BA">
      <w:pPr>
        <w:pStyle w:val="COMPara"/>
        <w:ind w:left="567" w:hanging="567"/>
        <w:jc w:val="both"/>
      </w:pPr>
      <w:r w:rsidRPr="007D7717">
        <w:t>In summary, i</w:t>
      </w:r>
      <w:r w:rsidR="005613BA" w:rsidRPr="007D7717">
        <w:t>n terms of the links with the implementation of various mechanism</w:t>
      </w:r>
      <w:r w:rsidR="00AF0500" w:rsidRPr="007D7717">
        <w:t>s</w:t>
      </w:r>
      <w:r w:rsidR="005613BA" w:rsidRPr="007D7717">
        <w:t xml:space="preserve"> of the Convention, an online platform could be</w:t>
      </w:r>
      <w:r w:rsidR="00AF0500" w:rsidRPr="007D7717">
        <w:t xml:space="preserve"> </w:t>
      </w:r>
      <w:r w:rsidR="005613BA" w:rsidRPr="007D7717">
        <w:t>used</w:t>
      </w:r>
      <w:r w:rsidR="00AF0500" w:rsidRPr="007D7717">
        <w:t>,</w:t>
      </w:r>
      <w:r w:rsidRPr="007D7717">
        <w:t xml:space="preserve"> for</w:t>
      </w:r>
      <w:r w:rsidR="00AF0500" w:rsidRPr="007D7717">
        <w:t xml:space="preserve"> example, to</w:t>
      </w:r>
      <w:r w:rsidR="005613BA" w:rsidRPr="007D7717">
        <w:t>:</w:t>
      </w:r>
    </w:p>
    <w:p w14:paraId="30590DAF" w14:textId="6DD69AAF" w:rsidR="005613BA" w:rsidRPr="007D7717" w:rsidRDefault="005613BA" w:rsidP="005613BA">
      <w:pPr>
        <w:pStyle w:val="Marge"/>
        <w:numPr>
          <w:ilvl w:val="1"/>
          <w:numId w:val="16"/>
        </w:numPr>
        <w:tabs>
          <w:tab w:val="clear" w:pos="567"/>
        </w:tabs>
        <w:spacing w:before="120" w:after="120"/>
        <w:ind w:left="1134" w:hanging="567"/>
        <w:rPr>
          <w:rFonts w:cs="Arial"/>
          <w:lang w:val="en-GB"/>
        </w:rPr>
      </w:pPr>
      <w:r w:rsidRPr="007D7717">
        <w:rPr>
          <w:rFonts w:cs="Arial"/>
          <w:lang w:val="en-GB"/>
        </w:rPr>
        <w:t xml:space="preserve">Form a ‘network of inscribed elements and practices’ in order to exchange information regarding elements/programmes following </w:t>
      </w:r>
      <w:r w:rsidR="00AF0500" w:rsidRPr="007D7717">
        <w:rPr>
          <w:rFonts w:cs="Arial"/>
          <w:lang w:val="en-GB"/>
        </w:rPr>
        <w:t xml:space="preserve">their </w:t>
      </w:r>
      <w:r w:rsidRPr="007D7717">
        <w:rPr>
          <w:rFonts w:cs="Arial"/>
          <w:lang w:val="en-GB"/>
        </w:rPr>
        <w:t>inscription/selection on the Lists and the Register and to monitor safeguarding plans and the sharing of safeguarding methods;</w:t>
      </w:r>
    </w:p>
    <w:p w14:paraId="04C1F713" w14:textId="5CF9143F" w:rsidR="00282C1F" w:rsidRPr="007D7717" w:rsidRDefault="005613BA" w:rsidP="008E01E3">
      <w:pPr>
        <w:pStyle w:val="Marge"/>
        <w:numPr>
          <w:ilvl w:val="1"/>
          <w:numId w:val="16"/>
        </w:numPr>
        <w:tabs>
          <w:tab w:val="clear" w:pos="567"/>
        </w:tabs>
        <w:spacing w:before="120" w:after="120"/>
        <w:ind w:left="1134" w:hanging="567"/>
        <w:rPr>
          <w:rFonts w:cs="Arial"/>
          <w:lang w:val="en-GB"/>
        </w:rPr>
      </w:pPr>
      <w:r w:rsidRPr="007D7717">
        <w:rPr>
          <w:rFonts w:cs="Arial"/>
          <w:lang w:val="en-GB"/>
        </w:rPr>
        <w:t>Rais</w:t>
      </w:r>
      <w:r w:rsidR="00AF0500" w:rsidRPr="007D7717">
        <w:rPr>
          <w:rFonts w:cs="Arial"/>
          <w:lang w:val="en-GB"/>
        </w:rPr>
        <w:t>e</w:t>
      </w:r>
      <w:r w:rsidRPr="007D7717">
        <w:rPr>
          <w:rFonts w:cs="Arial"/>
          <w:lang w:val="en-GB"/>
        </w:rPr>
        <w:t xml:space="preserve"> awareness about local, regional, national and international events related to the safeguarding of intangible cultural heritage, with direct inputs from communities.</w:t>
      </w:r>
    </w:p>
    <w:p w14:paraId="26E6711B" w14:textId="225DB9FA" w:rsidR="009230FD" w:rsidRPr="007D7717" w:rsidRDefault="009230FD" w:rsidP="00CC4A47">
      <w:pPr>
        <w:pStyle w:val="COMPara"/>
        <w:numPr>
          <w:ilvl w:val="0"/>
          <w:numId w:val="0"/>
        </w:numPr>
        <w:rPr>
          <w:u w:val="single"/>
        </w:rPr>
      </w:pPr>
      <w:r w:rsidRPr="007D7717">
        <w:rPr>
          <w:rFonts w:eastAsiaTheme="minorEastAsia"/>
          <w:u w:val="single"/>
        </w:rPr>
        <w:t>Discussion</w:t>
      </w:r>
      <w:r w:rsidRPr="007D7717">
        <w:rPr>
          <w:u w:val="single"/>
        </w:rPr>
        <w:t xml:space="preserve"> </w:t>
      </w:r>
      <w:proofErr w:type="gramStart"/>
      <w:r w:rsidRPr="007D7717">
        <w:rPr>
          <w:u w:val="single"/>
        </w:rPr>
        <w:t>point</w:t>
      </w:r>
      <w:proofErr w:type="gramEnd"/>
      <w:r w:rsidRPr="007D7717">
        <w:rPr>
          <w:u w:val="single"/>
        </w:rPr>
        <w:t xml:space="preserve"> </w:t>
      </w:r>
      <w:r w:rsidR="00CA55B1" w:rsidRPr="007D7717">
        <w:rPr>
          <w:u w:val="single"/>
        </w:rPr>
        <w:t>6</w:t>
      </w:r>
      <w:r w:rsidRPr="007D7717">
        <w:rPr>
          <w:u w:val="single"/>
        </w:rPr>
        <w:t xml:space="preserve">: </w:t>
      </w:r>
      <w:r w:rsidR="0053084A" w:rsidRPr="007D7717">
        <w:rPr>
          <w:u w:val="single"/>
        </w:rPr>
        <w:t>Practical considerations</w:t>
      </w:r>
    </w:p>
    <w:p w14:paraId="6D7B14D5" w14:textId="0B3DD409" w:rsidR="0053084A" w:rsidRPr="007D7717" w:rsidRDefault="000D456D" w:rsidP="0053084A">
      <w:pPr>
        <w:pStyle w:val="COMPara"/>
        <w:ind w:left="567" w:hanging="567"/>
        <w:jc w:val="both"/>
      </w:pPr>
      <w:r w:rsidRPr="007D7717">
        <w:rPr>
          <w:b/>
          <w:bCs/>
        </w:rPr>
        <w:t>Moderation</w:t>
      </w:r>
      <w:r w:rsidRPr="007D7717">
        <w:t xml:space="preserve">: </w:t>
      </w:r>
      <w:r w:rsidR="0053084A" w:rsidRPr="007D7717">
        <w:t>It is important to manage the volume</w:t>
      </w:r>
      <w:r w:rsidR="002A1AB4" w:rsidRPr="007D7717">
        <w:t>, quality</w:t>
      </w:r>
      <w:r w:rsidR="0053084A" w:rsidRPr="007D7717">
        <w:t xml:space="preserve"> and types of information to be exchanged. A balance needs to be sought </w:t>
      </w:r>
      <w:r w:rsidR="00AF0500" w:rsidRPr="007D7717">
        <w:t xml:space="preserve">to allow </w:t>
      </w:r>
      <w:r w:rsidR="0053084A" w:rsidRPr="007D7717">
        <w:t xml:space="preserve">communities around the world to make direct inputs and share information through an online </w:t>
      </w:r>
      <w:r w:rsidR="002F1CB0" w:rsidRPr="007D7717">
        <w:t>platform</w:t>
      </w:r>
      <w:r w:rsidR="0053084A" w:rsidRPr="007D7717">
        <w:t xml:space="preserve">. At the same time, the information flow </w:t>
      </w:r>
      <w:r w:rsidR="00AF0500" w:rsidRPr="007D7717">
        <w:t xml:space="preserve">needs to </w:t>
      </w:r>
      <w:r w:rsidR="0053084A" w:rsidRPr="007D7717">
        <w:t xml:space="preserve">be managed in a meaningful way for the implementation of the Convention. Moderating ‘chats’ on a regular basis is labour-intensive but a minimum amount of intervention </w:t>
      </w:r>
      <w:r w:rsidR="00AF0500" w:rsidRPr="007D7717">
        <w:t xml:space="preserve">does </w:t>
      </w:r>
      <w:r w:rsidR="0053084A" w:rsidRPr="007D7717">
        <w:t>seem necessary.</w:t>
      </w:r>
    </w:p>
    <w:p w14:paraId="32AA273C" w14:textId="287010E4" w:rsidR="0053084A" w:rsidRPr="007D7717" w:rsidRDefault="000D456D" w:rsidP="007E2803">
      <w:pPr>
        <w:pStyle w:val="COMPara"/>
        <w:keepNext/>
        <w:ind w:left="567" w:hanging="567"/>
        <w:jc w:val="both"/>
      </w:pPr>
      <w:r w:rsidRPr="007D7717">
        <w:rPr>
          <w:b/>
          <w:bCs/>
        </w:rPr>
        <w:t xml:space="preserve">Online </w:t>
      </w:r>
      <w:r w:rsidR="000D449D" w:rsidRPr="007D7717">
        <w:rPr>
          <w:b/>
          <w:bCs/>
        </w:rPr>
        <w:t>possibilities</w:t>
      </w:r>
      <w:r w:rsidRPr="007D7717">
        <w:t xml:space="preserve">: </w:t>
      </w:r>
      <w:r w:rsidR="0053084A" w:rsidRPr="007D7717">
        <w:t xml:space="preserve">The online modality would open up possibilities that were not conceivable when the Convention was adopted two decades ago. It would, for instance, facilitate the dissemination of audio-visual materials created by communities, groups or individuals wishing to share their good safeguarding practices. The </w:t>
      </w:r>
      <w:r w:rsidR="00713AA4" w:rsidRPr="007D7717">
        <w:t>platform</w:t>
      </w:r>
      <w:r w:rsidR="0053084A" w:rsidRPr="007D7717">
        <w:t xml:space="preserve"> could be foreseen partially as a </w:t>
      </w:r>
      <w:r w:rsidR="0053084A" w:rsidRPr="00D61FBC">
        <w:t>social medi</w:t>
      </w:r>
      <w:r w:rsidR="0065440D" w:rsidRPr="00D61FBC">
        <w:t>a</w:t>
      </w:r>
      <w:r w:rsidR="0053084A" w:rsidRPr="00D61FBC">
        <w:t>/forum</w:t>
      </w:r>
      <w:r w:rsidR="0053084A" w:rsidRPr="007D7717">
        <w:t xml:space="preserve"> for informally and directly sharing knowledge regarding good safeguarding practices. Different languages could also be used for communicating </w:t>
      </w:r>
      <w:r w:rsidR="00041362" w:rsidRPr="007D7717">
        <w:t>o</w:t>
      </w:r>
      <w:r w:rsidR="0053084A" w:rsidRPr="007D7717">
        <w:t xml:space="preserve">n the </w:t>
      </w:r>
      <w:r w:rsidRPr="007D7717">
        <w:t>platform</w:t>
      </w:r>
      <w:r w:rsidR="0053084A" w:rsidRPr="007D7717">
        <w:t xml:space="preserve"> through the mechanism of automatic translation.</w:t>
      </w:r>
      <w:r w:rsidR="007E2803" w:rsidRPr="007D7717">
        <w:t xml:space="preserve"> Furthermore, good safeguarding practices must be indexed</w:t>
      </w:r>
      <w:r w:rsidR="00FF0657" w:rsidRPr="007D7717">
        <w:t xml:space="preserve">, which is also a requirement for </w:t>
      </w:r>
      <w:r w:rsidR="007E2803" w:rsidRPr="007D7717">
        <w:t>the further development of the Register.</w:t>
      </w:r>
    </w:p>
    <w:p w14:paraId="12ABA17F" w14:textId="6E44D39E" w:rsidR="000C608D" w:rsidRPr="007D7717" w:rsidRDefault="00B70CC4" w:rsidP="000C608D">
      <w:pPr>
        <w:pStyle w:val="COMPara"/>
        <w:ind w:left="567" w:hanging="567"/>
        <w:jc w:val="both"/>
      </w:pPr>
      <w:r w:rsidRPr="007D7717">
        <w:rPr>
          <w:b/>
          <w:bCs/>
        </w:rPr>
        <w:t>Community participation</w:t>
      </w:r>
      <w:r w:rsidRPr="007D7717">
        <w:t xml:space="preserve">: </w:t>
      </w:r>
      <w:r w:rsidR="00041362" w:rsidRPr="007D7717">
        <w:t>T</w:t>
      </w:r>
      <w:r w:rsidRPr="007D7717">
        <w:t>o facilitate</w:t>
      </w:r>
      <w:r w:rsidR="00041362" w:rsidRPr="007D7717">
        <w:t xml:space="preserve"> communities’</w:t>
      </w:r>
      <w:r w:rsidRPr="007D7717">
        <w:t xml:space="preserve"> broad participation in the use </w:t>
      </w:r>
      <w:r w:rsidR="00FF0657" w:rsidRPr="007D7717">
        <w:t xml:space="preserve">and moderation </w:t>
      </w:r>
      <w:r w:rsidRPr="007D7717">
        <w:t>of an online platform</w:t>
      </w:r>
      <w:r w:rsidR="00041362" w:rsidRPr="007D7717">
        <w:t xml:space="preserve">: </w:t>
      </w:r>
      <w:r w:rsidRPr="007D7717">
        <w:t>a) the use of mother languages should be encouraged</w:t>
      </w:r>
      <w:r w:rsidR="00041362" w:rsidRPr="007D7717">
        <w:t>;</w:t>
      </w:r>
      <w:r w:rsidRPr="007D7717">
        <w:t xml:space="preserve"> b) other communication modalities such as TV and radio and other analogue and digital technologies </w:t>
      </w:r>
      <w:r w:rsidR="00041362" w:rsidRPr="007D7717">
        <w:t xml:space="preserve">could </w:t>
      </w:r>
      <w:r w:rsidRPr="007D7717">
        <w:t>be used to complement online tools to share information</w:t>
      </w:r>
      <w:r w:rsidR="00041362" w:rsidRPr="007D7717">
        <w:t>;</w:t>
      </w:r>
      <w:r w:rsidRPr="007D7717">
        <w:t xml:space="preserve"> and c) the possibilities for communities to share planned events </w:t>
      </w:r>
      <w:r w:rsidR="00041362" w:rsidRPr="007D7717">
        <w:t xml:space="preserve">through </w:t>
      </w:r>
      <w:r w:rsidRPr="007D7717">
        <w:t xml:space="preserve">a calendar could be foreseen </w:t>
      </w:r>
      <w:r w:rsidR="00041362" w:rsidRPr="007D7717">
        <w:t xml:space="preserve">in </w:t>
      </w:r>
      <w:r w:rsidR="00FF0657" w:rsidRPr="007D7717">
        <w:t>an</w:t>
      </w:r>
      <w:r w:rsidRPr="007D7717">
        <w:t xml:space="preserve"> online space.</w:t>
      </w:r>
      <w:r w:rsidR="000C608D" w:rsidRPr="007D7717">
        <w:t xml:space="preserve"> </w:t>
      </w:r>
      <w:r w:rsidR="00041362" w:rsidRPr="007D7717">
        <w:t xml:space="preserve">In </w:t>
      </w:r>
      <w:r w:rsidR="000C608D" w:rsidRPr="007D7717">
        <w:t>the same spirit</w:t>
      </w:r>
      <w:r w:rsidR="00041362" w:rsidRPr="007D7717">
        <w:t>,</w:t>
      </w:r>
      <w:r w:rsidR="000C608D" w:rsidRPr="007D7717">
        <w:t xml:space="preserve"> to encourage community participation in sharing good safeguarding practices, the Category VI expert meeting also suggested that the </w:t>
      </w:r>
      <w:r w:rsidR="00041362" w:rsidRPr="007D7717">
        <w:t xml:space="preserve">name of </w:t>
      </w:r>
      <w:r w:rsidR="000C608D" w:rsidRPr="007D7717">
        <w:t>the online platform incorporate terminology in a national language meaning sharing (e.g.</w:t>
      </w:r>
      <w:r w:rsidR="00041362" w:rsidRPr="007D7717">
        <w:t>,</w:t>
      </w:r>
      <w:r w:rsidR="000C608D" w:rsidRPr="007D7717">
        <w:t xml:space="preserve"> ‘</w:t>
      </w:r>
      <w:proofErr w:type="spellStart"/>
      <w:r w:rsidR="000C608D" w:rsidRPr="007D7717">
        <w:t>delning</w:t>
      </w:r>
      <w:proofErr w:type="spellEnd"/>
      <w:r w:rsidR="000C608D" w:rsidRPr="007D7717">
        <w:t>’ in Swedish, ‘</w:t>
      </w:r>
      <w:proofErr w:type="spellStart"/>
      <w:r w:rsidR="000C608D" w:rsidRPr="00D61FBC">
        <w:t>yirkonguii</w:t>
      </w:r>
      <w:proofErr w:type="spellEnd"/>
      <w:r w:rsidR="000C608D" w:rsidRPr="007D7717">
        <w:t>’</w:t>
      </w:r>
      <w:r w:rsidR="000C608D" w:rsidRPr="00D61FBC">
        <w:t xml:space="preserve"> in </w:t>
      </w:r>
      <w:proofErr w:type="spellStart"/>
      <w:r w:rsidR="000C608D" w:rsidRPr="00D61FBC">
        <w:t>Fulah</w:t>
      </w:r>
      <w:proofErr w:type="spellEnd"/>
      <w:r w:rsidR="000C608D" w:rsidRPr="00D61FBC">
        <w:t xml:space="preserve">, </w:t>
      </w:r>
      <w:r w:rsidR="000C608D" w:rsidRPr="007D7717">
        <w:t>‘</w:t>
      </w:r>
      <w:proofErr w:type="spellStart"/>
      <w:r w:rsidR="000C608D" w:rsidRPr="00D61FBC">
        <w:t>shiriki</w:t>
      </w:r>
      <w:proofErr w:type="spellEnd"/>
      <w:r w:rsidR="000C608D" w:rsidRPr="007D7717">
        <w:t>’</w:t>
      </w:r>
      <w:r w:rsidR="000C608D" w:rsidRPr="00D61FBC">
        <w:t xml:space="preserve"> in Swahili</w:t>
      </w:r>
      <w:r w:rsidR="000C608D" w:rsidRPr="007D7717">
        <w:t>).</w:t>
      </w:r>
    </w:p>
    <w:p w14:paraId="713D11D3" w14:textId="3EF41D10" w:rsidR="005920BF" w:rsidRPr="007D7717" w:rsidRDefault="000D456D" w:rsidP="005920BF">
      <w:pPr>
        <w:pStyle w:val="COMPara"/>
        <w:ind w:left="567" w:hanging="567"/>
        <w:jc w:val="both"/>
      </w:pPr>
      <w:r w:rsidRPr="007D7717">
        <w:rPr>
          <w:b/>
          <w:bCs/>
        </w:rPr>
        <w:t>Ethical considerations</w:t>
      </w:r>
      <w:r w:rsidRPr="007D7717">
        <w:t xml:space="preserve">: </w:t>
      </w:r>
      <w:r w:rsidR="00FF0657" w:rsidRPr="007D7717">
        <w:t>Cooperating</w:t>
      </w:r>
      <w:r w:rsidR="005920BF" w:rsidRPr="007D7717">
        <w:t xml:space="preserve"> with communities, groups and, where appropriate, individuals </w:t>
      </w:r>
      <w:r w:rsidR="006C54CD" w:rsidRPr="007D7717">
        <w:t xml:space="preserve">must be based on full respect for </w:t>
      </w:r>
      <w:r w:rsidR="005920BF" w:rsidRPr="007D7717">
        <w:t xml:space="preserve">the </w:t>
      </w:r>
      <w:hyperlink r:id="rId25" w:history="1">
        <w:r w:rsidR="005920BF" w:rsidRPr="007D7717">
          <w:rPr>
            <w:rStyle w:val="Hyperlink"/>
          </w:rPr>
          <w:t>Ethical Principles</w:t>
        </w:r>
      </w:hyperlink>
      <w:r w:rsidR="005920BF" w:rsidRPr="007D7717">
        <w:t xml:space="preserve"> for Safeguarding Intangible Cultural Heritage</w:t>
      </w:r>
      <w:r w:rsidR="00CA55B1" w:rsidRPr="007D7717">
        <w:t xml:space="preserve"> as well as </w:t>
      </w:r>
      <w:r w:rsidR="00FF0657" w:rsidRPr="007D7717">
        <w:t xml:space="preserve">the </w:t>
      </w:r>
      <w:r w:rsidR="00CA55B1" w:rsidRPr="007D7717">
        <w:t>Universal Declaration on Human Rights (in particular its Article 27)</w:t>
      </w:r>
      <w:r w:rsidR="005920BF" w:rsidRPr="007D7717">
        <w:t xml:space="preserve">, </w:t>
      </w:r>
      <w:r w:rsidR="00CA55B1" w:rsidRPr="007D7717">
        <w:t xml:space="preserve">with specific reference to </w:t>
      </w:r>
      <w:r w:rsidR="005920BF" w:rsidRPr="007D7717">
        <w:t>the principle of free, prior</w:t>
      </w:r>
      <w:r w:rsidR="003F1FC4" w:rsidRPr="00D61FBC">
        <w:t>, sustained</w:t>
      </w:r>
      <w:r w:rsidR="005920BF" w:rsidRPr="007D7717">
        <w:t xml:space="preserve"> and informed consent. Sharing images or disseminating information that may lead to the identification of individuals may not be appropriate in many circumstances. It may be necessary to establish guidelines specifically geared at sharing information online.</w:t>
      </w:r>
    </w:p>
    <w:p w14:paraId="44E6B0B4" w14:textId="76930A0F" w:rsidR="00FD23E8" w:rsidRPr="007D7717" w:rsidRDefault="00041362" w:rsidP="00207141">
      <w:pPr>
        <w:pStyle w:val="COMPara"/>
        <w:keepNext/>
        <w:ind w:left="567" w:hanging="567"/>
        <w:jc w:val="both"/>
      </w:pPr>
      <w:r w:rsidRPr="007D7717">
        <w:rPr>
          <w:b/>
          <w:bCs/>
        </w:rPr>
        <w:t>A s</w:t>
      </w:r>
      <w:r w:rsidR="00207141" w:rsidRPr="007D7717">
        <w:rPr>
          <w:b/>
          <w:bCs/>
        </w:rPr>
        <w:t>tep-by-</w:t>
      </w:r>
      <w:r w:rsidRPr="007D7717">
        <w:rPr>
          <w:b/>
          <w:bCs/>
        </w:rPr>
        <w:t>s</w:t>
      </w:r>
      <w:r w:rsidR="00207141" w:rsidRPr="007D7717">
        <w:rPr>
          <w:b/>
          <w:bCs/>
        </w:rPr>
        <w:t>tep approach</w:t>
      </w:r>
      <w:r w:rsidR="000D456D" w:rsidRPr="007D7717">
        <w:t xml:space="preserve">: </w:t>
      </w:r>
      <w:r w:rsidR="00EA0DF8" w:rsidRPr="007D7717">
        <w:t xml:space="preserve">The </w:t>
      </w:r>
      <w:r w:rsidR="00FF0657" w:rsidRPr="007D7717">
        <w:t xml:space="preserve">recent </w:t>
      </w:r>
      <w:r w:rsidR="00EA0DF8" w:rsidRPr="007D7717">
        <w:t xml:space="preserve">Category VI expert meeting </w:t>
      </w:r>
      <w:r w:rsidR="00B70CC4" w:rsidRPr="007D7717">
        <w:t xml:space="preserve">strongly </w:t>
      </w:r>
      <w:r w:rsidR="00EA0DF8" w:rsidRPr="007D7717">
        <w:t xml:space="preserve">advocated </w:t>
      </w:r>
      <w:r w:rsidRPr="007D7717">
        <w:t>for</w:t>
      </w:r>
      <w:r w:rsidR="00EA0DF8" w:rsidRPr="007D7717">
        <w:t xml:space="preserve"> </w:t>
      </w:r>
      <w:r w:rsidRPr="007D7717">
        <w:t xml:space="preserve">the adoption of </w:t>
      </w:r>
      <w:r w:rsidR="00EA0DF8" w:rsidRPr="007D7717">
        <w:t>a step-by-step approach when establishing an online platform for sharing good safeguarding practices</w:t>
      </w:r>
      <w:r w:rsidR="005B51E6" w:rsidRPr="007D7717">
        <w:t xml:space="preserve"> (for more details</w:t>
      </w:r>
      <w:r w:rsidRPr="007D7717">
        <w:t>,</w:t>
      </w:r>
      <w:r w:rsidR="005B51E6" w:rsidRPr="007D7717">
        <w:t xml:space="preserve"> see the </w:t>
      </w:r>
      <w:hyperlink r:id="rId26" w:history="1">
        <w:r w:rsidR="005B51E6" w:rsidRPr="007D7717">
          <w:rPr>
            <w:rStyle w:val="Hyperlink"/>
          </w:rPr>
          <w:t>report</w:t>
        </w:r>
      </w:hyperlink>
      <w:r w:rsidR="005B51E6" w:rsidRPr="007D7717">
        <w:t xml:space="preserve"> of breakout group B under Topic 2)</w:t>
      </w:r>
      <w:r w:rsidR="00EA0DF8" w:rsidRPr="007D7717">
        <w:t xml:space="preserve">. </w:t>
      </w:r>
      <w:r w:rsidR="000D456D" w:rsidRPr="007D7717">
        <w:t xml:space="preserve">To start the process, the existing webpage of the Convention </w:t>
      </w:r>
      <w:r w:rsidRPr="007D7717">
        <w:t xml:space="preserve">could </w:t>
      </w:r>
      <w:r w:rsidR="000D456D" w:rsidRPr="007D7717">
        <w:t>be used to highlight good</w:t>
      </w:r>
      <w:r w:rsidR="003A544C" w:rsidRPr="007D7717">
        <w:t xml:space="preserve"> </w:t>
      </w:r>
      <w:r w:rsidR="000D456D" w:rsidRPr="007D7717">
        <w:t xml:space="preserve">safeguarding practices already included in existing materials </w:t>
      </w:r>
      <w:r w:rsidR="00EA0DF8" w:rsidRPr="007D7717">
        <w:t>(such as existing programmes selected in the Register, safeguarding plans in nominations, including elements transferred from the Urgent Safeguarding List to the Representative List, examples from periodic reports and International Assistance projects</w:t>
      </w:r>
      <w:r w:rsidRPr="007D7717">
        <w:t>)</w:t>
      </w:r>
      <w:r w:rsidR="000D456D" w:rsidRPr="007D7717">
        <w:t>.</w:t>
      </w:r>
      <w:r w:rsidR="005B51E6" w:rsidRPr="007D7717">
        <w:t xml:space="preserve"> Once the</w:t>
      </w:r>
      <w:r w:rsidR="0071658F" w:rsidRPr="007D7717">
        <w:t xml:space="preserve"> initial step </w:t>
      </w:r>
      <w:r w:rsidRPr="007D7717">
        <w:t>has been</w:t>
      </w:r>
      <w:r w:rsidR="0071658F" w:rsidRPr="007D7717">
        <w:t xml:space="preserve"> successfully completed, the platform </w:t>
      </w:r>
      <w:r w:rsidRPr="007D7717">
        <w:t xml:space="preserve">could </w:t>
      </w:r>
      <w:r w:rsidR="0071658F" w:rsidRPr="007D7717">
        <w:t xml:space="preserve">be further developed as a fully interactive platform, </w:t>
      </w:r>
      <w:r w:rsidR="00136194" w:rsidRPr="007D7717">
        <w:t xml:space="preserve">providing an easily available means of sharing </w:t>
      </w:r>
      <w:r w:rsidR="0071658F" w:rsidRPr="007D7717">
        <w:t xml:space="preserve">and generating knowledge and experiences about good safeguarding practices </w:t>
      </w:r>
      <w:r w:rsidR="00D3469C" w:rsidRPr="007D7717">
        <w:t>among the communities and other stakeholders</w:t>
      </w:r>
      <w:r w:rsidR="0071658F" w:rsidRPr="007D7717">
        <w:t>.</w:t>
      </w:r>
    </w:p>
    <w:p w14:paraId="07A19EDC" w14:textId="227E5044" w:rsidR="00A35479" w:rsidRPr="007D7717" w:rsidRDefault="008F1ABA" w:rsidP="00CC4A47">
      <w:pPr>
        <w:pStyle w:val="COMPara"/>
        <w:numPr>
          <w:ilvl w:val="0"/>
          <w:numId w:val="0"/>
        </w:numPr>
        <w:rPr>
          <w:u w:val="single"/>
        </w:rPr>
      </w:pPr>
      <w:r w:rsidRPr="007D7717">
        <w:rPr>
          <w:rFonts w:eastAsiaTheme="minorEastAsia"/>
          <w:u w:val="single"/>
        </w:rPr>
        <w:t>Discussion</w:t>
      </w:r>
      <w:r w:rsidRPr="007D7717">
        <w:rPr>
          <w:u w:val="single"/>
        </w:rPr>
        <w:t xml:space="preserve"> </w:t>
      </w:r>
      <w:proofErr w:type="gramStart"/>
      <w:r w:rsidRPr="007D7717">
        <w:rPr>
          <w:u w:val="single"/>
        </w:rPr>
        <w:t>point</w:t>
      </w:r>
      <w:proofErr w:type="gramEnd"/>
      <w:r w:rsidRPr="007D7717">
        <w:rPr>
          <w:u w:val="single"/>
        </w:rPr>
        <w:t xml:space="preserve"> </w:t>
      </w:r>
      <w:r w:rsidR="00A92AF4">
        <w:rPr>
          <w:u w:val="single"/>
        </w:rPr>
        <w:t>7</w:t>
      </w:r>
      <w:r w:rsidRPr="007D7717">
        <w:rPr>
          <w:u w:val="single"/>
        </w:rPr>
        <w:t>: Administrative set-up as well as financial and operational implications</w:t>
      </w:r>
    </w:p>
    <w:p w14:paraId="78F88997" w14:textId="6177379A" w:rsidR="009514B8" w:rsidRPr="007D7717" w:rsidRDefault="00FF0657" w:rsidP="00F05A5E">
      <w:pPr>
        <w:pStyle w:val="COMPara"/>
        <w:ind w:left="567" w:hanging="567"/>
        <w:jc w:val="both"/>
      </w:pPr>
      <w:r w:rsidRPr="007D7717">
        <w:t>Needless to say, clarification is required regarding the possible administrative set-up as well as</w:t>
      </w:r>
      <w:r w:rsidR="00041362" w:rsidRPr="007D7717">
        <w:t xml:space="preserve"> the</w:t>
      </w:r>
      <w:r w:rsidRPr="007D7717">
        <w:t xml:space="preserve"> financial and operational implications of </w:t>
      </w:r>
      <w:r w:rsidR="00041362" w:rsidRPr="007D7717">
        <w:t xml:space="preserve">such </w:t>
      </w:r>
      <w:r w:rsidRPr="007D7717">
        <w:t>an online platform. A base plan could be to establish the platform on a global basis with regional ‘rooms’, involving all stakeholders of the Convention. Such administrative considerations w</w:t>
      </w:r>
      <w:r w:rsidR="00041362" w:rsidRPr="007D7717">
        <w:t>ould need</w:t>
      </w:r>
      <w:r w:rsidRPr="007D7717">
        <w:t xml:space="preserve"> to </w:t>
      </w:r>
      <w:proofErr w:type="gramStart"/>
      <w:r w:rsidRPr="007D7717">
        <w:t>take into account</w:t>
      </w:r>
      <w:proofErr w:type="gramEnd"/>
      <w:r w:rsidRPr="007D7717">
        <w:t xml:space="preserve"> decisions, </w:t>
      </w:r>
      <w:r w:rsidR="00041362" w:rsidRPr="007D7717">
        <w:t>based on the full participation of the</w:t>
      </w:r>
      <w:r w:rsidRPr="007D7717">
        <w:t xml:space="preserve"> practitioners and other tradition bearers, </w:t>
      </w:r>
      <w:r w:rsidR="00041362" w:rsidRPr="007D7717">
        <w:t>concerning</w:t>
      </w:r>
      <w:r w:rsidRPr="007D7717">
        <w:t xml:space="preserve"> how an online platform would be set up and maintained.</w:t>
      </w:r>
    </w:p>
    <w:p w14:paraId="389ED154" w14:textId="07DA81B7" w:rsidR="00923319" w:rsidRPr="007D7717" w:rsidRDefault="00B6191F" w:rsidP="00AD27EF">
      <w:pPr>
        <w:pStyle w:val="COMPara"/>
        <w:ind w:left="567" w:hanging="567"/>
        <w:jc w:val="both"/>
      </w:pPr>
      <w:r w:rsidRPr="007D7717">
        <w:t xml:space="preserve">A preliminary analysis shows </w:t>
      </w:r>
      <w:r w:rsidR="00B601A6" w:rsidRPr="007D7717">
        <w:t>t</w:t>
      </w:r>
      <w:r w:rsidR="00F16606" w:rsidRPr="007D7717">
        <w:t>hat the initial set up of an online platform</w:t>
      </w:r>
      <w:r w:rsidR="00F659B2">
        <w:t xml:space="preserve"> </w:t>
      </w:r>
      <w:r w:rsidR="00F659B2" w:rsidRPr="007D7717">
        <w:t>(</w:t>
      </w:r>
      <w:r w:rsidR="00F659B2" w:rsidRPr="00D61FBC">
        <w:t>which should be established within the Secretariat</w:t>
      </w:r>
      <w:r w:rsidR="00F659B2" w:rsidRPr="007D7717">
        <w:t>)</w:t>
      </w:r>
      <w:r w:rsidR="00DF738C" w:rsidRPr="007D7717">
        <w:t>,</w:t>
      </w:r>
      <w:r w:rsidR="00F16606" w:rsidRPr="007D7717">
        <w:t xml:space="preserve"> over a six-month period</w:t>
      </w:r>
      <w:r w:rsidR="00DF738C" w:rsidRPr="007D7717">
        <w:t>,</w:t>
      </w:r>
      <w:r w:rsidR="00F16606" w:rsidRPr="007D7717">
        <w:t xml:space="preserve"> would require </w:t>
      </w:r>
      <w:r w:rsidR="00477DE1" w:rsidRPr="007D7717">
        <w:t>a</w:t>
      </w:r>
      <w:r w:rsidR="00461E6F" w:rsidRPr="007D7717">
        <w:t xml:space="preserve"> </w:t>
      </w:r>
      <w:r w:rsidR="00461E6F" w:rsidRPr="007D7717">
        <w:rPr>
          <w:u w:val="single"/>
        </w:rPr>
        <w:t>one-off</w:t>
      </w:r>
      <w:r w:rsidR="00F16606" w:rsidRPr="007D7717">
        <w:rPr>
          <w:u w:val="single"/>
        </w:rPr>
        <w:t xml:space="preserve"> budget of US$300,000</w:t>
      </w:r>
      <w:r w:rsidR="00F16606" w:rsidRPr="007D7717">
        <w:t>, essentially for IT developments</w:t>
      </w:r>
      <w:r w:rsidR="00203AE0" w:rsidRPr="007D7717">
        <w:t>,</w:t>
      </w:r>
      <w:r w:rsidR="00F16606" w:rsidRPr="007D7717">
        <w:t xml:space="preserve"> </w:t>
      </w:r>
      <w:r w:rsidR="00D9409B" w:rsidRPr="007D7717">
        <w:t xml:space="preserve">content preparation, and the initial testing of the system. </w:t>
      </w:r>
      <w:r w:rsidR="005D1B00" w:rsidRPr="007D7717">
        <w:t xml:space="preserve">Once it is established, the running of the platform would require </w:t>
      </w:r>
      <w:r w:rsidR="00461E6F" w:rsidRPr="007D7717">
        <w:t xml:space="preserve">an </w:t>
      </w:r>
      <w:r w:rsidR="00461E6F" w:rsidRPr="007D7717">
        <w:rPr>
          <w:u w:val="single"/>
        </w:rPr>
        <w:t xml:space="preserve">annual budget of </w:t>
      </w:r>
      <w:r w:rsidR="005D1B00" w:rsidRPr="007D7717">
        <w:rPr>
          <w:u w:val="single"/>
        </w:rPr>
        <w:t>US$500,000</w:t>
      </w:r>
      <w:r w:rsidR="00DF738C" w:rsidRPr="007D7717">
        <w:t>,</w:t>
      </w:r>
      <w:r w:rsidR="005D1B00" w:rsidRPr="007D7717">
        <w:t xml:space="preserve"> </w:t>
      </w:r>
      <w:r w:rsidR="00DF738C" w:rsidRPr="007D7717">
        <w:t>in</w:t>
      </w:r>
      <w:r w:rsidR="005D1B00" w:rsidRPr="007D7717">
        <w:t xml:space="preserve"> order to provide a wide range of services to support the sharing of good safeguarding experiences</w:t>
      </w:r>
      <w:r w:rsidR="00DF738C" w:rsidRPr="007D7717">
        <w:t>.</w:t>
      </w:r>
      <w:r w:rsidR="005D1B00" w:rsidRPr="007D7717">
        <w:t xml:space="preserve"> </w:t>
      </w:r>
      <w:r w:rsidR="00DF738C" w:rsidRPr="007D7717">
        <w:t>T</w:t>
      </w:r>
      <w:r w:rsidR="005D1B00" w:rsidRPr="007D7717">
        <w:t>h</w:t>
      </w:r>
      <w:r w:rsidR="00DF738C" w:rsidRPr="007D7717">
        <w:t>e budget</w:t>
      </w:r>
      <w:r w:rsidR="005D1B00" w:rsidRPr="007D7717">
        <w:t xml:space="preserve"> would include contracts for external IT developers, UNESCO staff time for one half time IT manager</w:t>
      </w:r>
      <w:r w:rsidR="00477DE1" w:rsidRPr="007D7717">
        <w:t xml:space="preserve"> at P-3 level</w:t>
      </w:r>
      <w:r w:rsidR="005D1B00" w:rsidRPr="007D7717">
        <w:t>, one full-time content coordinator at P</w:t>
      </w:r>
      <w:r w:rsidR="00DF738C" w:rsidRPr="007D7717">
        <w:t>-</w:t>
      </w:r>
      <w:r w:rsidR="005D1B00" w:rsidRPr="007D7717">
        <w:t>3 level, two full-time assistants at G</w:t>
      </w:r>
      <w:r w:rsidR="00DF738C" w:rsidRPr="007D7717">
        <w:t>-</w:t>
      </w:r>
      <w:r w:rsidR="005D1B00" w:rsidRPr="007D7717">
        <w:t>4 level</w:t>
      </w:r>
      <w:r w:rsidR="00FA7878" w:rsidRPr="007D7717">
        <w:t xml:space="preserve">, </w:t>
      </w:r>
      <w:r w:rsidR="00F659B2">
        <w:t xml:space="preserve">and </w:t>
      </w:r>
      <w:r w:rsidR="0019154F" w:rsidRPr="007D7717">
        <w:t xml:space="preserve">resources for undertaking activities to encourage sharing of good safeguarding experiences and </w:t>
      </w:r>
      <w:r w:rsidR="00477DE1" w:rsidRPr="007D7717">
        <w:t>for coordinating the content development with</w:t>
      </w:r>
      <w:r w:rsidR="0019154F" w:rsidRPr="007D7717">
        <w:t xml:space="preserve"> stakeholders of the Convention; as well as </w:t>
      </w:r>
      <w:r w:rsidR="005D1B00" w:rsidRPr="007D7717">
        <w:t>translation, equipment and other administrative requirements</w:t>
      </w:r>
      <w:r w:rsidR="0019154F" w:rsidRPr="007D7717">
        <w:t>.</w:t>
      </w:r>
      <w:r w:rsidR="00AD27EF" w:rsidRPr="007D7717">
        <w:t xml:space="preserve"> It should be noted that t</w:t>
      </w:r>
      <w:r w:rsidR="00923319" w:rsidRPr="007D7717">
        <w:t>his scenario</w:t>
      </w:r>
      <w:r w:rsidR="00A2735D" w:rsidRPr="007D7717">
        <w:t xml:space="preserve"> would require sustainable staffing within </w:t>
      </w:r>
      <w:r w:rsidR="00923319" w:rsidRPr="007D7717">
        <w:t>the Secretariat to service the online platform in a reliable manner.</w:t>
      </w:r>
    </w:p>
    <w:p w14:paraId="5DDEC3FE" w14:textId="0C266816" w:rsidR="00444B61" w:rsidRPr="007D7717" w:rsidRDefault="00444B61" w:rsidP="00444B61">
      <w:pPr>
        <w:pStyle w:val="COMPara"/>
        <w:ind w:left="567" w:hanging="567"/>
        <w:jc w:val="both"/>
      </w:pPr>
      <w:r w:rsidRPr="007D7717">
        <w:t xml:space="preserve">The Category VI meeting of experts </w:t>
      </w:r>
      <w:r w:rsidR="00041362" w:rsidRPr="007D7717">
        <w:t xml:space="preserve">also </w:t>
      </w:r>
      <w:r w:rsidRPr="007D7717">
        <w:t>proposed form</w:t>
      </w:r>
      <w:r w:rsidR="00041362" w:rsidRPr="007D7717">
        <w:t xml:space="preserve">ing </w:t>
      </w:r>
      <w:r w:rsidRPr="007D7717">
        <w:t>an advisory group</w:t>
      </w:r>
      <w:r w:rsidR="00041362" w:rsidRPr="007D7717">
        <w:t xml:space="preserve"> </w:t>
      </w:r>
      <w:r w:rsidRPr="007D7717">
        <w:t xml:space="preserve">to </w:t>
      </w:r>
      <w:r w:rsidR="004D7E9A" w:rsidRPr="007D7717">
        <w:t xml:space="preserve">oversee </w:t>
      </w:r>
      <w:r w:rsidRPr="007D7717">
        <w:t xml:space="preserve">the establishment and running of the platform. The </w:t>
      </w:r>
      <w:r w:rsidR="00C83BF1" w:rsidRPr="007D7717">
        <w:t xml:space="preserve">advisory </w:t>
      </w:r>
      <w:r w:rsidRPr="007D7717">
        <w:t xml:space="preserve">group </w:t>
      </w:r>
      <w:r w:rsidR="005B0F73" w:rsidRPr="007D7717">
        <w:t xml:space="preserve">could </w:t>
      </w:r>
      <w:r w:rsidRPr="007D7717">
        <w:t>be composed of members selected by the Committee, representing community experts and community contact persons for inscribed elements and selected practices a</w:t>
      </w:r>
      <w:r w:rsidR="005B0F73" w:rsidRPr="007D7717">
        <w:t>s well as</w:t>
      </w:r>
      <w:r w:rsidRPr="007D7717">
        <w:t xml:space="preserve"> representatives from Category 2 Centres, the ICH NGO Forum and UNESCO Chairs. Country focal points for periodic reports and community representatives could provide advice </w:t>
      </w:r>
      <w:r w:rsidR="00DC7803" w:rsidRPr="007D7717">
        <w:t xml:space="preserve">to </w:t>
      </w:r>
      <w:r w:rsidRPr="007D7717">
        <w:t>the Secretariat</w:t>
      </w:r>
      <w:r w:rsidR="00AF55F9" w:rsidRPr="007D7717">
        <w:t xml:space="preserve"> or to a technical team to be established within a host institution</w:t>
      </w:r>
      <w:r w:rsidR="005B0F73" w:rsidRPr="007D7717">
        <w:t xml:space="preserve"> </w:t>
      </w:r>
      <w:r w:rsidR="00AF55F9" w:rsidRPr="007D7717">
        <w:t xml:space="preserve">about </w:t>
      </w:r>
      <w:r w:rsidR="005B0F73" w:rsidRPr="007D7717">
        <w:t xml:space="preserve">the </w:t>
      </w:r>
      <w:r w:rsidR="005F30F5" w:rsidRPr="007D7717">
        <w:t xml:space="preserve">establishment </w:t>
      </w:r>
      <w:r w:rsidR="00AF55F9" w:rsidRPr="007D7717">
        <w:t xml:space="preserve">and running </w:t>
      </w:r>
      <w:r w:rsidR="005B0F73" w:rsidRPr="007D7717">
        <w:t xml:space="preserve">of </w:t>
      </w:r>
      <w:r w:rsidRPr="007D7717">
        <w:t>the online platform for implementing Article 18.</w:t>
      </w:r>
    </w:p>
    <w:p w14:paraId="04176CC5" w14:textId="64618D8F" w:rsidR="00B720EA" w:rsidRPr="007D7717" w:rsidRDefault="009230FD" w:rsidP="00993E27">
      <w:pPr>
        <w:pStyle w:val="COMPara"/>
        <w:numPr>
          <w:ilvl w:val="0"/>
          <w:numId w:val="0"/>
        </w:numPr>
        <w:spacing w:before="240"/>
        <w:jc w:val="both"/>
        <w:rPr>
          <w:b/>
          <w:bCs/>
        </w:rPr>
      </w:pPr>
      <w:r w:rsidRPr="007D7717">
        <w:t xml:space="preserve"> </w:t>
      </w:r>
      <w:r w:rsidR="00B720EA" w:rsidRPr="007D7717">
        <w:rPr>
          <w:b/>
          <w:bCs/>
        </w:rPr>
        <w:t>Topic 3: Any other issues</w:t>
      </w:r>
    </w:p>
    <w:p w14:paraId="61830B64" w14:textId="1FD93443" w:rsidR="008A6971" w:rsidRPr="007D7717" w:rsidRDefault="008A6971" w:rsidP="005869D8">
      <w:pPr>
        <w:pStyle w:val="COMPara"/>
        <w:ind w:left="567" w:hanging="567"/>
        <w:jc w:val="both"/>
      </w:pPr>
      <w:r w:rsidRPr="007D7717">
        <w:t xml:space="preserve">For the consideration of the working group, the Category </w:t>
      </w:r>
      <w:r w:rsidR="005B0F73" w:rsidRPr="007D7717">
        <w:t xml:space="preserve">VI </w:t>
      </w:r>
      <w:r w:rsidRPr="007D7717">
        <w:t>meeting of experts raised the following issues:</w:t>
      </w:r>
    </w:p>
    <w:p w14:paraId="4C0DB271" w14:textId="0CBDD745" w:rsidR="00B720EA" w:rsidRPr="005F3B79" w:rsidRDefault="008A6971" w:rsidP="005F3B79">
      <w:pPr>
        <w:pStyle w:val="Marge"/>
        <w:numPr>
          <w:ilvl w:val="0"/>
          <w:numId w:val="35"/>
        </w:numPr>
        <w:tabs>
          <w:tab w:val="clear" w:pos="567"/>
        </w:tabs>
        <w:spacing w:before="120" w:after="120"/>
        <w:ind w:left="1134" w:hanging="567"/>
        <w:rPr>
          <w:rFonts w:cs="Arial"/>
          <w:lang w:val="en-GB"/>
        </w:rPr>
      </w:pPr>
      <w:r w:rsidRPr="005F3B79">
        <w:rPr>
          <w:rFonts w:cs="Arial"/>
          <w:lang w:val="en-GB"/>
        </w:rPr>
        <w:t xml:space="preserve">Resources: </w:t>
      </w:r>
      <w:r w:rsidR="005869D8" w:rsidRPr="005F3B79">
        <w:rPr>
          <w:rFonts w:cs="Arial"/>
          <w:lang w:val="en-GB"/>
        </w:rPr>
        <w:t>Additional financial resources, complement</w:t>
      </w:r>
      <w:r w:rsidR="005B0F73" w:rsidRPr="005F3B79">
        <w:rPr>
          <w:rFonts w:cs="Arial"/>
          <w:lang w:val="en-GB"/>
        </w:rPr>
        <w:t>ing</w:t>
      </w:r>
      <w:r w:rsidR="005869D8" w:rsidRPr="005F3B79">
        <w:rPr>
          <w:rFonts w:cs="Arial"/>
          <w:lang w:val="en-GB"/>
        </w:rPr>
        <w:t xml:space="preserve"> the International Assistance mechanism, need to be made available to communities to help </w:t>
      </w:r>
      <w:r w:rsidR="005B0F73" w:rsidRPr="005F3B79">
        <w:rPr>
          <w:rFonts w:cs="Arial"/>
          <w:lang w:val="en-GB"/>
        </w:rPr>
        <w:t xml:space="preserve">them </w:t>
      </w:r>
      <w:r w:rsidR="005869D8" w:rsidRPr="005F3B79">
        <w:rPr>
          <w:rFonts w:cs="Arial"/>
          <w:lang w:val="en-GB"/>
        </w:rPr>
        <w:t xml:space="preserve">prepare, implement and follow up </w:t>
      </w:r>
      <w:r w:rsidR="005B0F73" w:rsidRPr="005F3B79">
        <w:rPr>
          <w:rFonts w:cs="Arial"/>
          <w:lang w:val="en-GB"/>
        </w:rPr>
        <w:t xml:space="preserve">on </w:t>
      </w:r>
      <w:r w:rsidR="005869D8" w:rsidRPr="005F3B79">
        <w:rPr>
          <w:rFonts w:cs="Arial"/>
          <w:lang w:val="en-GB"/>
        </w:rPr>
        <w:t>programmes, projects and activities that best reflect the principles of the Convention.</w:t>
      </w:r>
    </w:p>
    <w:p w14:paraId="43283482" w14:textId="62F2F936" w:rsidR="008A6971" w:rsidRPr="005F3B79" w:rsidRDefault="008A6971" w:rsidP="00F659B2">
      <w:pPr>
        <w:pStyle w:val="Marge"/>
        <w:keepLines/>
        <w:numPr>
          <w:ilvl w:val="0"/>
          <w:numId w:val="35"/>
        </w:numPr>
        <w:tabs>
          <w:tab w:val="clear" w:pos="567"/>
        </w:tabs>
        <w:spacing w:before="120" w:after="120"/>
        <w:ind w:left="1134" w:hanging="567"/>
        <w:rPr>
          <w:rFonts w:cs="Arial"/>
          <w:lang w:val="en-GB"/>
        </w:rPr>
      </w:pPr>
      <w:r w:rsidRPr="005F3B79">
        <w:rPr>
          <w:rFonts w:cs="Arial"/>
          <w:lang w:val="en-GB"/>
        </w:rPr>
        <w:t>S</w:t>
      </w:r>
      <w:r w:rsidR="00F35C15" w:rsidRPr="005F3B79">
        <w:rPr>
          <w:rFonts w:cs="Arial"/>
          <w:lang w:val="en-GB"/>
        </w:rPr>
        <w:t>pecific initiatives aim</w:t>
      </w:r>
      <w:r w:rsidR="005B0F73" w:rsidRPr="005F3B79">
        <w:rPr>
          <w:rFonts w:cs="Arial"/>
          <w:lang w:val="en-GB"/>
        </w:rPr>
        <w:t>ed at</w:t>
      </w:r>
      <w:r w:rsidR="00F35C15" w:rsidRPr="005F3B79">
        <w:rPr>
          <w:rFonts w:cs="Arial"/>
          <w:lang w:val="en-GB"/>
        </w:rPr>
        <w:t xml:space="preserve"> rais</w:t>
      </w:r>
      <w:r w:rsidR="005B0F73" w:rsidRPr="005F3B79">
        <w:rPr>
          <w:rFonts w:cs="Arial"/>
          <w:lang w:val="en-GB"/>
        </w:rPr>
        <w:t>ing</w:t>
      </w:r>
      <w:r w:rsidR="00F35C15" w:rsidRPr="005F3B79">
        <w:rPr>
          <w:rFonts w:cs="Arial"/>
          <w:lang w:val="en-GB"/>
        </w:rPr>
        <w:t xml:space="preserve"> awareness about the scope of Article 18</w:t>
      </w:r>
      <w:r w:rsidR="005B0F73" w:rsidRPr="005F3B79">
        <w:rPr>
          <w:rFonts w:cs="Arial"/>
          <w:lang w:val="en-GB"/>
        </w:rPr>
        <w:t>,</w:t>
      </w:r>
      <w:r w:rsidR="00F35C15" w:rsidRPr="005F3B79">
        <w:rPr>
          <w:rFonts w:cs="Arial"/>
          <w:lang w:val="en-GB"/>
        </w:rPr>
        <w:t xml:space="preserve"> including the benefits of the Register</w:t>
      </w:r>
      <w:r w:rsidR="005B0F73" w:rsidRPr="005F3B79">
        <w:rPr>
          <w:rFonts w:cs="Arial"/>
          <w:lang w:val="en-GB"/>
        </w:rPr>
        <w:t>,</w:t>
      </w:r>
      <w:r w:rsidR="00F35C15" w:rsidRPr="005F3B79">
        <w:rPr>
          <w:rFonts w:cs="Arial"/>
          <w:lang w:val="en-GB"/>
        </w:rPr>
        <w:t xml:space="preserve"> </w:t>
      </w:r>
      <w:r w:rsidR="005B0F73" w:rsidRPr="005F3B79">
        <w:rPr>
          <w:rFonts w:cs="Arial"/>
          <w:lang w:val="en-GB"/>
        </w:rPr>
        <w:t xml:space="preserve">could </w:t>
      </w:r>
      <w:r w:rsidR="00F35C15" w:rsidRPr="005F3B79">
        <w:rPr>
          <w:rFonts w:cs="Arial"/>
          <w:lang w:val="en-GB"/>
        </w:rPr>
        <w:t>be taken up to recognize the safeguarding efforts of the communit</w:t>
      </w:r>
      <w:r w:rsidR="00DC7803" w:rsidRPr="005F3B79">
        <w:rPr>
          <w:rFonts w:cs="Arial"/>
          <w:lang w:val="en-GB"/>
        </w:rPr>
        <w:t>ies</w:t>
      </w:r>
      <w:r w:rsidR="00F35C15" w:rsidRPr="005F3B79">
        <w:rPr>
          <w:rFonts w:cs="Arial"/>
          <w:lang w:val="en-GB"/>
        </w:rPr>
        <w:t>, for example: a) award, prize, labels or certification for safeguarding practices</w:t>
      </w:r>
      <w:r w:rsidR="00737A60" w:rsidRPr="005F3B79">
        <w:rPr>
          <w:rFonts w:cs="Arial"/>
          <w:lang w:val="en-GB"/>
        </w:rPr>
        <w:t>, set up on a non-competitive basis</w:t>
      </w:r>
      <w:r w:rsidR="005B0F73" w:rsidRPr="005F3B79">
        <w:rPr>
          <w:rFonts w:cs="Arial"/>
          <w:lang w:val="en-GB"/>
        </w:rPr>
        <w:t>;</w:t>
      </w:r>
      <w:r w:rsidR="00F35C15" w:rsidRPr="005F3B79">
        <w:rPr>
          <w:rFonts w:cs="Arial"/>
          <w:lang w:val="en-GB"/>
        </w:rPr>
        <w:t xml:space="preserve"> and b) The ‘good safeguarding practices’ days.</w:t>
      </w:r>
    </w:p>
    <w:p w14:paraId="1B08DF9D" w14:textId="77777777" w:rsidR="00190205" w:rsidRPr="007D7717" w:rsidRDefault="00190205" w:rsidP="00D86BB3">
      <w:pPr>
        <w:rPr>
          <w:rFonts w:ascii="Arial" w:eastAsia="SimSun" w:hAnsi="Arial" w:cs="Arial"/>
          <w:sz w:val="22"/>
          <w:szCs w:val="22"/>
          <w:u w:val="single"/>
          <w:lang w:val="en-GB"/>
        </w:rPr>
      </w:pPr>
    </w:p>
    <w:sectPr w:rsidR="00190205" w:rsidRPr="007D7717" w:rsidSect="00655736">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C07" w14:textId="77777777" w:rsidR="00675070" w:rsidRDefault="00675070" w:rsidP="00655736">
      <w:r>
        <w:separator/>
      </w:r>
    </w:p>
  </w:endnote>
  <w:endnote w:type="continuationSeparator" w:id="0">
    <w:p w14:paraId="67ED476E" w14:textId="77777777" w:rsidR="00675070" w:rsidRDefault="0067507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E802" w14:textId="77777777" w:rsidR="00675070" w:rsidRDefault="00675070" w:rsidP="00655736">
      <w:r>
        <w:separator/>
      </w:r>
    </w:p>
  </w:footnote>
  <w:footnote w:type="continuationSeparator" w:id="0">
    <w:p w14:paraId="4F1FC29B" w14:textId="77777777" w:rsidR="00675070" w:rsidRDefault="00675070" w:rsidP="00655736">
      <w:r>
        <w:continuationSeparator/>
      </w:r>
    </w:p>
  </w:footnote>
  <w:footnote w:id="1">
    <w:p w14:paraId="731D3656" w14:textId="34DAE6CC" w:rsidR="00CC66A6" w:rsidRPr="00F05A5E" w:rsidRDefault="00CC66A6" w:rsidP="00D61FBC">
      <w:pPr>
        <w:pStyle w:val="COMPara"/>
        <w:numPr>
          <w:ilvl w:val="0"/>
          <w:numId w:val="0"/>
        </w:numPr>
        <w:spacing w:after="0"/>
        <w:ind w:left="567" w:hanging="567"/>
        <w:jc w:val="both"/>
        <w:rPr>
          <w:lang w:val="en-US"/>
        </w:rPr>
      </w:pPr>
      <w:r w:rsidRPr="00CC66A6">
        <w:rPr>
          <w:rStyle w:val="FootnoteReference"/>
          <w:sz w:val="18"/>
          <w:szCs w:val="18"/>
        </w:rPr>
        <w:footnoteRef/>
      </w:r>
      <w:r w:rsidRPr="00CC66A6">
        <w:rPr>
          <w:sz w:val="18"/>
          <w:szCs w:val="18"/>
        </w:rPr>
        <w:tab/>
      </w:r>
      <w:r w:rsidRPr="00CC66A6">
        <w:rPr>
          <w:snapToGrid/>
          <w:sz w:val="18"/>
          <w:szCs w:val="18"/>
          <w:lang w:eastAsia="fr-FR"/>
        </w:rPr>
        <w:t>In addition, the experts considered that ‘Further implementation of Article 18 must be explored broadly, whenever possible, with reference to existing provisions of the Operational Directives (paragraphs 3 to 7, 9(c), 10, 12, 14, 20.1, 21(b), 27, 42 to 46, 70, 80(c), 96(c), 106, 107, 118, 121 and 123), the O</w:t>
      </w:r>
      <w:r w:rsidR="00E1574A">
        <w:rPr>
          <w:snapToGrid/>
          <w:sz w:val="18"/>
          <w:szCs w:val="18"/>
          <w:lang w:eastAsia="fr-FR"/>
        </w:rPr>
        <w:t xml:space="preserve">verall </w:t>
      </w:r>
      <w:r w:rsidRPr="00CC66A6">
        <w:rPr>
          <w:snapToGrid/>
          <w:sz w:val="18"/>
          <w:szCs w:val="18"/>
          <w:lang w:eastAsia="fr-FR"/>
        </w:rPr>
        <w:t>R</w:t>
      </w:r>
      <w:r w:rsidR="00E1574A">
        <w:rPr>
          <w:snapToGrid/>
          <w:sz w:val="18"/>
          <w:szCs w:val="18"/>
          <w:lang w:eastAsia="fr-FR"/>
        </w:rPr>
        <w:t xml:space="preserve">esults </w:t>
      </w:r>
      <w:r w:rsidRPr="00CC66A6">
        <w:rPr>
          <w:snapToGrid/>
          <w:sz w:val="18"/>
          <w:szCs w:val="18"/>
          <w:lang w:eastAsia="fr-FR"/>
        </w:rPr>
        <w:t>F</w:t>
      </w:r>
      <w:r w:rsidR="00E1574A">
        <w:rPr>
          <w:snapToGrid/>
          <w:sz w:val="18"/>
          <w:szCs w:val="18"/>
          <w:lang w:eastAsia="fr-FR"/>
        </w:rPr>
        <w:t>ramework</w:t>
      </w:r>
      <w:r w:rsidRPr="00CC66A6">
        <w:rPr>
          <w:snapToGrid/>
          <w:sz w:val="18"/>
          <w:szCs w:val="18"/>
          <w:lang w:eastAsia="fr-FR"/>
        </w:rPr>
        <w:t xml:space="preserve"> of the Convention with its thematic areas, the periodic reporting mechanism which has been reformed to align with the O</w:t>
      </w:r>
      <w:r w:rsidR="00DC17A0">
        <w:rPr>
          <w:snapToGrid/>
          <w:sz w:val="18"/>
          <w:szCs w:val="18"/>
          <w:lang w:eastAsia="fr-FR"/>
        </w:rPr>
        <w:t xml:space="preserve">verall </w:t>
      </w:r>
      <w:r w:rsidRPr="00CC66A6">
        <w:rPr>
          <w:snapToGrid/>
          <w:sz w:val="18"/>
          <w:szCs w:val="18"/>
          <w:lang w:eastAsia="fr-FR"/>
        </w:rPr>
        <w:t>R</w:t>
      </w:r>
      <w:r w:rsidR="00DC17A0">
        <w:rPr>
          <w:snapToGrid/>
          <w:sz w:val="18"/>
          <w:szCs w:val="18"/>
          <w:lang w:eastAsia="fr-FR"/>
        </w:rPr>
        <w:t xml:space="preserve">esults </w:t>
      </w:r>
      <w:r w:rsidRPr="00CC66A6">
        <w:rPr>
          <w:snapToGrid/>
          <w:sz w:val="18"/>
          <w:szCs w:val="18"/>
          <w:lang w:eastAsia="fr-FR"/>
        </w:rPr>
        <w:t>F</w:t>
      </w:r>
      <w:r w:rsidR="00DC17A0">
        <w:rPr>
          <w:snapToGrid/>
          <w:sz w:val="18"/>
          <w:szCs w:val="18"/>
          <w:lang w:eastAsia="fr-FR"/>
        </w:rPr>
        <w:t>ramework</w:t>
      </w:r>
      <w:r w:rsidRPr="00CC66A6">
        <w:rPr>
          <w:snapToGrid/>
          <w:sz w:val="18"/>
          <w:szCs w:val="18"/>
          <w:lang w:eastAsia="fr-FR"/>
        </w:rPr>
        <w:t>, the Ethical Principles for Safeguarding Intangible Cultural Heritage, as well as the international cooperation mechanisms of the Convention such as the listing system and International Assistance.</w:t>
      </w:r>
      <w:r w:rsidR="00746F38">
        <w:rPr>
          <w:snapToGrid/>
          <w:sz w:val="18"/>
          <w:szCs w:val="18"/>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2DA0EDA" w:rsidR="00D95C4C" w:rsidRPr="00C23A97" w:rsidRDefault="005326DB" w:rsidP="008F5A1A">
    <w:pPr>
      <w:pStyle w:val="Header"/>
      <w:rPr>
        <w:rFonts w:ascii="Arial" w:hAnsi="Arial" w:cs="Arial"/>
        <w:lang w:val="en-GB"/>
      </w:rPr>
    </w:pPr>
    <w:r w:rsidRPr="005326DB">
      <w:rPr>
        <w:rFonts w:ascii="Arial" w:hAnsi="Arial" w:cs="Arial"/>
        <w:sz w:val="20"/>
        <w:szCs w:val="20"/>
        <w:lang w:val="en-GB"/>
      </w:rPr>
      <w:t>LHE/23/</w:t>
    </w:r>
    <w:r w:rsidR="00981B98" w:rsidRPr="00981B98">
      <w:rPr>
        <w:rFonts w:ascii="Arial" w:hAnsi="Arial" w:cs="Arial"/>
        <w:sz w:val="20"/>
        <w:szCs w:val="20"/>
        <w:lang w:val="en-GB"/>
      </w:rPr>
      <w:t>18.COM WG ART18</w:t>
    </w:r>
    <w:r w:rsidRPr="005326DB">
      <w:rPr>
        <w:rFonts w:ascii="Arial" w:hAnsi="Arial" w:cs="Arial"/>
        <w:sz w:val="20"/>
        <w:szCs w:val="20"/>
        <w:lang w:val="en-GB"/>
      </w:rPr>
      <w:t>/</w:t>
    </w:r>
    <w:r w:rsidR="00F81338">
      <w:rPr>
        <w:rFonts w:ascii="Arial" w:hAnsi="Arial" w:cs="Arial"/>
        <w:sz w:val="20"/>
        <w:szCs w:val="20"/>
        <w:lang w:val="en-GB"/>
      </w:rPr>
      <w:t>3</w:t>
    </w:r>
    <w:r w:rsidR="00C778D5">
      <w:rPr>
        <w:rFonts w:ascii="Arial" w:hAnsi="Arial" w:cs="Arial"/>
        <w:sz w:val="20"/>
        <w:szCs w:val="20"/>
        <w:lang w:val="en-GB"/>
      </w:rPr>
      <w:t xml:space="preserve"> </w:t>
    </w:r>
    <w:r w:rsidR="00A92AF4">
      <w:rPr>
        <w:rFonts w:ascii="Arial" w:hAnsi="Arial" w:cs="Arial"/>
        <w:sz w:val="20"/>
        <w:szCs w:val="20"/>
        <w:lang w:val="en-GB"/>
      </w:rPr>
      <w:t>R</w:t>
    </w:r>
    <w:r w:rsidR="006A04AD">
      <w:rPr>
        <w:rFonts w:ascii="Arial" w:hAnsi="Arial" w:cs="Arial"/>
        <w:sz w:val="20"/>
        <w:szCs w:val="20"/>
        <w:lang w:val="en-GB"/>
      </w:rPr>
      <w:t>ev.</w:t>
    </w:r>
    <w:r>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278AC57" w:rsidR="00D95C4C" w:rsidRPr="0063300C" w:rsidRDefault="005326DB" w:rsidP="00C5776D">
    <w:pPr>
      <w:pStyle w:val="Header"/>
      <w:jc w:val="right"/>
      <w:rPr>
        <w:rFonts w:ascii="Arial" w:hAnsi="Arial" w:cs="Arial"/>
        <w:lang w:val="en-GB"/>
      </w:rPr>
    </w:pPr>
    <w:r w:rsidRPr="005326DB">
      <w:rPr>
        <w:rFonts w:ascii="Arial" w:hAnsi="Arial" w:cs="Arial"/>
        <w:sz w:val="20"/>
        <w:szCs w:val="20"/>
        <w:lang w:val="en-GB"/>
      </w:rPr>
      <w:t>LHE/23/</w:t>
    </w:r>
    <w:r w:rsidR="00981B98" w:rsidRPr="00981B98">
      <w:rPr>
        <w:rFonts w:ascii="Arial" w:hAnsi="Arial" w:cs="Arial"/>
        <w:sz w:val="20"/>
        <w:szCs w:val="20"/>
        <w:lang w:val="en-GB"/>
      </w:rPr>
      <w:t>18.COM WG ART18</w:t>
    </w:r>
    <w:r w:rsidRPr="005326DB">
      <w:rPr>
        <w:rFonts w:ascii="Arial" w:hAnsi="Arial" w:cs="Arial"/>
        <w:sz w:val="20"/>
        <w:szCs w:val="20"/>
        <w:lang w:val="en-GB"/>
      </w:rPr>
      <w:t>/</w:t>
    </w:r>
    <w:r w:rsidR="005353BA">
      <w:rPr>
        <w:rFonts w:ascii="Arial" w:hAnsi="Arial" w:cs="Arial"/>
        <w:sz w:val="20"/>
        <w:szCs w:val="20"/>
        <w:lang w:val="en-GB"/>
      </w:rPr>
      <w:t>3</w:t>
    </w:r>
    <w:r w:rsidR="00C778D5">
      <w:rPr>
        <w:rFonts w:ascii="Arial" w:hAnsi="Arial" w:cs="Arial"/>
        <w:sz w:val="20"/>
        <w:szCs w:val="20"/>
        <w:lang w:val="en-GB"/>
      </w:rPr>
      <w:t xml:space="preserve"> </w:t>
    </w:r>
    <w:r w:rsidR="00A92AF4">
      <w:rPr>
        <w:rFonts w:ascii="Arial" w:hAnsi="Arial" w:cs="Arial"/>
        <w:sz w:val="20"/>
        <w:szCs w:val="20"/>
        <w:lang w:val="en-GB"/>
      </w:rPr>
      <w:t>R</w:t>
    </w:r>
    <w:r w:rsidR="006A04AD">
      <w:rPr>
        <w:rFonts w:ascii="Arial" w:hAnsi="Arial" w:cs="Arial"/>
        <w:sz w:val="20"/>
        <w:szCs w:val="20"/>
        <w:lang w:val="en-GB"/>
      </w:rPr>
      <w:t>ev.</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D2E2" w14:textId="61E19156" w:rsidR="0078767C" w:rsidRPr="007D7717" w:rsidRDefault="002F33AC" w:rsidP="0078767C">
    <w:pPr>
      <w:pStyle w:val="Header"/>
      <w:spacing w:after="520"/>
      <w:jc w:val="right"/>
      <w:rPr>
        <w:rFonts w:ascii="Arial" w:hAnsi="Arial" w:cs="Arial"/>
        <w:b/>
        <w:sz w:val="44"/>
        <w:szCs w:val="44"/>
        <w:lang w:val="en-US"/>
      </w:rPr>
    </w:pPr>
    <w:bookmarkStart w:id="3" w:name="_Hlk133506479"/>
    <w:r w:rsidRPr="007D7717">
      <w:rPr>
        <w:rFonts w:ascii="Arial" w:hAnsi="Arial" w:cs="Arial"/>
        <w:b/>
        <w:sz w:val="44"/>
        <w:szCs w:val="44"/>
        <w:lang w:val="en-US"/>
      </w:rPr>
      <w:t>18</w:t>
    </w:r>
    <w:r w:rsidR="00981B98" w:rsidRPr="007D7717">
      <w:rPr>
        <w:rFonts w:ascii="Arial" w:hAnsi="Arial" w:cs="Arial"/>
        <w:b/>
        <w:sz w:val="44"/>
        <w:szCs w:val="44"/>
        <w:lang w:val="en-US"/>
      </w:rPr>
      <w:t>.</w:t>
    </w:r>
    <w:r w:rsidRPr="007D7717">
      <w:rPr>
        <w:rFonts w:ascii="Arial" w:hAnsi="Arial" w:cs="Arial"/>
        <w:b/>
        <w:sz w:val="44"/>
        <w:szCs w:val="44"/>
        <w:lang w:val="en-US"/>
      </w:rPr>
      <w:t xml:space="preserve">COM </w:t>
    </w:r>
    <w:r w:rsidR="0078767C" w:rsidRPr="007D7717">
      <w:rPr>
        <w:rFonts w:ascii="Arial" w:hAnsi="Arial" w:cs="Arial"/>
        <w:b/>
        <w:sz w:val="44"/>
        <w:szCs w:val="44"/>
        <w:lang w:val="en-US"/>
      </w:rPr>
      <w:t>WG ART18</w:t>
    </w:r>
  </w:p>
  <w:bookmarkEnd w:id="3"/>
  <w:p w14:paraId="306484B8" w14:textId="4A787C11" w:rsidR="00D95C4C" w:rsidRPr="007D7717" w:rsidRDefault="00C5776D" w:rsidP="00C5776D">
    <w:pPr>
      <w:jc w:val="right"/>
      <w:rPr>
        <w:rFonts w:ascii="Arial" w:hAnsi="Arial" w:cs="Arial"/>
        <w:b/>
        <w:sz w:val="22"/>
        <w:szCs w:val="22"/>
        <w:lang w:val="en-US"/>
      </w:rPr>
    </w:pPr>
    <w:r w:rsidRPr="007D7717">
      <w:rPr>
        <w:rFonts w:ascii="Arial" w:hAnsi="Arial" w:cs="Arial"/>
        <w:b/>
        <w:sz w:val="22"/>
        <w:szCs w:val="22"/>
        <w:lang w:val="en-US"/>
      </w:rPr>
      <w:t>LHE</w:t>
    </w:r>
    <w:r w:rsidR="00337CEB" w:rsidRPr="007D7717">
      <w:rPr>
        <w:rFonts w:ascii="Arial" w:hAnsi="Arial" w:cs="Arial"/>
        <w:b/>
        <w:sz w:val="22"/>
        <w:szCs w:val="22"/>
        <w:lang w:val="en-US"/>
      </w:rPr>
      <w:t>/</w:t>
    </w:r>
    <w:r w:rsidR="00D7105A" w:rsidRPr="007D7717">
      <w:rPr>
        <w:rFonts w:ascii="Arial" w:hAnsi="Arial" w:cs="Arial"/>
        <w:b/>
        <w:sz w:val="22"/>
        <w:szCs w:val="22"/>
        <w:lang w:val="en-US"/>
      </w:rPr>
      <w:t>2</w:t>
    </w:r>
    <w:r w:rsidR="00245501" w:rsidRPr="007D7717">
      <w:rPr>
        <w:rFonts w:ascii="Arial" w:hAnsi="Arial" w:cs="Arial"/>
        <w:b/>
        <w:sz w:val="22"/>
        <w:szCs w:val="22"/>
        <w:lang w:val="en-US"/>
      </w:rPr>
      <w:t>3</w:t>
    </w:r>
    <w:r w:rsidR="00D95C4C" w:rsidRPr="007D7717">
      <w:rPr>
        <w:rFonts w:ascii="Arial" w:hAnsi="Arial" w:cs="Arial"/>
        <w:b/>
        <w:sz w:val="22"/>
        <w:szCs w:val="22"/>
        <w:lang w:val="en-US"/>
      </w:rPr>
      <w:t>/</w:t>
    </w:r>
    <w:bookmarkStart w:id="4" w:name="_Hlk133506473"/>
    <w:r w:rsidR="002F33AC" w:rsidRPr="007D7717">
      <w:rPr>
        <w:rFonts w:ascii="Arial" w:hAnsi="Arial" w:cs="Arial"/>
        <w:b/>
        <w:sz w:val="22"/>
        <w:szCs w:val="22"/>
        <w:lang w:val="en-US"/>
      </w:rPr>
      <w:t xml:space="preserve">18.COM </w:t>
    </w:r>
    <w:r w:rsidR="0078767C" w:rsidRPr="007D7717">
      <w:rPr>
        <w:rFonts w:ascii="Arial" w:hAnsi="Arial" w:cs="Arial"/>
        <w:b/>
        <w:sz w:val="22"/>
        <w:szCs w:val="22"/>
        <w:lang w:val="en-US"/>
      </w:rPr>
      <w:t>WG ART18</w:t>
    </w:r>
    <w:bookmarkEnd w:id="4"/>
    <w:r w:rsidR="0078767C" w:rsidRPr="007D7717">
      <w:rPr>
        <w:rFonts w:ascii="Arial" w:hAnsi="Arial" w:cs="Arial"/>
        <w:b/>
        <w:sz w:val="22"/>
        <w:szCs w:val="22"/>
        <w:lang w:val="en-US"/>
      </w:rPr>
      <w:t>/</w:t>
    </w:r>
    <w:r w:rsidR="0090785D" w:rsidRPr="007D7717">
      <w:rPr>
        <w:rFonts w:ascii="Arial" w:hAnsi="Arial" w:cs="Arial"/>
        <w:b/>
        <w:sz w:val="22"/>
        <w:szCs w:val="22"/>
        <w:lang w:val="en-US"/>
      </w:rPr>
      <w:t>3</w:t>
    </w:r>
    <w:r w:rsidR="00C778D5">
      <w:rPr>
        <w:rFonts w:ascii="Arial" w:hAnsi="Arial" w:cs="Arial"/>
        <w:b/>
        <w:sz w:val="22"/>
        <w:szCs w:val="22"/>
        <w:lang w:val="en-US"/>
      </w:rPr>
      <w:t xml:space="preserve"> </w:t>
    </w:r>
    <w:r w:rsidR="00A92AF4">
      <w:rPr>
        <w:rFonts w:ascii="Arial" w:hAnsi="Arial" w:cs="Arial"/>
        <w:b/>
        <w:sz w:val="22"/>
        <w:szCs w:val="22"/>
        <w:lang w:val="en-US"/>
      </w:rPr>
      <w:t>R</w:t>
    </w:r>
    <w:r w:rsidR="006A04AD">
      <w:rPr>
        <w:rFonts w:ascii="Arial" w:hAnsi="Arial" w:cs="Arial"/>
        <w:b/>
        <w:sz w:val="22"/>
        <w:szCs w:val="22"/>
        <w:lang w:val="en-US"/>
      </w:rPr>
      <w:t>ev.</w:t>
    </w:r>
  </w:p>
  <w:p w14:paraId="1B4446C3" w14:textId="29EEA99E"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Paris</w:t>
    </w:r>
    <w:r w:rsidRPr="0090785D">
      <w:rPr>
        <w:rFonts w:ascii="Arial" w:hAnsi="Arial" w:cs="Arial"/>
        <w:b/>
        <w:sz w:val="22"/>
        <w:szCs w:val="22"/>
        <w:lang w:val="pt-PT"/>
      </w:rPr>
      <w:t xml:space="preserve">, </w:t>
    </w:r>
    <w:r w:rsidR="00A92AF4">
      <w:rPr>
        <w:rFonts w:ascii="Arial" w:hAnsi="Arial" w:cs="Arial"/>
        <w:b/>
        <w:sz w:val="22"/>
        <w:szCs w:val="22"/>
        <w:lang w:val="pt-PT"/>
      </w:rPr>
      <w:t>30</w:t>
    </w:r>
    <w:r w:rsidR="000E393C" w:rsidRPr="00D61FBC">
      <w:rPr>
        <w:rFonts w:ascii="Arial" w:hAnsi="Arial" w:cs="Arial"/>
        <w:b/>
        <w:sz w:val="22"/>
        <w:szCs w:val="22"/>
        <w:lang w:val="pt-PT"/>
      </w:rPr>
      <w:t xml:space="preserve"> </w:t>
    </w:r>
    <w:r w:rsidR="0078767C" w:rsidRPr="00D61FBC">
      <w:rPr>
        <w:rFonts w:ascii="Arial" w:hAnsi="Arial" w:cs="Arial"/>
        <w:b/>
        <w:sz w:val="22"/>
        <w:szCs w:val="22"/>
        <w:lang w:val="pt-PT"/>
      </w:rPr>
      <w:t>June</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245501">
      <w:rPr>
        <w:rFonts w:ascii="Arial" w:hAnsi="Arial" w:cs="Arial"/>
        <w:b/>
        <w:sz w:val="22"/>
        <w:szCs w:val="22"/>
        <w:lang w:val="pt-PT"/>
      </w:rPr>
      <w:t>3</w:t>
    </w:r>
  </w:p>
  <w:p w14:paraId="255B57FF" w14:textId="62A8C5C2"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90785D">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FD"/>
    <w:multiLevelType w:val="hybridMultilevel"/>
    <w:tmpl w:val="ADBCA1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9A266EF"/>
    <w:multiLevelType w:val="hybridMultilevel"/>
    <w:tmpl w:val="C62C0B72"/>
    <w:lvl w:ilvl="0" w:tplc="FFFFFFFF">
      <w:start w:val="1"/>
      <w:numFmt w:val="decimal"/>
      <w:lvlText w:val="%1."/>
      <w:lvlJc w:val="left"/>
      <w:pPr>
        <w:ind w:left="720" w:hanging="360"/>
      </w:pPr>
    </w:lvl>
    <w:lvl w:ilvl="1" w:tplc="040C0001">
      <w:start w:val="1"/>
      <w:numFmt w:val="bullet"/>
      <w:lvlText w:val=""/>
      <w:lvlJc w:val="left"/>
      <w:pPr>
        <w:ind w:left="1287"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7F44A44"/>
    <w:multiLevelType w:val="hybridMultilevel"/>
    <w:tmpl w:val="50D0B39A"/>
    <w:lvl w:ilvl="0" w:tplc="FFFFFFFF">
      <w:start w:val="1"/>
      <w:numFmt w:val="decimal"/>
      <w:lvlText w:val="%1."/>
      <w:lvlJc w:val="left"/>
      <w:pPr>
        <w:ind w:left="720" w:hanging="360"/>
      </w:pPr>
    </w:lvl>
    <w:lvl w:ilvl="1" w:tplc="CF66FE7C">
      <w:start w:val="1"/>
      <w:numFmt w:val="lowerLetter"/>
      <w:lvlText w:val="%2."/>
      <w:lvlJc w:val="left"/>
      <w:pPr>
        <w:ind w:left="1287" w:hanging="360"/>
      </w:pPr>
      <w:rPr>
        <w:rFonts w:ascii="Arial" w:eastAsia="Times New Roman"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386563"/>
    <w:multiLevelType w:val="hybridMultilevel"/>
    <w:tmpl w:val="31667218"/>
    <w:lvl w:ilvl="0" w:tplc="040C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CC0261"/>
    <w:multiLevelType w:val="hybridMultilevel"/>
    <w:tmpl w:val="E7C279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B3E33ED"/>
    <w:multiLevelType w:val="hybridMultilevel"/>
    <w:tmpl w:val="EC3081D2"/>
    <w:lvl w:ilvl="0" w:tplc="040C0017">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7732CE"/>
    <w:multiLevelType w:val="hybridMultilevel"/>
    <w:tmpl w:val="E3941F2C"/>
    <w:lvl w:ilvl="0" w:tplc="FFFFFFFF">
      <w:start w:val="1"/>
      <w:numFmt w:val="decimal"/>
      <w:lvlText w:val="%1."/>
      <w:lvlJc w:val="left"/>
      <w:pPr>
        <w:ind w:left="720" w:hanging="360"/>
      </w:pPr>
    </w:lvl>
    <w:lvl w:ilvl="1" w:tplc="040C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703D88"/>
    <w:multiLevelType w:val="hybridMultilevel"/>
    <w:tmpl w:val="9C387C2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E4A57CF"/>
    <w:multiLevelType w:val="hybridMultilevel"/>
    <w:tmpl w:val="623643B0"/>
    <w:lvl w:ilvl="0" w:tplc="FFFFFFFF">
      <w:start w:val="1"/>
      <w:numFmt w:val="decimal"/>
      <w:lvlText w:val="%1."/>
      <w:lvlJc w:val="left"/>
      <w:pPr>
        <w:ind w:left="720" w:hanging="360"/>
      </w:pPr>
      <w:rPr>
        <w:rFonts w:hint="default"/>
      </w:rPr>
    </w:lvl>
    <w:lvl w:ilvl="1" w:tplc="040C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7F982D19"/>
    <w:multiLevelType w:val="hybridMultilevel"/>
    <w:tmpl w:val="CD0AA214"/>
    <w:lvl w:ilvl="0" w:tplc="040C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6270374">
    <w:abstractNumId w:val="1"/>
  </w:num>
  <w:num w:numId="2" w16cid:durableId="1533764642">
    <w:abstractNumId w:val="3"/>
  </w:num>
  <w:num w:numId="3" w16cid:durableId="1246129">
    <w:abstractNumId w:val="6"/>
  </w:num>
  <w:num w:numId="4" w16cid:durableId="1088770206">
    <w:abstractNumId w:val="7"/>
  </w:num>
  <w:num w:numId="5" w16cid:durableId="1263951029">
    <w:abstractNumId w:val="14"/>
  </w:num>
  <w:num w:numId="6" w16cid:durableId="1414083783">
    <w:abstractNumId w:val="10"/>
  </w:num>
  <w:num w:numId="7" w16cid:durableId="922572998">
    <w:abstractNumId w:val="11"/>
  </w:num>
  <w:num w:numId="8" w16cid:durableId="475535663">
    <w:abstractNumId w:val="9"/>
  </w:num>
  <w:num w:numId="9" w16cid:durableId="1231966980">
    <w:abstractNumId w:val="8"/>
  </w:num>
  <w:num w:numId="10" w16cid:durableId="1356617919">
    <w:abstractNumId w:val="4"/>
  </w:num>
  <w:num w:numId="11" w16cid:durableId="7682963">
    <w:abstractNumId w:val="3"/>
  </w:num>
  <w:num w:numId="12" w16cid:durableId="1507940669">
    <w:abstractNumId w:val="0"/>
  </w:num>
  <w:num w:numId="13" w16cid:durableId="1161966457">
    <w:abstractNumId w:val="15"/>
  </w:num>
  <w:num w:numId="14" w16cid:durableId="1915504054">
    <w:abstractNumId w:val="3"/>
  </w:num>
  <w:num w:numId="15" w16cid:durableId="1249774745">
    <w:abstractNumId w:val="3"/>
  </w:num>
  <w:num w:numId="16" w16cid:durableId="1222516422">
    <w:abstractNumId w:val="13"/>
  </w:num>
  <w:num w:numId="17" w16cid:durableId="1713653105">
    <w:abstractNumId w:val="3"/>
  </w:num>
  <w:num w:numId="18" w16cid:durableId="43481295">
    <w:abstractNumId w:val="3"/>
  </w:num>
  <w:num w:numId="19" w16cid:durableId="844127452">
    <w:abstractNumId w:val="3"/>
  </w:num>
  <w:num w:numId="20" w16cid:durableId="968245087">
    <w:abstractNumId w:val="3"/>
  </w:num>
  <w:num w:numId="21" w16cid:durableId="1004278985">
    <w:abstractNumId w:val="3"/>
  </w:num>
  <w:num w:numId="22" w16cid:durableId="2083408157">
    <w:abstractNumId w:val="3"/>
  </w:num>
  <w:num w:numId="23" w16cid:durableId="2092969720">
    <w:abstractNumId w:val="3"/>
  </w:num>
  <w:num w:numId="24" w16cid:durableId="1914966811">
    <w:abstractNumId w:val="3"/>
  </w:num>
  <w:num w:numId="25" w16cid:durableId="1339849937">
    <w:abstractNumId w:val="3"/>
  </w:num>
  <w:num w:numId="26" w16cid:durableId="2137409991">
    <w:abstractNumId w:val="3"/>
  </w:num>
  <w:num w:numId="27" w16cid:durableId="1542014113">
    <w:abstractNumId w:val="3"/>
  </w:num>
  <w:num w:numId="28" w16cid:durableId="566501677">
    <w:abstractNumId w:val="3"/>
  </w:num>
  <w:num w:numId="29" w16cid:durableId="838547963">
    <w:abstractNumId w:val="3"/>
  </w:num>
  <w:num w:numId="30" w16cid:durableId="1665084823">
    <w:abstractNumId w:val="3"/>
  </w:num>
  <w:num w:numId="31" w16cid:durableId="1525286649">
    <w:abstractNumId w:val="5"/>
  </w:num>
  <w:num w:numId="32" w16cid:durableId="896740303">
    <w:abstractNumId w:val="2"/>
  </w:num>
  <w:num w:numId="33" w16cid:durableId="1989241054">
    <w:abstractNumId w:val="3"/>
  </w:num>
  <w:num w:numId="34" w16cid:durableId="1012878187">
    <w:abstractNumId w:val="3"/>
  </w:num>
  <w:num w:numId="35" w16cid:durableId="128276558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92B"/>
    <w:rsid w:val="00007EEB"/>
    <w:rsid w:val="00010B29"/>
    <w:rsid w:val="00012B52"/>
    <w:rsid w:val="00014915"/>
    <w:rsid w:val="00037F43"/>
    <w:rsid w:val="00041362"/>
    <w:rsid w:val="00041A66"/>
    <w:rsid w:val="00042D88"/>
    <w:rsid w:val="0005176E"/>
    <w:rsid w:val="00073CAA"/>
    <w:rsid w:val="000765F7"/>
    <w:rsid w:val="0007725F"/>
    <w:rsid w:val="00077AB7"/>
    <w:rsid w:val="00081CD8"/>
    <w:rsid w:val="000A7F0E"/>
    <w:rsid w:val="000A7F94"/>
    <w:rsid w:val="000B1C8F"/>
    <w:rsid w:val="000C0D61"/>
    <w:rsid w:val="000C608D"/>
    <w:rsid w:val="000C7618"/>
    <w:rsid w:val="000D339E"/>
    <w:rsid w:val="000D449D"/>
    <w:rsid w:val="000D456D"/>
    <w:rsid w:val="000D4F84"/>
    <w:rsid w:val="000E393C"/>
    <w:rsid w:val="000F3A3F"/>
    <w:rsid w:val="001011CD"/>
    <w:rsid w:val="00102557"/>
    <w:rsid w:val="00112F0A"/>
    <w:rsid w:val="001150DD"/>
    <w:rsid w:val="00116936"/>
    <w:rsid w:val="00122E3E"/>
    <w:rsid w:val="0013190B"/>
    <w:rsid w:val="00136194"/>
    <w:rsid w:val="00140D9F"/>
    <w:rsid w:val="00145E65"/>
    <w:rsid w:val="00147A38"/>
    <w:rsid w:val="00163088"/>
    <w:rsid w:val="00164D56"/>
    <w:rsid w:val="00167B10"/>
    <w:rsid w:val="00167F5B"/>
    <w:rsid w:val="0017402F"/>
    <w:rsid w:val="00174E99"/>
    <w:rsid w:val="00190205"/>
    <w:rsid w:val="0019154F"/>
    <w:rsid w:val="001965E1"/>
    <w:rsid w:val="00196C1B"/>
    <w:rsid w:val="001A6740"/>
    <w:rsid w:val="001B0F73"/>
    <w:rsid w:val="001C2DB7"/>
    <w:rsid w:val="001C5DD8"/>
    <w:rsid w:val="001C6C46"/>
    <w:rsid w:val="001D14FE"/>
    <w:rsid w:val="001D5C04"/>
    <w:rsid w:val="001E6C0A"/>
    <w:rsid w:val="001F26CF"/>
    <w:rsid w:val="00203AE0"/>
    <w:rsid w:val="00207141"/>
    <w:rsid w:val="00211850"/>
    <w:rsid w:val="00214880"/>
    <w:rsid w:val="00222A2D"/>
    <w:rsid w:val="00223029"/>
    <w:rsid w:val="00227FBE"/>
    <w:rsid w:val="00234745"/>
    <w:rsid w:val="002350E9"/>
    <w:rsid w:val="002351A6"/>
    <w:rsid w:val="00235324"/>
    <w:rsid w:val="002407AF"/>
    <w:rsid w:val="00245501"/>
    <w:rsid w:val="002516C6"/>
    <w:rsid w:val="00254B26"/>
    <w:rsid w:val="0026221A"/>
    <w:rsid w:val="002736C3"/>
    <w:rsid w:val="0027466B"/>
    <w:rsid w:val="002814F6"/>
    <w:rsid w:val="00282C1F"/>
    <w:rsid w:val="002838A5"/>
    <w:rsid w:val="00285BB4"/>
    <w:rsid w:val="002924E0"/>
    <w:rsid w:val="002A1AB4"/>
    <w:rsid w:val="002C09E3"/>
    <w:rsid w:val="002C6A2C"/>
    <w:rsid w:val="002D1244"/>
    <w:rsid w:val="002D1F8C"/>
    <w:rsid w:val="002D696D"/>
    <w:rsid w:val="002D6DBA"/>
    <w:rsid w:val="002E1AF0"/>
    <w:rsid w:val="002E79CD"/>
    <w:rsid w:val="002F1CB0"/>
    <w:rsid w:val="002F33AC"/>
    <w:rsid w:val="003203E5"/>
    <w:rsid w:val="00334574"/>
    <w:rsid w:val="00337CEB"/>
    <w:rsid w:val="00344B58"/>
    <w:rsid w:val="0034539A"/>
    <w:rsid w:val="00345CB4"/>
    <w:rsid w:val="00371C3C"/>
    <w:rsid w:val="00375D42"/>
    <w:rsid w:val="00384D74"/>
    <w:rsid w:val="00387AE2"/>
    <w:rsid w:val="0039202E"/>
    <w:rsid w:val="003A544C"/>
    <w:rsid w:val="003B2340"/>
    <w:rsid w:val="003B758D"/>
    <w:rsid w:val="003C5B7E"/>
    <w:rsid w:val="003C7739"/>
    <w:rsid w:val="003D069C"/>
    <w:rsid w:val="003D42C7"/>
    <w:rsid w:val="003D5249"/>
    <w:rsid w:val="003D7646"/>
    <w:rsid w:val="003D78D2"/>
    <w:rsid w:val="003F113A"/>
    <w:rsid w:val="003F1FC4"/>
    <w:rsid w:val="003F3E63"/>
    <w:rsid w:val="00406F47"/>
    <w:rsid w:val="00407480"/>
    <w:rsid w:val="004104DD"/>
    <w:rsid w:val="00413A3A"/>
    <w:rsid w:val="00414643"/>
    <w:rsid w:val="00415638"/>
    <w:rsid w:val="0041738D"/>
    <w:rsid w:val="00420B9E"/>
    <w:rsid w:val="00420BE1"/>
    <w:rsid w:val="00422A1A"/>
    <w:rsid w:val="004313C4"/>
    <w:rsid w:val="00431FD8"/>
    <w:rsid w:val="004421E5"/>
    <w:rsid w:val="00444B61"/>
    <w:rsid w:val="00452284"/>
    <w:rsid w:val="00453301"/>
    <w:rsid w:val="0045488F"/>
    <w:rsid w:val="00457C8E"/>
    <w:rsid w:val="00461E6F"/>
    <w:rsid w:val="00464C42"/>
    <w:rsid w:val="00464E02"/>
    <w:rsid w:val="00476D3B"/>
    <w:rsid w:val="00477A26"/>
    <w:rsid w:val="00477DE1"/>
    <w:rsid w:val="00480175"/>
    <w:rsid w:val="00484574"/>
    <w:rsid w:val="004856CA"/>
    <w:rsid w:val="004860F7"/>
    <w:rsid w:val="00487E67"/>
    <w:rsid w:val="004906B7"/>
    <w:rsid w:val="00494D07"/>
    <w:rsid w:val="0049705E"/>
    <w:rsid w:val="004A2875"/>
    <w:rsid w:val="004A34A0"/>
    <w:rsid w:val="004A488F"/>
    <w:rsid w:val="004B3E7C"/>
    <w:rsid w:val="004B588F"/>
    <w:rsid w:val="004C21A5"/>
    <w:rsid w:val="004C7C82"/>
    <w:rsid w:val="004D7E9A"/>
    <w:rsid w:val="004E34F3"/>
    <w:rsid w:val="004E592C"/>
    <w:rsid w:val="004F3F5E"/>
    <w:rsid w:val="005008A8"/>
    <w:rsid w:val="00507A40"/>
    <w:rsid w:val="00517FD8"/>
    <w:rsid w:val="00526B7B"/>
    <w:rsid w:val="005274D2"/>
    <w:rsid w:val="0053084A"/>
    <w:rsid w:val="005308CE"/>
    <w:rsid w:val="005326DB"/>
    <w:rsid w:val="0053318C"/>
    <w:rsid w:val="005353BA"/>
    <w:rsid w:val="0054297C"/>
    <w:rsid w:val="005539FD"/>
    <w:rsid w:val="00553F36"/>
    <w:rsid w:val="00556481"/>
    <w:rsid w:val="00557170"/>
    <w:rsid w:val="005613BA"/>
    <w:rsid w:val="00565F4A"/>
    <w:rsid w:val="0057439C"/>
    <w:rsid w:val="005869D8"/>
    <w:rsid w:val="005920BF"/>
    <w:rsid w:val="005960FA"/>
    <w:rsid w:val="00597E10"/>
    <w:rsid w:val="005B0127"/>
    <w:rsid w:val="005B0F73"/>
    <w:rsid w:val="005B51E6"/>
    <w:rsid w:val="005B68EB"/>
    <w:rsid w:val="005B7A35"/>
    <w:rsid w:val="005C4B73"/>
    <w:rsid w:val="005C6063"/>
    <w:rsid w:val="005D1B00"/>
    <w:rsid w:val="005E1D2B"/>
    <w:rsid w:val="005E7074"/>
    <w:rsid w:val="005E7D0D"/>
    <w:rsid w:val="005F2BAF"/>
    <w:rsid w:val="005F30F5"/>
    <w:rsid w:val="005F3B79"/>
    <w:rsid w:val="005F3D03"/>
    <w:rsid w:val="00600D93"/>
    <w:rsid w:val="006143C9"/>
    <w:rsid w:val="0061755C"/>
    <w:rsid w:val="00626BEA"/>
    <w:rsid w:val="00626DEC"/>
    <w:rsid w:val="0063300C"/>
    <w:rsid w:val="006478C2"/>
    <w:rsid w:val="00651A5B"/>
    <w:rsid w:val="0065440D"/>
    <w:rsid w:val="00655736"/>
    <w:rsid w:val="006565CE"/>
    <w:rsid w:val="00663B8D"/>
    <w:rsid w:val="00664080"/>
    <w:rsid w:val="00665DD0"/>
    <w:rsid w:val="00675070"/>
    <w:rsid w:val="00675699"/>
    <w:rsid w:val="00696C8D"/>
    <w:rsid w:val="006A04AD"/>
    <w:rsid w:val="006A2AC2"/>
    <w:rsid w:val="006A3617"/>
    <w:rsid w:val="006B4452"/>
    <w:rsid w:val="006B48CC"/>
    <w:rsid w:val="006B7EE1"/>
    <w:rsid w:val="006C54CD"/>
    <w:rsid w:val="006D2791"/>
    <w:rsid w:val="006E2613"/>
    <w:rsid w:val="006E380A"/>
    <w:rsid w:val="006E46E4"/>
    <w:rsid w:val="006E75EB"/>
    <w:rsid w:val="006F50EF"/>
    <w:rsid w:val="0070255C"/>
    <w:rsid w:val="00702BC0"/>
    <w:rsid w:val="0071246A"/>
    <w:rsid w:val="00713AA4"/>
    <w:rsid w:val="0071658F"/>
    <w:rsid w:val="00717DA5"/>
    <w:rsid w:val="00727E8E"/>
    <w:rsid w:val="007321E8"/>
    <w:rsid w:val="007333D0"/>
    <w:rsid w:val="00737A60"/>
    <w:rsid w:val="00744484"/>
    <w:rsid w:val="00746F38"/>
    <w:rsid w:val="00747566"/>
    <w:rsid w:val="00761088"/>
    <w:rsid w:val="00761445"/>
    <w:rsid w:val="00763468"/>
    <w:rsid w:val="007643E5"/>
    <w:rsid w:val="00773188"/>
    <w:rsid w:val="00783782"/>
    <w:rsid w:val="00784B8C"/>
    <w:rsid w:val="0078767C"/>
    <w:rsid w:val="007879E1"/>
    <w:rsid w:val="00790260"/>
    <w:rsid w:val="007904A8"/>
    <w:rsid w:val="007917DA"/>
    <w:rsid w:val="00794EFD"/>
    <w:rsid w:val="007A07D0"/>
    <w:rsid w:val="007A4E05"/>
    <w:rsid w:val="007A7F75"/>
    <w:rsid w:val="007B546D"/>
    <w:rsid w:val="007B73CC"/>
    <w:rsid w:val="007B788E"/>
    <w:rsid w:val="007C3B0E"/>
    <w:rsid w:val="007C7BCE"/>
    <w:rsid w:val="007D0DA8"/>
    <w:rsid w:val="007D7717"/>
    <w:rsid w:val="007E024E"/>
    <w:rsid w:val="007E2803"/>
    <w:rsid w:val="007E2E02"/>
    <w:rsid w:val="007E497E"/>
    <w:rsid w:val="007E57AA"/>
    <w:rsid w:val="00807F5E"/>
    <w:rsid w:val="00814F40"/>
    <w:rsid w:val="00815F7D"/>
    <w:rsid w:val="00823A11"/>
    <w:rsid w:val="0085405E"/>
    <w:rsid w:val="0085414A"/>
    <w:rsid w:val="00857EB9"/>
    <w:rsid w:val="0086269D"/>
    <w:rsid w:val="0086543A"/>
    <w:rsid w:val="008724E5"/>
    <w:rsid w:val="00872E15"/>
    <w:rsid w:val="008765C9"/>
    <w:rsid w:val="00884A9D"/>
    <w:rsid w:val="0088512B"/>
    <w:rsid w:val="0089211A"/>
    <w:rsid w:val="008A2B2D"/>
    <w:rsid w:val="008A4E1E"/>
    <w:rsid w:val="008A6458"/>
    <w:rsid w:val="008A6971"/>
    <w:rsid w:val="008B256A"/>
    <w:rsid w:val="008B5E3E"/>
    <w:rsid w:val="008B6F68"/>
    <w:rsid w:val="008C296C"/>
    <w:rsid w:val="008C2EB7"/>
    <w:rsid w:val="008C37AE"/>
    <w:rsid w:val="008D3724"/>
    <w:rsid w:val="008D4305"/>
    <w:rsid w:val="008E01E3"/>
    <w:rsid w:val="008E1A85"/>
    <w:rsid w:val="008E344F"/>
    <w:rsid w:val="008F1ABA"/>
    <w:rsid w:val="008F2EE2"/>
    <w:rsid w:val="008F5A1A"/>
    <w:rsid w:val="0090785D"/>
    <w:rsid w:val="0091492E"/>
    <w:rsid w:val="009163A7"/>
    <w:rsid w:val="009230FD"/>
    <w:rsid w:val="00923319"/>
    <w:rsid w:val="009259C1"/>
    <w:rsid w:val="00926955"/>
    <w:rsid w:val="00937D53"/>
    <w:rsid w:val="00937F44"/>
    <w:rsid w:val="0094493B"/>
    <w:rsid w:val="00946D0B"/>
    <w:rsid w:val="009514B8"/>
    <w:rsid w:val="00955877"/>
    <w:rsid w:val="00962034"/>
    <w:rsid w:val="00975BAC"/>
    <w:rsid w:val="00976551"/>
    <w:rsid w:val="00981B98"/>
    <w:rsid w:val="00993E27"/>
    <w:rsid w:val="009A1727"/>
    <w:rsid w:val="009A18CD"/>
    <w:rsid w:val="009A32F3"/>
    <w:rsid w:val="009D1E55"/>
    <w:rsid w:val="009D5428"/>
    <w:rsid w:val="009D63A9"/>
    <w:rsid w:val="009D7BE5"/>
    <w:rsid w:val="009E03FA"/>
    <w:rsid w:val="009E1A2E"/>
    <w:rsid w:val="009E3F76"/>
    <w:rsid w:val="00A12558"/>
    <w:rsid w:val="00A13903"/>
    <w:rsid w:val="00A24B02"/>
    <w:rsid w:val="00A2735D"/>
    <w:rsid w:val="00A320ED"/>
    <w:rsid w:val="00A34ED5"/>
    <w:rsid w:val="00A35479"/>
    <w:rsid w:val="00A411B0"/>
    <w:rsid w:val="00A453DF"/>
    <w:rsid w:val="00A45DBF"/>
    <w:rsid w:val="00A45F98"/>
    <w:rsid w:val="00A46123"/>
    <w:rsid w:val="00A5465D"/>
    <w:rsid w:val="00A55245"/>
    <w:rsid w:val="00A5649C"/>
    <w:rsid w:val="00A57B8D"/>
    <w:rsid w:val="00A62195"/>
    <w:rsid w:val="00A63428"/>
    <w:rsid w:val="00A72360"/>
    <w:rsid w:val="00A725CF"/>
    <w:rsid w:val="00A755A2"/>
    <w:rsid w:val="00A84618"/>
    <w:rsid w:val="00A91430"/>
    <w:rsid w:val="00A92AF4"/>
    <w:rsid w:val="00AA4690"/>
    <w:rsid w:val="00AA590D"/>
    <w:rsid w:val="00AA6590"/>
    <w:rsid w:val="00AA6660"/>
    <w:rsid w:val="00AB2C36"/>
    <w:rsid w:val="00AB6DDE"/>
    <w:rsid w:val="00AB70B6"/>
    <w:rsid w:val="00AC18C1"/>
    <w:rsid w:val="00AD198E"/>
    <w:rsid w:val="00AD1A86"/>
    <w:rsid w:val="00AD27EF"/>
    <w:rsid w:val="00AD5C46"/>
    <w:rsid w:val="00AE103E"/>
    <w:rsid w:val="00AE15E0"/>
    <w:rsid w:val="00AE7563"/>
    <w:rsid w:val="00AF0500"/>
    <w:rsid w:val="00AF0A07"/>
    <w:rsid w:val="00AF4AEC"/>
    <w:rsid w:val="00AF55F9"/>
    <w:rsid w:val="00AF625E"/>
    <w:rsid w:val="00B051A6"/>
    <w:rsid w:val="00B07C52"/>
    <w:rsid w:val="00B139BE"/>
    <w:rsid w:val="00B15D9C"/>
    <w:rsid w:val="00B20596"/>
    <w:rsid w:val="00B2172B"/>
    <w:rsid w:val="00B25EDC"/>
    <w:rsid w:val="00B322E4"/>
    <w:rsid w:val="00B34428"/>
    <w:rsid w:val="00B3485E"/>
    <w:rsid w:val="00B36918"/>
    <w:rsid w:val="00B40700"/>
    <w:rsid w:val="00B601A6"/>
    <w:rsid w:val="00B6191F"/>
    <w:rsid w:val="00B70CC4"/>
    <w:rsid w:val="00B720EA"/>
    <w:rsid w:val="00B762BD"/>
    <w:rsid w:val="00B76641"/>
    <w:rsid w:val="00B85B73"/>
    <w:rsid w:val="00B917D2"/>
    <w:rsid w:val="00B9337A"/>
    <w:rsid w:val="00B975ED"/>
    <w:rsid w:val="00B97EB3"/>
    <w:rsid w:val="00BA11AE"/>
    <w:rsid w:val="00BA241A"/>
    <w:rsid w:val="00BB04AF"/>
    <w:rsid w:val="00BB4369"/>
    <w:rsid w:val="00BB6EEC"/>
    <w:rsid w:val="00BC55C2"/>
    <w:rsid w:val="00BC6574"/>
    <w:rsid w:val="00BD52C9"/>
    <w:rsid w:val="00BE3B48"/>
    <w:rsid w:val="00BE6354"/>
    <w:rsid w:val="00BF25D3"/>
    <w:rsid w:val="00BF28E0"/>
    <w:rsid w:val="00BF410E"/>
    <w:rsid w:val="00BF6030"/>
    <w:rsid w:val="00BF7D94"/>
    <w:rsid w:val="00C04000"/>
    <w:rsid w:val="00C138D1"/>
    <w:rsid w:val="00C23A97"/>
    <w:rsid w:val="00C24F60"/>
    <w:rsid w:val="00C45FB1"/>
    <w:rsid w:val="00C52EBE"/>
    <w:rsid w:val="00C5776D"/>
    <w:rsid w:val="00C63DF0"/>
    <w:rsid w:val="00C64855"/>
    <w:rsid w:val="00C70EA7"/>
    <w:rsid w:val="00C716C4"/>
    <w:rsid w:val="00C730A0"/>
    <w:rsid w:val="00C7433F"/>
    <w:rsid w:val="00C7516E"/>
    <w:rsid w:val="00C75770"/>
    <w:rsid w:val="00C778D5"/>
    <w:rsid w:val="00C8070F"/>
    <w:rsid w:val="00C82F7E"/>
    <w:rsid w:val="00C83BF1"/>
    <w:rsid w:val="00C96190"/>
    <w:rsid w:val="00CA55B1"/>
    <w:rsid w:val="00CA56BB"/>
    <w:rsid w:val="00CA7420"/>
    <w:rsid w:val="00CB0542"/>
    <w:rsid w:val="00CC0920"/>
    <w:rsid w:val="00CC4A47"/>
    <w:rsid w:val="00CC6305"/>
    <w:rsid w:val="00CC66A6"/>
    <w:rsid w:val="00CD224D"/>
    <w:rsid w:val="00CD3939"/>
    <w:rsid w:val="00CD61B9"/>
    <w:rsid w:val="00CD62DC"/>
    <w:rsid w:val="00CE19FD"/>
    <w:rsid w:val="00CE2EEB"/>
    <w:rsid w:val="00CE79E7"/>
    <w:rsid w:val="00CF0A30"/>
    <w:rsid w:val="00D00B2B"/>
    <w:rsid w:val="00D07CBF"/>
    <w:rsid w:val="00D24877"/>
    <w:rsid w:val="00D32287"/>
    <w:rsid w:val="00D3469C"/>
    <w:rsid w:val="00D363B8"/>
    <w:rsid w:val="00D536ED"/>
    <w:rsid w:val="00D552F5"/>
    <w:rsid w:val="00D57C55"/>
    <w:rsid w:val="00D61FBC"/>
    <w:rsid w:val="00D6326C"/>
    <w:rsid w:val="00D63318"/>
    <w:rsid w:val="00D6781A"/>
    <w:rsid w:val="00D70C80"/>
    <w:rsid w:val="00D7105A"/>
    <w:rsid w:val="00D8250F"/>
    <w:rsid w:val="00D86BB3"/>
    <w:rsid w:val="00D87BAE"/>
    <w:rsid w:val="00D9409B"/>
    <w:rsid w:val="00D95C4C"/>
    <w:rsid w:val="00DA36ED"/>
    <w:rsid w:val="00DB6699"/>
    <w:rsid w:val="00DC17A0"/>
    <w:rsid w:val="00DC5B88"/>
    <w:rsid w:val="00DC7803"/>
    <w:rsid w:val="00DE34F1"/>
    <w:rsid w:val="00DE6160"/>
    <w:rsid w:val="00DF4942"/>
    <w:rsid w:val="00DF738C"/>
    <w:rsid w:val="00E014BF"/>
    <w:rsid w:val="00E06423"/>
    <w:rsid w:val="00E0796C"/>
    <w:rsid w:val="00E1373B"/>
    <w:rsid w:val="00E1574A"/>
    <w:rsid w:val="00E2125F"/>
    <w:rsid w:val="00E244E1"/>
    <w:rsid w:val="00E33408"/>
    <w:rsid w:val="00E4150C"/>
    <w:rsid w:val="00E432EA"/>
    <w:rsid w:val="00E45742"/>
    <w:rsid w:val="00E627B1"/>
    <w:rsid w:val="00E70169"/>
    <w:rsid w:val="00E71E37"/>
    <w:rsid w:val="00E9376C"/>
    <w:rsid w:val="00E95AE2"/>
    <w:rsid w:val="00EA0DF8"/>
    <w:rsid w:val="00EA335E"/>
    <w:rsid w:val="00EA528C"/>
    <w:rsid w:val="00EA580C"/>
    <w:rsid w:val="00EA7F8B"/>
    <w:rsid w:val="00EB1DB8"/>
    <w:rsid w:val="00EC4818"/>
    <w:rsid w:val="00EC6F8D"/>
    <w:rsid w:val="00ED39B2"/>
    <w:rsid w:val="00ED4825"/>
    <w:rsid w:val="00EE49F4"/>
    <w:rsid w:val="00EE65A0"/>
    <w:rsid w:val="00EF2EC1"/>
    <w:rsid w:val="00EF34E2"/>
    <w:rsid w:val="00EF3A89"/>
    <w:rsid w:val="00EF40B3"/>
    <w:rsid w:val="00F05758"/>
    <w:rsid w:val="00F05A5E"/>
    <w:rsid w:val="00F0643E"/>
    <w:rsid w:val="00F1243A"/>
    <w:rsid w:val="00F155C7"/>
    <w:rsid w:val="00F16606"/>
    <w:rsid w:val="00F2319D"/>
    <w:rsid w:val="00F25B4F"/>
    <w:rsid w:val="00F30DC6"/>
    <w:rsid w:val="00F31F96"/>
    <w:rsid w:val="00F32C23"/>
    <w:rsid w:val="00F3526A"/>
    <w:rsid w:val="00F35C15"/>
    <w:rsid w:val="00F53DE9"/>
    <w:rsid w:val="00F576CB"/>
    <w:rsid w:val="00F659B2"/>
    <w:rsid w:val="00F7035D"/>
    <w:rsid w:val="00F70CC5"/>
    <w:rsid w:val="00F71972"/>
    <w:rsid w:val="00F71A02"/>
    <w:rsid w:val="00F76490"/>
    <w:rsid w:val="00F81338"/>
    <w:rsid w:val="00F825C7"/>
    <w:rsid w:val="00F85FC0"/>
    <w:rsid w:val="00FA0D63"/>
    <w:rsid w:val="00FA4A08"/>
    <w:rsid w:val="00FA7878"/>
    <w:rsid w:val="00FB4498"/>
    <w:rsid w:val="00FB4AC5"/>
    <w:rsid w:val="00FD1226"/>
    <w:rsid w:val="00FD23E8"/>
    <w:rsid w:val="00FD4BC8"/>
    <w:rsid w:val="00FF065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basedOn w:val="DefaultParagraphFont"/>
    <w:uiPriority w:val="99"/>
    <w:unhideWhenUsed/>
    <w:rsid w:val="007A07D0"/>
    <w:rPr>
      <w:color w:val="0000FF" w:themeColor="hyperlink"/>
      <w:u w:val="single"/>
    </w:rPr>
  </w:style>
  <w:style w:type="character" w:styleId="UnresolvedMention">
    <w:name w:val="Unresolved Mention"/>
    <w:basedOn w:val="DefaultParagraphFont"/>
    <w:uiPriority w:val="99"/>
    <w:semiHidden/>
    <w:unhideWhenUsed/>
    <w:rsid w:val="00C730A0"/>
    <w:rPr>
      <w:color w:val="605E5C"/>
      <w:shd w:val="clear" w:color="auto" w:fill="E1DFDD"/>
    </w:rPr>
  </w:style>
  <w:style w:type="character" w:customStyle="1" w:styleId="MargeChar">
    <w:name w:val="Marge Char"/>
    <w:link w:val="Marge"/>
    <w:rsid w:val="00D70C80"/>
    <w:rPr>
      <w:rFonts w:ascii="Arial" w:eastAsia="Times New Roman" w:hAnsi="Arial"/>
      <w:snapToGrid w:val="0"/>
      <w:sz w:val="22"/>
      <w:szCs w:val="24"/>
      <w:lang w:eastAsia="en-US"/>
    </w:rPr>
  </w:style>
  <w:style w:type="character" w:styleId="FollowedHyperlink">
    <w:name w:val="FollowedHyperlink"/>
    <w:basedOn w:val="DefaultParagraphFont"/>
    <w:uiPriority w:val="99"/>
    <w:semiHidden/>
    <w:unhideWhenUsed/>
    <w:rsid w:val="000A7F94"/>
    <w:rPr>
      <w:color w:val="800080" w:themeColor="followedHyperlink"/>
      <w:u w:val="single"/>
    </w:rPr>
  </w:style>
  <w:style w:type="character" w:styleId="CommentReference">
    <w:name w:val="annotation reference"/>
    <w:basedOn w:val="DefaultParagraphFont"/>
    <w:uiPriority w:val="99"/>
    <w:semiHidden/>
    <w:unhideWhenUsed/>
    <w:rsid w:val="00012B52"/>
    <w:rPr>
      <w:sz w:val="16"/>
      <w:szCs w:val="16"/>
    </w:rPr>
  </w:style>
  <w:style w:type="paragraph" w:styleId="CommentText">
    <w:name w:val="annotation text"/>
    <w:basedOn w:val="Normal"/>
    <w:link w:val="CommentTextChar"/>
    <w:uiPriority w:val="99"/>
    <w:unhideWhenUsed/>
    <w:rsid w:val="00012B52"/>
    <w:rPr>
      <w:sz w:val="20"/>
      <w:szCs w:val="20"/>
    </w:rPr>
  </w:style>
  <w:style w:type="character" w:customStyle="1" w:styleId="CommentTextChar">
    <w:name w:val="Comment Text Char"/>
    <w:basedOn w:val="DefaultParagraphFont"/>
    <w:link w:val="CommentText"/>
    <w:uiPriority w:val="99"/>
    <w:rsid w:val="00012B52"/>
    <w:rPr>
      <w:rFonts w:ascii="Times New Roman" w:eastAsia="Times New Roman" w:hAnsi="Times New Roman"/>
    </w:rPr>
  </w:style>
  <w:style w:type="paragraph" w:styleId="Revision">
    <w:name w:val="Revision"/>
    <w:hidden/>
    <w:uiPriority w:val="99"/>
    <w:semiHidden/>
    <w:rsid w:val="00D536E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536ED"/>
    <w:rPr>
      <w:b/>
      <w:bCs/>
    </w:rPr>
  </w:style>
  <w:style w:type="character" w:customStyle="1" w:styleId="CommentSubjectChar">
    <w:name w:val="Comment Subject Char"/>
    <w:basedOn w:val="CommentTextChar"/>
    <w:link w:val="CommentSubject"/>
    <w:uiPriority w:val="99"/>
    <w:semiHidden/>
    <w:rsid w:val="00D536E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unesco.org/doc/src/LHE-23-18.COM_WG_ART18-1_EN.docx" TargetMode="External"/><Relationship Id="rId18" Type="http://schemas.openxmlformats.org/officeDocument/2006/relationships/hyperlink" Target="https://ich.unesco.org/en/ethics-and-ich-00866" TargetMode="External"/><Relationship Id="rId26" Type="http://schemas.openxmlformats.org/officeDocument/2006/relationships/hyperlink" Target="https://ich.unesco.org/doc/src/59530-EN.docx" TargetMode="External"/><Relationship Id="rId3" Type="http://schemas.openxmlformats.org/officeDocument/2006/relationships/customXml" Target="../customXml/item3.xml"/><Relationship Id="rId21" Type="http://schemas.openxmlformats.org/officeDocument/2006/relationships/hyperlink" Target="https://ich.unesco.org/doc/src/LHE-23-18.COM_EXP-4_EN.docx" TargetMode="External"/><Relationship Id="rId7" Type="http://schemas.openxmlformats.org/officeDocument/2006/relationships/settings" Target="settings.xml"/><Relationship Id="rId12" Type="http://schemas.openxmlformats.org/officeDocument/2006/relationships/hyperlink" Target="https://ich.unesco.org/en/Decisions/17.COM/10" TargetMode="External"/><Relationship Id="rId17" Type="http://schemas.openxmlformats.org/officeDocument/2006/relationships/hyperlink" Target="https://ich.unesco.org/en/Decisions/16.COM/14" TargetMode="External"/><Relationship Id="rId25" Type="http://schemas.openxmlformats.org/officeDocument/2006/relationships/hyperlink" Target="https://ich.unesco.org/en/ethics-and-ich-00866" TargetMode="External"/><Relationship Id="rId2" Type="http://schemas.openxmlformats.org/officeDocument/2006/relationships/customXml" Target="../customXml/item2.xml"/><Relationship Id="rId16" Type="http://schemas.openxmlformats.org/officeDocument/2006/relationships/hyperlink" Target="https://ich.unesco.org/doc/src/LHE-23-18.COM_WG_ART18-4_EN.docx" TargetMode="External"/><Relationship Id="rId20" Type="http://schemas.openxmlformats.org/officeDocument/2006/relationships/hyperlink" Target="https://ich.unesco.org/doc/src/LHE-23-18.COM_WG_ART18-2_EN.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h.unesco.org/en/Decisions/16.COM/14" TargetMode="External"/><Relationship Id="rId24" Type="http://schemas.openxmlformats.org/officeDocument/2006/relationships/hyperlink" Target="https://ich.unesco.org/en/Decisions/16.COM/14" TargetMode="External"/><Relationship Id="rId5" Type="http://schemas.openxmlformats.org/officeDocument/2006/relationships/numbering" Target="numbering.xml"/><Relationship Id="rId15" Type="http://schemas.openxmlformats.org/officeDocument/2006/relationships/hyperlink" Target="https://ich.unesco.org/doc/src/LHE-23-18.COM_EXP-4_EN.docx" TargetMode="External"/><Relationship Id="rId23" Type="http://schemas.openxmlformats.org/officeDocument/2006/relationships/hyperlink" Target="https://ich.unesco.org/doc/src/LHE-21-EXP-7-EN.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ch.unesco.org/doc/src/LHE-23-EXP_ART18-2_REV_F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doc/src/LHE-23-18.COM_WG_ART18-2_EN.docx" TargetMode="External"/><Relationship Id="rId22" Type="http://schemas.openxmlformats.org/officeDocument/2006/relationships/hyperlink" Target="https://ich.unesco.org/en/Decisions/8.COM/5.c.1"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e4f8f0-4686-4fb5-a761-1192f8270d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8" ma:contentTypeDescription="Create a new document." ma:contentTypeScope="" ma:versionID="ebdf6c1b4f55cf3a9d5953cbd3347eff">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25a1cd4137d0ea7b21584e84e9fb43b7"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1F915-EEC6-4422-8246-C8C2B270F1F8}">
  <ds:schemaRefs>
    <ds:schemaRef ds:uri="http://purl.org/dc/elements/1.1/"/>
    <ds:schemaRef ds:uri="a519c9a6-63c0-402b-bba8-e6b0902b5865"/>
    <ds:schemaRef ds:uri="http://schemas.microsoft.com/office/2006/metadata/properties"/>
    <ds:schemaRef ds:uri="http://schemas.microsoft.com/office/2006/documentManagement/types"/>
    <ds:schemaRef ds:uri="http://purl.org/dc/terms/"/>
    <ds:schemaRef ds:uri="60e4f8f0-4686-4fb5-a761-1192f8270dd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customXml/itemProps3.xml><?xml version="1.0" encoding="utf-8"?>
<ds:datastoreItem xmlns:ds="http://schemas.openxmlformats.org/officeDocument/2006/customXml" ds:itemID="{39665F26-E48A-418C-A1F4-58ADDC5C4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0DB9A-A880-45D1-A307-BE221CE03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TotalTime>
  <Pages>8</Pages>
  <Words>4052</Words>
  <Characters>22292</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6</cp:revision>
  <cp:lastPrinted>2023-06-07T13:50:00Z</cp:lastPrinted>
  <dcterms:created xsi:type="dcterms:W3CDTF">2023-06-30T14:12:00Z</dcterms:created>
  <dcterms:modified xsi:type="dcterms:W3CDTF">2023-06-30T19:42:00Z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