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0791AB9C" w:rsidR="00EC6F8D" w:rsidRPr="0036251B" w:rsidRDefault="00EC6F8D" w:rsidP="00EC6F8D">
      <w:pPr>
        <w:spacing w:before="1440"/>
        <w:jc w:val="center"/>
        <w:rPr>
          <w:rFonts w:ascii="Arial" w:hAnsi="Arial" w:cs="Arial"/>
          <w:b/>
          <w:sz w:val="22"/>
          <w:szCs w:val="22"/>
          <w:lang w:val="en-GB"/>
        </w:rPr>
      </w:pPr>
      <w:r w:rsidRPr="0036251B">
        <w:rPr>
          <w:rFonts w:ascii="Arial" w:hAnsi="Arial" w:cs="Arial"/>
          <w:b/>
          <w:sz w:val="22"/>
          <w:szCs w:val="22"/>
          <w:lang w:val="en-GB"/>
        </w:rPr>
        <w:t>CONVENTION FOR THE SAFEGUARDING OF THE</w:t>
      </w:r>
      <w:r w:rsidRPr="0036251B">
        <w:rPr>
          <w:rFonts w:ascii="Arial" w:hAnsi="Arial" w:cs="Arial"/>
          <w:b/>
          <w:sz w:val="22"/>
          <w:szCs w:val="22"/>
          <w:lang w:val="en-GB"/>
        </w:rPr>
        <w:br/>
        <w:t>INTANGIBLE CULTURAL HERITAGE</w:t>
      </w:r>
    </w:p>
    <w:p w14:paraId="626CD28A" w14:textId="04ED2635" w:rsidR="00E06423" w:rsidRPr="0036251B" w:rsidRDefault="0078767C" w:rsidP="00E06423">
      <w:pPr>
        <w:spacing w:before="1200"/>
        <w:ind w:right="-1"/>
        <w:jc w:val="center"/>
        <w:rPr>
          <w:rFonts w:ascii="Arial" w:eastAsia="Calibri" w:hAnsi="Arial" w:cs="Arial"/>
          <w:b/>
          <w:bCs/>
          <w:sz w:val="22"/>
          <w:szCs w:val="22"/>
          <w:lang w:val="en-US"/>
        </w:rPr>
      </w:pPr>
      <w:bookmarkStart w:id="0" w:name="_Hlk70514086"/>
      <w:r w:rsidRPr="0036251B">
        <w:rPr>
          <w:rFonts w:ascii="Arial" w:eastAsia="Calibri" w:hAnsi="Arial" w:cs="Arial"/>
          <w:b/>
          <w:bCs/>
          <w:sz w:val="22"/>
          <w:szCs w:val="22"/>
          <w:lang w:val="en-US"/>
        </w:rPr>
        <w:t>Open-ended intergovernmental working group</w:t>
      </w:r>
    </w:p>
    <w:p w14:paraId="4AB83F65" w14:textId="18DF695E" w:rsidR="00E06423" w:rsidRPr="0036251B" w:rsidRDefault="0078767C" w:rsidP="00E06423">
      <w:pPr>
        <w:jc w:val="center"/>
        <w:rPr>
          <w:rFonts w:ascii="Arial" w:eastAsia="Calibri" w:hAnsi="Arial" w:cs="Arial"/>
          <w:b/>
          <w:bCs/>
          <w:sz w:val="22"/>
          <w:szCs w:val="22"/>
          <w:lang w:val="en-US"/>
        </w:rPr>
      </w:pPr>
      <w:r w:rsidRPr="0036251B">
        <w:rPr>
          <w:rFonts w:ascii="Arial" w:eastAsia="Calibri" w:hAnsi="Arial" w:cs="Arial"/>
          <w:b/>
          <w:bCs/>
          <w:sz w:val="22"/>
          <w:szCs w:val="22"/>
          <w:lang w:val="en-US"/>
        </w:rPr>
        <w:t>in the</w:t>
      </w:r>
      <w:r w:rsidR="00E06423" w:rsidRPr="0036251B">
        <w:rPr>
          <w:rFonts w:ascii="Arial" w:eastAsia="Calibri" w:hAnsi="Arial" w:cs="Arial"/>
          <w:b/>
          <w:bCs/>
          <w:sz w:val="22"/>
          <w:szCs w:val="22"/>
          <w:lang w:val="en-US"/>
        </w:rPr>
        <w:t xml:space="preserve"> </w:t>
      </w:r>
      <w:r w:rsidRPr="0036251B">
        <w:rPr>
          <w:rFonts w:ascii="Arial" w:eastAsia="Calibri" w:hAnsi="Arial" w:cs="Arial"/>
          <w:b/>
          <w:bCs/>
          <w:sz w:val="22"/>
          <w:szCs w:val="22"/>
          <w:lang w:val="en-US"/>
        </w:rPr>
        <w:t>framework of</w:t>
      </w:r>
      <w:r w:rsidR="00E06423" w:rsidRPr="0036251B">
        <w:rPr>
          <w:rFonts w:ascii="Arial" w:eastAsia="Calibri" w:hAnsi="Arial" w:cs="Arial"/>
          <w:b/>
          <w:bCs/>
          <w:sz w:val="22"/>
          <w:szCs w:val="22"/>
          <w:lang w:val="en-US"/>
        </w:rPr>
        <w:t xml:space="preserve"> </w:t>
      </w:r>
      <w:r w:rsidRPr="0036251B">
        <w:rPr>
          <w:rFonts w:ascii="Arial" w:eastAsia="Calibri" w:hAnsi="Arial" w:cs="Arial"/>
          <w:b/>
          <w:bCs/>
          <w:sz w:val="22"/>
          <w:szCs w:val="22"/>
          <w:lang w:val="en-US"/>
        </w:rPr>
        <w:t>the reflection on a broader implementation of Article 18 of the</w:t>
      </w:r>
    </w:p>
    <w:p w14:paraId="307EC764" w14:textId="73DB9A38" w:rsidR="0078767C" w:rsidRPr="0036251B" w:rsidRDefault="0078767C" w:rsidP="00E06423">
      <w:pPr>
        <w:jc w:val="center"/>
        <w:rPr>
          <w:rFonts w:ascii="Arial" w:eastAsia="Calibri" w:hAnsi="Arial" w:cs="Arial"/>
          <w:b/>
          <w:bCs/>
          <w:sz w:val="22"/>
          <w:szCs w:val="22"/>
          <w:lang w:val="en-US" w:eastAsia="en-US"/>
        </w:rPr>
      </w:pPr>
      <w:r w:rsidRPr="0036251B">
        <w:rPr>
          <w:rFonts w:ascii="Arial" w:eastAsia="Calibri" w:hAnsi="Arial" w:cs="Arial"/>
          <w:b/>
          <w:bCs/>
          <w:sz w:val="22"/>
          <w:szCs w:val="22"/>
          <w:lang w:val="en-US"/>
        </w:rPr>
        <w:t>2003</w:t>
      </w:r>
      <w:r w:rsidR="00E06423" w:rsidRPr="0036251B">
        <w:rPr>
          <w:rFonts w:ascii="Arial" w:eastAsia="Calibri" w:hAnsi="Arial" w:cs="Arial"/>
          <w:b/>
          <w:bCs/>
          <w:sz w:val="22"/>
          <w:szCs w:val="22"/>
          <w:lang w:val="en-US"/>
        </w:rPr>
        <w:t xml:space="preserve"> </w:t>
      </w:r>
      <w:r w:rsidRPr="0036251B">
        <w:rPr>
          <w:rFonts w:ascii="Arial" w:eastAsia="Calibri" w:hAnsi="Arial" w:cs="Arial"/>
          <w:b/>
          <w:bCs/>
          <w:sz w:val="22"/>
          <w:szCs w:val="22"/>
          <w:lang w:val="en-US"/>
        </w:rPr>
        <w:t>Convention</w:t>
      </w:r>
      <w:r w:rsidR="00E06423" w:rsidRPr="0036251B">
        <w:rPr>
          <w:rFonts w:ascii="Arial" w:eastAsia="Calibri" w:hAnsi="Arial" w:cs="Arial"/>
          <w:b/>
          <w:bCs/>
          <w:sz w:val="22"/>
          <w:szCs w:val="22"/>
          <w:lang w:val="en-US"/>
        </w:rPr>
        <w:t xml:space="preserve"> </w:t>
      </w:r>
      <w:r w:rsidRPr="0036251B">
        <w:rPr>
          <w:rFonts w:ascii="Arial" w:eastAsia="Calibri" w:hAnsi="Arial" w:cs="Arial"/>
          <w:b/>
          <w:bCs/>
          <w:sz w:val="22"/>
          <w:szCs w:val="22"/>
          <w:lang w:val="en-US"/>
        </w:rPr>
        <w:t>for the Safeguarding of the Intangible Cultural Heritage</w:t>
      </w:r>
    </w:p>
    <w:bookmarkEnd w:id="0"/>
    <w:p w14:paraId="2E1CD4B4" w14:textId="07963914" w:rsidR="00EC6F8D" w:rsidRPr="0036251B" w:rsidRDefault="0078767C" w:rsidP="001D14FE">
      <w:pPr>
        <w:spacing w:before="840"/>
        <w:jc w:val="center"/>
        <w:rPr>
          <w:rFonts w:ascii="Arial" w:hAnsi="Arial" w:cs="Arial"/>
          <w:b/>
          <w:sz w:val="22"/>
          <w:szCs w:val="22"/>
          <w:lang w:val="en-GB"/>
        </w:rPr>
      </w:pPr>
      <w:r w:rsidRPr="0036251B">
        <w:rPr>
          <w:rFonts w:ascii="Arial" w:hAnsi="Arial" w:cs="Arial"/>
          <w:b/>
          <w:sz w:val="22"/>
          <w:szCs w:val="22"/>
          <w:lang w:val="en-GB"/>
        </w:rPr>
        <w:t xml:space="preserve">UNESCO Headquarters, Room </w:t>
      </w:r>
      <w:r w:rsidR="008F167A" w:rsidRPr="0036251B">
        <w:rPr>
          <w:rFonts w:ascii="Arial" w:hAnsi="Arial" w:cs="Arial"/>
          <w:b/>
          <w:sz w:val="22"/>
          <w:szCs w:val="22"/>
          <w:lang w:val="en-GB"/>
        </w:rPr>
        <w:t>X</w:t>
      </w:r>
      <w:r w:rsidR="002F33AC" w:rsidRPr="0036251B">
        <w:rPr>
          <w:rFonts w:ascii="Arial" w:hAnsi="Arial" w:cs="Arial"/>
          <w:b/>
          <w:sz w:val="22"/>
          <w:szCs w:val="22"/>
          <w:lang w:val="en-GB"/>
        </w:rPr>
        <w:t>I</w:t>
      </w:r>
    </w:p>
    <w:p w14:paraId="1FD89575" w14:textId="2CF5E4D0" w:rsidR="00B2172B" w:rsidRPr="0036251B" w:rsidRDefault="0078767C" w:rsidP="00B2172B">
      <w:pPr>
        <w:jc w:val="center"/>
        <w:rPr>
          <w:rFonts w:ascii="Arial" w:hAnsi="Arial" w:cs="Arial"/>
          <w:b/>
          <w:sz w:val="22"/>
          <w:szCs w:val="22"/>
          <w:lang w:val="en-GB"/>
        </w:rPr>
      </w:pPr>
      <w:r w:rsidRPr="0036251B">
        <w:rPr>
          <w:rFonts w:ascii="Arial" w:hAnsi="Arial" w:cs="Arial"/>
          <w:b/>
          <w:sz w:val="22"/>
          <w:szCs w:val="22"/>
          <w:lang w:val="en-GB"/>
        </w:rPr>
        <w:t>4 to 6 July 2023</w:t>
      </w:r>
    </w:p>
    <w:p w14:paraId="0365203A" w14:textId="711644E4" w:rsidR="00EC6F8D" w:rsidRPr="0036251B" w:rsidRDefault="00EC6F8D" w:rsidP="00EC6F8D">
      <w:pPr>
        <w:pStyle w:val="Sansinterligne2"/>
        <w:spacing w:before="1200"/>
        <w:jc w:val="center"/>
        <w:rPr>
          <w:rFonts w:ascii="Arial" w:hAnsi="Arial" w:cs="Arial"/>
          <w:b/>
          <w:sz w:val="22"/>
          <w:szCs w:val="22"/>
          <w:lang w:val="en-GB"/>
        </w:rPr>
      </w:pPr>
      <w:r w:rsidRPr="0036251B">
        <w:rPr>
          <w:rFonts w:ascii="Arial" w:hAnsi="Arial" w:cs="Arial"/>
          <w:b/>
          <w:sz w:val="22"/>
          <w:szCs w:val="22"/>
          <w:u w:val="single"/>
          <w:lang w:val="en-GB"/>
        </w:rPr>
        <w:t xml:space="preserve">Item </w:t>
      </w:r>
      <w:r w:rsidR="00437B21" w:rsidRPr="0036251B">
        <w:rPr>
          <w:rFonts w:ascii="Arial" w:hAnsi="Arial" w:cs="Arial"/>
          <w:b/>
          <w:sz w:val="22"/>
          <w:szCs w:val="22"/>
          <w:u w:val="single"/>
          <w:lang w:val="en-GB"/>
        </w:rPr>
        <w:t>2</w:t>
      </w:r>
      <w:r w:rsidRPr="0036251B">
        <w:rPr>
          <w:rFonts w:ascii="Arial" w:hAnsi="Arial" w:cs="Arial"/>
          <w:b/>
          <w:sz w:val="22"/>
          <w:szCs w:val="22"/>
          <w:lang w:val="en-GB"/>
        </w:rPr>
        <w:t>:</w:t>
      </w:r>
    </w:p>
    <w:p w14:paraId="1616E923" w14:textId="77777777" w:rsidR="007B3D37" w:rsidRPr="0036251B" w:rsidRDefault="007B3D37" w:rsidP="007B3D37">
      <w:pPr>
        <w:pStyle w:val="Sansinterligne2"/>
        <w:jc w:val="center"/>
        <w:rPr>
          <w:rFonts w:ascii="Arial" w:hAnsi="Arial" w:cs="Arial"/>
          <w:b/>
          <w:sz w:val="22"/>
          <w:szCs w:val="22"/>
          <w:lang w:val="en-GB"/>
        </w:rPr>
      </w:pPr>
      <w:r w:rsidRPr="0036251B">
        <w:rPr>
          <w:rFonts w:ascii="Arial" w:hAnsi="Arial" w:cs="Arial"/>
          <w:b/>
          <w:sz w:val="22"/>
          <w:szCs w:val="22"/>
          <w:lang w:val="en-GB"/>
        </w:rPr>
        <w:t>A new reflection on a broader implementation of Article 18 of the Convention:</w:t>
      </w:r>
    </w:p>
    <w:p w14:paraId="59920478" w14:textId="534841F3" w:rsidR="004A2875" w:rsidRPr="0036251B" w:rsidRDefault="00E417E5" w:rsidP="004A2875">
      <w:pPr>
        <w:pStyle w:val="Sansinterligne2"/>
        <w:spacing w:after="960"/>
        <w:jc w:val="center"/>
        <w:rPr>
          <w:rFonts w:ascii="Arial" w:hAnsi="Arial" w:cs="Arial"/>
          <w:bCs/>
          <w:sz w:val="22"/>
          <w:szCs w:val="22"/>
          <w:lang w:val="en-GB"/>
        </w:rPr>
      </w:pPr>
      <w:r w:rsidRPr="0036251B">
        <w:rPr>
          <w:rFonts w:ascii="Arial" w:hAnsi="Arial" w:cs="Arial"/>
          <w:b/>
          <w:sz w:val="22"/>
          <w:szCs w:val="22"/>
          <w:lang w:val="en-GB"/>
        </w:rPr>
        <w:t>Progress to date</w:t>
      </w:r>
      <w:r w:rsidR="00876DCA" w:rsidRPr="0036251B">
        <w:rPr>
          <w:rFonts w:ascii="Arial" w:hAnsi="Arial" w:cs="Arial"/>
          <w:b/>
          <w:sz w:val="22"/>
          <w:szCs w:val="22"/>
          <w:lang w:val="en-GB"/>
        </w:rPr>
        <w:t xml:space="preserve"> and meeting objectives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251B" w14:paraId="75AC6221" w14:textId="77777777" w:rsidTr="00EC6F8D">
        <w:trPr>
          <w:jc w:val="center"/>
        </w:trPr>
        <w:tc>
          <w:tcPr>
            <w:tcW w:w="5670" w:type="dxa"/>
            <w:vAlign w:val="center"/>
          </w:tcPr>
          <w:p w14:paraId="51C260A9" w14:textId="77777777" w:rsidR="00EC6F8D" w:rsidRPr="0036251B" w:rsidRDefault="00EC6F8D" w:rsidP="00CA56BB">
            <w:pPr>
              <w:pStyle w:val="Sansinterligne1"/>
              <w:spacing w:before="200" w:after="200"/>
              <w:jc w:val="center"/>
              <w:rPr>
                <w:rFonts w:ascii="Arial" w:hAnsi="Arial" w:cs="Arial"/>
                <w:b/>
                <w:sz w:val="22"/>
                <w:szCs w:val="22"/>
                <w:lang w:val="en-GB"/>
              </w:rPr>
            </w:pPr>
            <w:r w:rsidRPr="0036251B">
              <w:rPr>
                <w:rFonts w:ascii="Arial" w:hAnsi="Arial" w:cs="Arial"/>
                <w:b/>
                <w:sz w:val="22"/>
                <w:szCs w:val="22"/>
                <w:lang w:val="en-GB"/>
              </w:rPr>
              <w:t>Summary</w:t>
            </w:r>
          </w:p>
          <w:p w14:paraId="290310E8" w14:textId="16E5E9A9" w:rsidR="00EC6F8D" w:rsidRPr="0036251B" w:rsidRDefault="00807902" w:rsidP="00C45AED">
            <w:pPr>
              <w:pStyle w:val="Sansinterligne1"/>
              <w:spacing w:after="120"/>
              <w:jc w:val="both"/>
              <w:rPr>
                <w:rFonts w:ascii="Arial" w:hAnsi="Arial" w:cs="Arial"/>
                <w:bCs/>
                <w:sz w:val="22"/>
                <w:szCs w:val="22"/>
                <w:lang w:val="en-GB"/>
              </w:rPr>
            </w:pPr>
            <w:r w:rsidRPr="0036251B">
              <w:rPr>
                <w:rFonts w:ascii="Arial" w:hAnsi="Arial" w:cs="Arial"/>
                <w:sz w:val="22"/>
                <w:szCs w:val="22"/>
                <w:lang w:val="en-GB"/>
              </w:rPr>
              <w:t xml:space="preserve">In 2021, the Committee launched a reflection on a broader implementation of Article 18 of the 2003 Convention to explore the full potential of this provision (Decision </w:t>
            </w:r>
            <w:hyperlink r:id="rId8" w:history="1">
              <w:r w:rsidRPr="0036251B">
                <w:rPr>
                  <w:rStyle w:val="Hyperlink"/>
                  <w:rFonts w:ascii="Arial" w:hAnsi="Arial" w:cs="Arial"/>
                  <w:sz w:val="22"/>
                  <w:szCs w:val="22"/>
                  <w:lang w:val="en-GB"/>
                </w:rPr>
                <w:t>16.COM 14</w:t>
              </w:r>
            </w:hyperlink>
            <w:r w:rsidRPr="0036251B">
              <w:rPr>
                <w:rFonts w:ascii="Arial" w:hAnsi="Arial" w:cs="Arial"/>
                <w:sz w:val="22"/>
                <w:szCs w:val="22"/>
                <w:lang w:val="en-GB"/>
              </w:rPr>
              <w:t>)</w:t>
            </w:r>
            <w:r w:rsidR="00B67CF4" w:rsidRPr="0036251B">
              <w:rPr>
                <w:rFonts w:ascii="Arial" w:hAnsi="Arial" w:cs="Arial"/>
                <w:sz w:val="22"/>
                <w:szCs w:val="22"/>
                <w:lang w:val="en-GB"/>
              </w:rPr>
              <w:t xml:space="preserve"> and established an Open-ended intergovernmental working group</w:t>
            </w:r>
            <w:r w:rsidRPr="0036251B">
              <w:rPr>
                <w:rFonts w:ascii="Arial" w:hAnsi="Arial" w:cs="Arial"/>
                <w:sz w:val="22"/>
                <w:szCs w:val="22"/>
                <w:lang w:val="en-GB"/>
              </w:rPr>
              <w:t xml:space="preserve">. </w:t>
            </w:r>
            <w:r w:rsidR="00637991" w:rsidRPr="0036251B">
              <w:rPr>
                <w:rFonts w:ascii="Arial" w:hAnsi="Arial" w:cs="Arial"/>
                <w:sz w:val="22"/>
                <w:szCs w:val="22"/>
                <w:lang w:val="en-GB"/>
              </w:rPr>
              <w:t>The present document summarizes the reflection process and outlines the objectives and working methods proposed for the meeting</w:t>
            </w:r>
            <w:r w:rsidR="00B67CF4" w:rsidRPr="0036251B">
              <w:rPr>
                <w:rFonts w:ascii="Arial" w:hAnsi="Arial" w:cs="Arial"/>
                <w:sz w:val="22"/>
                <w:szCs w:val="22"/>
                <w:lang w:val="en-GB"/>
              </w:rPr>
              <w:t xml:space="preserve"> of the working group</w:t>
            </w:r>
            <w:r w:rsidR="00637991" w:rsidRPr="0036251B">
              <w:rPr>
                <w:rFonts w:ascii="Arial" w:hAnsi="Arial" w:cs="Arial"/>
                <w:sz w:val="22"/>
                <w:szCs w:val="22"/>
                <w:lang w:val="en-GB"/>
              </w:rPr>
              <w:t>.</w:t>
            </w:r>
          </w:p>
        </w:tc>
      </w:tr>
    </w:tbl>
    <w:p w14:paraId="4E6884A5" w14:textId="77777777" w:rsidR="00C45AED" w:rsidRPr="0036251B" w:rsidRDefault="00C45AED" w:rsidP="00C45AED">
      <w:pPr>
        <w:pStyle w:val="COMPara"/>
        <w:keepNext/>
        <w:numPr>
          <w:ilvl w:val="0"/>
          <w:numId w:val="0"/>
        </w:numPr>
        <w:spacing w:before="240"/>
        <w:ind w:left="567"/>
        <w:jc w:val="both"/>
        <w:rPr>
          <w:b/>
          <w:bCs/>
        </w:rPr>
      </w:pPr>
      <w:bookmarkStart w:id="1" w:name="_Hlk124351255"/>
    </w:p>
    <w:p w14:paraId="40B0FAA1" w14:textId="77777777" w:rsidR="00C45AED" w:rsidRPr="0036251B" w:rsidRDefault="00C45AED">
      <w:pPr>
        <w:rPr>
          <w:rFonts w:ascii="Arial" w:hAnsi="Arial" w:cs="Arial"/>
          <w:b/>
          <w:bCs/>
          <w:snapToGrid w:val="0"/>
          <w:sz w:val="22"/>
          <w:szCs w:val="22"/>
          <w:lang w:val="en-GB" w:eastAsia="en-US"/>
        </w:rPr>
      </w:pPr>
      <w:r w:rsidRPr="0036251B">
        <w:rPr>
          <w:b/>
          <w:bCs/>
          <w:lang w:val="en-US"/>
        </w:rPr>
        <w:br w:type="page"/>
      </w:r>
    </w:p>
    <w:p w14:paraId="6C62585F" w14:textId="1AB584B6" w:rsidR="00F70CC5" w:rsidRPr="0036251B" w:rsidRDefault="00FD4BC8" w:rsidP="00154C87">
      <w:pPr>
        <w:pStyle w:val="COMPara"/>
        <w:keepNext/>
        <w:numPr>
          <w:ilvl w:val="0"/>
          <w:numId w:val="0"/>
        </w:numPr>
        <w:spacing w:before="240"/>
        <w:jc w:val="both"/>
        <w:rPr>
          <w:b/>
          <w:bCs/>
        </w:rPr>
      </w:pPr>
      <w:r w:rsidRPr="0036251B">
        <w:rPr>
          <w:b/>
          <w:bCs/>
        </w:rPr>
        <w:lastRenderedPageBreak/>
        <w:t>Background</w:t>
      </w:r>
    </w:p>
    <w:bookmarkEnd w:id="1"/>
    <w:p w14:paraId="5FA2B7DB" w14:textId="626A5A75" w:rsidR="0057439C" w:rsidRPr="0036251B" w:rsidRDefault="00737253" w:rsidP="00AE7A17">
      <w:pPr>
        <w:pStyle w:val="COMPara"/>
        <w:ind w:left="567" w:hanging="567"/>
        <w:jc w:val="both"/>
      </w:pPr>
      <w:r w:rsidRPr="0036251B">
        <w:t xml:space="preserve">The present document aims to provide background information concerning the Open-ended intergovernmental working group, which was established by the sixteenth session of the Committee </w:t>
      </w:r>
      <w:r w:rsidR="001B623E" w:rsidRPr="0036251B">
        <w:t xml:space="preserve">(Decision </w:t>
      </w:r>
      <w:hyperlink r:id="rId9" w:history="1">
        <w:r w:rsidR="001B623E" w:rsidRPr="0036251B">
          <w:rPr>
            <w:rStyle w:val="Hyperlink"/>
          </w:rPr>
          <w:t>16.COM</w:t>
        </w:r>
        <w:r w:rsidR="006944E0" w:rsidRPr="0036251B">
          <w:rPr>
            <w:rStyle w:val="Hyperlink"/>
          </w:rPr>
          <w:t> </w:t>
        </w:r>
        <w:r w:rsidR="001B623E" w:rsidRPr="0036251B">
          <w:rPr>
            <w:rStyle w:val="Hyperlink"/>
          </w:rPr>
          <w:t>14</w:t>
        </w:r>
      </w:hyperlink>
      <w:r w:rsidR="001B623E" w:rsidRPr="0036251B">
        <w:t>)</w:t>
      </w:r>
      <w:r w:rsidR="00455352" w:rsidRPr="0036251B">
        <w:t>,</w:t>
      </w:r>
      <w:r w:rsidR="001B623E" w:rsidRPr="0036251B">
        <w:t xml:space="preserve"> </w:t>
      </w:r>
      <w:r w:rsidRPr="0036251B">
        <w:t>to reflect on a broader implementation of Article 18 of the Convention for the Safeguarding of the Intangible Cultural Heritage (hereafter ‘the Convention’).</w:t>
      </w:r>
    </w:p>
    <w:p w14:paraId="053F512D" w14:textId="588C3342" w:rsidR="000C12F9" w:rsidRPr="0036251B" w:rsidRDefault="00BA6498" w:rsidP="00AE7A17">
      <w:pPr>
        <w:pStyle w:val="COMPara"/>
        <w:ind w:left="567" w:hanging="567"/>
        <w:jc w:val="both"/>
      </w:pPr>
      <w:r w:rsidRPr="0036251B">
        <w:t>W</w:t>
      </w:r>
      <w:r w:rsidR="00131BFA" w:rsidRPr="0036251B">
        <w:t xml:space="preserve">ith three paragraphs, </w:t>
      </w:r>
      <w:r w:rsidR="001B5321" w:rsidRPr="0036251B">
        <w:t xml:space="preserve">Article 18 concerns the selection and sharing of </w:t>
      </w:r>
      <w:r w:rsidR="00A330E0" w:rsidRPr="0036251B">
        <w:t xml:space="preserve">programmes, projects and activities </w:t>
      </w:r>
      <w:r w:rsidR="000130DB" w:rsidRPr="0036251B">
        <w:t xml:space="preserve">(or ‘programmes’) </w:t>
      </w:r>
      <w:r w:rsidR="00A330E0" w:rsidRPr="0036251B">
        <w:t>for living heritage safeguarding that best reflect the principles and objectives of the Convention:</w:t>
      </w:r>
    </w:p>
    <w:p w14:paraId="24ED34C8" w14:textId="77777777" w:rsidR="009136F6" w:rsidRPr="0036251B" w:rsidRDefault="009136F6" w:rsidP="009136F6">
      <w:pPr>
        <w:pStyle w:val="1GAPara"/>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u w:val="single"/>
          <w:lang w:val="en-GB"/>
        </w:rPr>
      </w:pPr>
      <w:r w:rsidRPr="0036251B">
        <w:rPr>
          <w:u w:val="single"/>
          <w:lang w:val="en-GB"/>
        </w:rPr>
        <w:t>Article 18</w:t>
      </w:r>
    </w:p>
    <w:p w14:paraId="3B0EA603" w14:textId="77777777" w:rsidR="009136F6" w:rsidRPr="0036251B" w:rsidRDefault="009136F6" w:rsidP="00AE7A17">
      <w:pPr>
        <w:pStyle w:val="1GAPara"/>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lang w:val="en-GB"/>
        </w:rPr>
      </w:pPr>
      <w:r w:rsidRPr="0036251B">
        <w:rPr>
          <w:lang w:val="en-GB"/>
        </w:rPr>
        <w:t xml:space="preserve">On the basis of proposals submitted by States Parties, and in accordance with criteria to be defined by the Committee and approved by the General Assembly, the Committee shall periodically select and promote national, subregional and regional programmes, projects and activities for the safeguarding of the heritage which it considers best reflects the principles and objectives of this Convention, </w:t>
      </w:r>
      <w:proofErr w:type="gramStart"/>
      <w:r w:rsidRPr="0036251B">
        <w:rPr>
          <w:lang w:val="en-GB"/>
        </w:rPr>
        <w:t>taking into account</w:t>
      </w:r>
      <w:proofErr w:type="gramEnd"/>
      <w:r w:rsidRPr="0036251B">
        <w:rPr>
          <w:lang w:val="en-GB"/>
        </w:rPr>
        <w:t xml:space="preserve"> the special needs of developing countries.</w:t>
      </w:r>
    </w:p>
    <w:p w14:paraId="3C039443" w14:textId="77777777" w:rsidR="009136F6" w:rsidRPr="0036251B" w:rsidRDefault="009136F6" w:rsidP="00AE7A17">
      <w:pPr>
        <w:pStyle w:val="1GAPara"/>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lang w:val="en-GB"/>
        </w:rPr>
      </w:pPr>
      <w:r w:rsidRPr="0036251B">
        <w:rPr>
          <w:lang w:val="en-GB"/>
        </w:rPr>
        <w:t>To this end, it shall receive, examine and approve requests for International Assistance from States Parties for the preparation of such proposals.</w:t>
      </w:r>
    </w:p>
    <w:p w14:paraId="705B99A4" w14:textId="77777777" w:rsidR="009136F6" w:rsidRPr="0036251B" w:rsidRDefault="009136F6" w:rsidP="00AE7A17">
      <w:pPr>
        <w:pStyle w:val="1GAPara"/>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lang w:val="en-GB"/>
        </w:rPr>
      </w:pPr>
      <w:r w:rsidRPr="0036251B">
        <w:rPr>
          <w:lang w:val="en-GB"/>
        </w:rPr>
        <w:t>The Committee shall accompany the implementation of such projects, programmes and activities by disseminating best practices using means to be determined by it.</w:t>
      </w:r>
    </w:p>
    <w:p w14:paraId="6774DAFB" w14:textId="77777777" w:rsidR="009D40E5" w:rsidRPr="0036251B" w:rsidRDefault="009D40E5" w:rsidP="009D40E5">
      <w:pPr>
        <w:pStyle w:val="COMPara"/>
        <w:numPr>
          <w:ilvl w:val="0"/>
          <w:numId w:val="0"/>
        </w:numPr>
        <w:spacing w:before="240"/>
        <w:ind w:left="567"/>
        <w:jc w:val="both"/>
        <w:rPr>
          <w:u w:val="single"/>
        </w:rPr>
      </w:pPr>
      <w:r w:rsidRPr="0036251B">
        <w:rPr>
          <w:u w:val="single"/>
        </w:rPr>
        <w:t>The Register of Good Safeguarding Practices as part of the listing system</w:t>
      </w:r>
    </w:p>
    <w:p w14:paraId="493E5340" w14:textId="19352B85" w:rsidR="009D40E5" w:rsidRPr="0036251B" w:rsidRDefault="00900024" w:rsidP="00AE7A17">
      <w:pPr>
        <w:pStyle w:val="COMPara"/>
        <w:ind w:left="567" w:hanging="567"/>
        <w:jc w:val="both"/>
      </w:pPr>
      <w:r w:rsidRPr="0036251B">
        <w:t xml:space="preserve">Above all, Article 18 </w:t>
      </w:r>
      <w:r w:rsidR="00AC5363" w:rsidRPr="0036251B">
        <w:t xml:space="preserve">– and particularly its paragraph 1 – </w:t>
      </w:r>
      <w:r w:rsidRPr="0036251B">
        <w:t>is implemented through t</w:t>
      </w:r>
      <w:r w:rsidR="002471D8" w:rsidRPr="0036251B">
        <w:t>he international listing system of the Convention</w:t>
      </w:r>
      <w:r w:rsidR="008374EF" w:rsidRPr="0036251B">
        <w:t>,</w:t>
      </w:r>
      <w:r w:rsidR="002471D8" w:rsidRPr="0036251B">
        <w:t xml:space="preserve"> </w:t>
      </w:r>
      <w:r w:rsidRPr="0036251B">
        <w:t xml:space="preserve">which </w:t>
      </w:r>
      <w:r w:rsidR="002471D8" w:rsidRPr="0036251B">
        <w:t>is composed of three mechanisms:</w:t>
      </w:r>
    </w:p>
    <w:p w14:paraId="0197D1DD" w14:textId="30345430" w:rsidR="002471D8" w:rsidRPr="0036251B" w:rsidRDefault="00A200C1" w:rsidP="00AE7A17">
      <w:pPr>
        <w:pStyle w:val="COMPara"/>
        <w:numPr>
          <w:ilvl w:val="0"/>
          <w:numId w:val="10"/>
        </w:numPr>
        <w:jc w:val="both"/>
      </w:pPr>
      <w:r w:rsidRPr="0036251B">
        <w:t>T</w:t>
      </w:r>
      <w:r w:rsidR="000B301B" w:rsidRPr="0036251B">
        <w:t>he Representative List of the Intangible Cultural Heritage (hereafter, ‘the Representative List’)</w:t>
      </w:r>
      <w:r w:rsidR="008374EF" w:rsidRPr="0036251B">
        <w:t>;</w:t>
      </w:r>
    </w:p>
    <w:p w14:paraId="34D2A0AD" w14:textId="682897E7" w:rsidR="002471D8" w:rsidRPr="0036251B" w:rsidRDefault="00A200C1" w:rsidP="00AE7A17">
      <w:pPr>
        <w:pStyle w:val="COMPara"/>
        <w:numPr>
          <w:ilvl w:val="0"/>
          <w:numId w:val="10"/>
        </w:numPr>
        <w:jc w:val="both"/>
      </w:pPr>
      <w:r w:rsidRPr="0036251B">
        <w:t>T</w:t>
      </w:r>
      <w:r w:rsidR="000B301B" w:rsidRPr="0036251B">
        <w:t>he List of Intangible Cultural Heritage in Need of Urgent Safeguarding (hereafter, ‘the Urgent Safeguarding List’)</w:t>
      </w:r>
      <w:r w:rsidR="008374EF" w:rsidRPr="0036251B">
        <w:t>;</w:t>
      </w:r>
    </w:p>
    <w:p w14:paraId="087BC4CC" w14:textId="5E9350BD" w:rsidR="000B301B" w:rsidRPr="0036251B" w:rsidRDefault="00A200C1" w:rsidP="00AE7A17">
      <w:pPr>
        <w:pStyle w:val="COMPara"/>
        <w:numPr>
          <w:ilvl w:val="0"/>
          <w:numId w:val="10"/>
        </w:numPr>
        <w:jc w:val="both"/>
      </w:pPr>
      <w:r w:rsidRPr="0036251B">
        <w:t>The Register</w:t>
      </w:r>
      <w:r w:rsidR="00013DE9" w:rsidRPr="0036251B">
        <w:t xml:space="preserve"> </w:t>
      </w:r>
      <w:r w:rsidR="00D43464" w:rsidRPr="0036251B">
        <w:t xml:space="preserve">of </w:t>
      </w:r>
      <w:r w:rsidR="002471D8" w:rsidRPr="0036251B">
        <w:t xml:space="preserve">programmes, projects and activities that best reflect the principles and objectives of the Convention </w:t>
      </w:r>
      <w:r w:rsidR="00D43464" w:rsidRPr="0036251B">
        <w:t>(hereafter, ‘the Register</w:t>
      </w:r>
      <w:r w:rsidR="002471D8" w:rsidRPr="0036251B">
        <w:t xml:space="preserve"> of Good Safeguarding Practices</w:t>
      </w:r>
      <w:r w:rsidR="00D43464" w:rsidRPr="0036251B">
        <w:t>’).</w:t>
      </w:r>
    </w:p>
    <w:p w14:paraId="30F0BF18" w14:textId="09771A11" w:rsidR="00E3331B" w:rsidRPr="0036251B" w:rsidRDefault="00A200C1" w:rsidP="00AE7A17">
      <w:pPr>
        <w:pStyle w:val="COMPara"/>
        <w:ind w:left="567" w:hanging="567"/>
        <w:jc w:val="both"/>
      </w:pPr>
      <w:r w:rsidRPr="0036251B">
        <w:t>While Article</w:t>
      </w:r>
      <w:r w:rsidR="004F4D72" w:rsidRPr="0036251B">
        <w:t>s</w:t>
      </w:r>
      <w:r w:rsidRPr="0036251B">
        <w:t xml:space="preserve"> 16 and 17 clearly mention the Representative List and the Urgent Safeguarding List, respectively, </w:t>
      </w:r>
      <w:r w:rsidR="00562D8B" w:rsidRPr="0036251B">
        <w:t xml:space="preserve">Article 18 </w:t>
      </w:r>
      <w:r w:rsidRPr="0036251B">
        <w:t>does not refer to</w:t>
      </w:r>
      <w:r w:rsidR="0025150F" w:rsidRPr="0036251B">
        <w:t xml:space="preserve"> </w:t>
      </w:r>
      <w:r w:rsidR="00562D8B" w:rsidRPr="0036251B">
        <w:t xml:space="preserve">the Register of Good Safeguarding Practices </w:t>
      </w:r>
      <w:r w:rsidR="0025150F" w:rsidRPr="0036251B">
        <w:t xml:space="preserve">as such. </w:t>
      </w:r>
      <w:r w:rsidRPr="0036251B">
        <w:t>The Register</w:t>
      </w:r>
      <w:r w:rsidR="002E21B2" w:rsidRPr="0036251B">
        <w:t xml:space="preserve"> was </w:t>
      </w:r>
      <w:r w:rsidRPr="0036251B">
        <w:t>established</w:t>
      </w:r>
      <w:r w:rsidR="002E21B2" w:rsidRPr="0036251B">
        <w:t xml:space="preserve"> by the governing bodies of the 2003 Convention </w:t>
      </w:r>
      <w:r w:rsidR="00E31AB2" w:rsidRPr="0036251B">
        <w:t xml:space="preserve">– </w:t>
      </w:r>
      <w:r w:rsidR="004F4D72" w:rsidRPr="0036251B">
        <w:t xml:space="preserve">the </w:t>
      </w:r>
      <w:r w:rsidR="00E31AB2" w:rsidRPr="0036251B">
        <w:t xml:space="preserve">Intergovernmental Committee and the General Assembly – </w:t>
      </w:r>
      <w:r w:rsidR="002E21B2" w:rsidRPr="0036251B">
        <w:t>when</w:t>
      </w:r>
      <w:r w:rsidR="00E31AB2" w:rsidRPr="0036251B">
        <w:t xml:space="preserve"> </w:t>
      </w:r>
      <w:r w:rsidR="002E21B2" w:rsidRPr="0036251B">
        <w:t>they sought to find a</w:t>
      </w:r>
      <w:r w:rsidRPr="0036251B">
        <w:t xml:space="preserve"> way to </w:t>
      </w:r>
      <w:r w:rsidR="002620DC" w:rsidRPr="0036251B">
        <w:t>put into practice the scope of</w:t>
      </w:r>
      <w:r w:rsidR="004B580F" w:rsidRPr="0036251B">
        <w:t xml:space="preserve"> </w:t>
      </w:r>
      <w:r w:rsidRPr="0036251B">
        <w:t>A</w:t>
      </w:r>
      <w:r w:rsidR="00E3331B" w:rsidRPr="0036251B">
        <w:t>rticle</w:t>
      </w:r>
      <w:r w:rsidR="002E21B2" w:rsidRPr="0036251B">
        <w:t xml:space="preserve"> </w:t>
      </w:r>
      <w:r w:rsidRPr="0036251B">
        <w:t xml:space="preserve">18 </w:t>
      </w:r>
      <w:r w:rsidR="002E21B2" w:rsidRPr="0036251B">
        <w:t>during the preparation of the first set of Operational Directives.</w:t>
      </w:r>
    </w:p>
    <w:p w14:paraId="66A880B1" w14:textId="4CD9CCF5" w:rsidR="00E3331B" w:rsidRPr="0036251B" w:rsidRDefault="00E3331B" w:rsidP="00AE7A17">
      <w:pPr>
        <w:pStyle w:val="COMPara"/>
        <w:ind w:left="567" w:hanging="567"/>
        <w:jc w:val="both"/>
      </w:pPr>
      <w:r w:rsidRPr="0036251B">
        <w:t>The idea of including the notion of ‘best practices’ in the future normative instrument in fact appeared early on in the preparation of the Convention. It was discussed in March 2002 during the second meeting of experts that UNESCO organized to prepare the drafting process of the Convention (Rio de Janeiro, Brazil, January 2002). The 2003 Convention was to be based specifically on the experience gained through the programme for the Proclamation of the Masterpieces of the Oral and Intangible Heritage of Humanity and on ‘best practices for safeguarding and protecting intangible cultural heritage’</w:t>
      </w:r>
      <w:r w:rsidRPr="0036251B">
        <w:rPr>
          <w:rStyle w:val="FootnoteReference"/>
        </w:rPr>
        <w:footnoteReference w:id="1"/>
      </w:r>
      <w:r w:rsidRPr="0036251B">
        <w:t xml:space="preserve">. While the wording evolved during the different stages of the preparation of the Convention, the general understanding survived, </w:t>
      </w:r>
      <w:r w:rsidR="004F4D72" w:rsidRPr="0036251B">
        <w:t>surfacing</w:t>
      </w:r>
      <w:r w:rsidRPr="0036251B">
        <w:t xml:space="preserve"> in the form of a Register of Good </w:t>
      </w:r>
      <w:r w:rsidR="00562D8B" w:rsidRPr="0036251B">
        <w:t xml:space="preserve">[then ‘Best’] </w:t>
      </w:r>
      <w:r w:rsidRPr="0036251B">
        <w:t xml:space="preserve">Safeguarding Practices when the second session of the General Assembly in 2008 approved the first </w:t>
      </w:r>
      <w:r w:rsidR="00671521" w:rsidRPr="0036251B">
        <w:t xml:space="preserve">edition </w:t>
      </w:r>
      <w:r w:rsidRPr="0036251B">
        <w:t xml:space="preserve">of </w:t>
      </w:r>
      <w:r w:rsidR="0031706C" w:rsidRPr="0036251B">
        <w:t xml:space="preserve">the </w:t>
      </w:r>
      <w:r w:rsidRPr="0036251B">
        <w:t>Operational Directives of the Convention</w:t>
      </w:r>
      <w:r w:rsidR="0031706C" w:rsidRPr="0036251B">
        <w:t xml:space="preserve"> (in paragraph 54)</w:t>
      </w:r>
      <w:r w:rsidRPr="0036251B">
        <w:t>.</w:t>
      </w:r>
    </w:p>
    <w:p w14:paraId="060BA45A" w14:textId="42485926" w:rsidR="00710D65" w:rsidRPr="0036251B" w:rsidRDefault="00710D65" w:rsidP="00AE7A17">
      <w:pPr>
        <w:pStyle w:val="COMPara"/>
        <w:ind w:left="567" w:hanging="567"/>
        <w:jc w:val="both"/>
      </w:pPr>
      <w:r w:rsidRPr="0036251B">
        <w:lastRenderedPageBreak/>
        <w:t xml:space="preserve">The Register became operational in 2009. </w:t>
      </w:r>
      <w:r w:rsidR="0031706C" w:rsidRPr="0036251B">
        <w:t>After successive amendments, i</w:t>
      </w:r>
      <w:r w:rsidRPr="0036251B">
        <w:t xml:space="preserve">n the </w:t>
      </w:r>
      <w:r w:rsidR="0031706C" w:rsidRPr="0036251B">
        <w:t xml:space="preserve">2022 version of the </w:t>
      </w:r>
      <w:r w:rsidRPr="0036251B">
        <w:t xml:space="preserve">Operational Directives, the functioning of the Register </w:t>
      </w:r>
      <w:r w:rsidR="0031706C" w:rsidRPr="0036251B">
        <w:t>i</w:t>
      </w:r>
      <w:r w:rsidRPr="0036251B">
        <w:t xml:space="preserve">s specified </w:t>
      </w:r>
      <w:r w:rsidR="00BE15CC" w:rsidRPr="0036251B">
        <w:t>under sub-chapter I.13 (</w:t>
      </w:r>
      <w:r w:rsidRPr="0036251B">
        <w:t>paragraphs 42 to 46</w:t>
      </w:r>
      <w:r w:rsidR="00BE15CC" w:rsidRPr="0036251B">
        <w:t>)</w:t>
      </w:r>
      <w:r w:rsidRPr="0036251B">
        <w:t xml:space="preserve"> and nine selection criteria were developed </w:t>
      </w:r>
      <w:r w:rsidR="00090884" w:rsidRPr="0036251B">
        <w:t>under sub-chapter I.3 of the Operational Directives (</w:t>
      </w:r>
      <w:r w:rsidRPr="0036251B">
        <w:t>paragraph</w:t>
      </w:r>
      <w:r w:rsidR="00090884" w:rsidRPr="0036251B">
        <w:t>s</w:t>
      </w:r>
      <w:r w:rsidRPr="0036251B">
        <w:t xml:space="preserve"> </w:t>
      </w:r>
      <w:r w:rsidR="00090884" w:rsidRPr="0036251B">
        <w:t xml:space="preserve">3 to </w:t>
      </w:r>
      <w:r w:rsidRPr="0036251B">
        <w:t>7</w:t>
      </w:r>
      <w:r w:rsidR="00090884" w:rsidRPr="0036251B">
        <w:t>)</w:t>
      </w:r>
      <w:r w:rsidRPr="0036251B">
        <w:t xml:space="preserve"> which determined the structure of Form ICH-03, to be used for submitting </w:t>
      </w:r>
      <w:r w:rsidR="006B54CD" w:rsidRPr="0036251B">
        <w:t xml:space="preserve">proposals </w:t>
      </w:r>
      <w:r w:rsidRPr="0036251B">
        <w:t>of programmes, projects and activities for selection as ‘</w:t>
      </w:r>
      <w:r w:rsidR="0031706C" w:rsidRPr="0036251B">
        <w:t>good</w:t>
      </w:r>
      <w:r w:rsidRPr="0036251B">
        <w:t xml:space="preserve"> </w:t>
      </w:r>
      <w:proofErr w:type="gramStart"/>
      <w:r w:rsidRPr="0036251B">
        <w:t>practices’</w:t>
      </w:r>
      <w:proofErr w:type="gramEnd"/>
      <w:r w:rsidRPr="0036251B">
        <w:t>.</w:t>
      </w:r>
    </w:p>
    <w:p w14:paraId="00743995" w14:textId="4E53DFB8" w:rsidR="0057439C" w:rsidRPr="0036251B" w:rsidRDefault="00DB79B9" w:rsidP="00DB79B9">
      <w:pPr>
        <w:pStyle w:val="COMPara"/>
        <w:numPr>
          <w:ilvl w:val="0"/>
          <w:numId w:val="0"/>
        </w:numPr>
        <w:ind w:left="567"/>
        <w:jc w:val="both"/>
        <w:rPr>
          <w:u w:val="single"/>
        </w:rPr>
      </w:pPr>
      <w:r w:rsidRPr="0036251B">
        <w:rPr>
          <w:u w:val="single"/>
        </w:rPr>
        <w:t>Underutilization of the Register of Good Safeguarding Practices</w:t>
      </w:r>
    </w:p>
    <w:p w14:paraId="7773C474" w14:textId="35D03F52" w:rsidR="0037790B" w:rsidRPr="0036251B" w:rsidRDefault="0037790B" w:rsidP="00AE7A17">
      <w:pPr>
        <w:pStyle w:val="COMPara"/>
        <w:ind w:left="567" w:hanging="567"/>
        <w:jc w:val="both"/>
      </w:pPr>
      <w:r w:rsidRPr="0036251B">
        <w:t>While it was innovative for a normative instrument to include a listing mechanism for sharing good practices, the Register has been underutilized compared to the other two listing mechanisms of the Convention. The Committee has so far inscribed a total of 676 living heritage elements, practised in 140 countries. The Representative List is the most used mechanism, containing 567 elements (</w:t>
      </w:r>
      <w:r w:rsidR="00197C26" w:rsidRPr="0036251B">
        <w:t xml:space="preserve">83,88%; </w:t>
      </w:r>
      <w:r w:rsidRPr="0036251B">
        <w:t>corresponding to 136 States Parties), while 76 elements are included in the Urgent Safeguarding List (</w:t>
      </w:r>
      <w:r w:rsidR="00197C26" w:rsidRPr="0036251B">
        <w:t xml:space="preserve">11,24%; </w:t>
      </w:r>
      <w:r w:rsidRPr="0036251B">
        <w:t>corresponding to 40 States</w:t>
      </w:r>
      <w:r w:rsidR="0041604B" w:rsidRPr="0036251B">
        <w:t xml:space="preserve"> Parties</w:t>
      </w:r>
      <w:r w:rsidRPr="0036251B">
        <w:t>). Only thirty-three good practices (</w:t>
      </w:r>
      <w:r w:rsidR="00197C26" w:rsidRPr="0036251B">
        <w:t xml:space="preserve">4,88%; </w:t>
      </w:r>
      <w:r w:rsidRPr="0036251B">
        <w:t xml:space="preserve">corresponding to </w:t>
      </w:r>
      <w:r w:rsidR="000F1357" w:rsidRPr="0036251B">
        <w:t>31</w:t>
      </w:r>
      <w:r w:rsidR="0063346B" w:rsidRPr="0036251B">
        <w:t xml:space="preserve"> </w:t>
      </w:r>
      <w:r w:rsidRPr="0036251B">
        <w:t>States</w:t>
      </w:r>
      <w:r w:rsidR="00074EB4" w:rsidRPr="0036251B">
        <w:t xml:space="preserve"> Parties</w:t>
      </w:r>
      <w:r w:rsidRPr="0036251B">
        <w:t xml:space="preserve">) </w:t>
      </w:r>
      <w:r w:rsidR="0063346B" w:rsidRPr="0036251B">
        <w:t xml:space="preserve">have been </w:t>
      </w:r>
      <w:r w:rsidRPr="0036251B">
        <w:t>included in the Register</w:t>
      </w:r>
      <w:r w:rsidR="0063346B" w:rsidRPr="0036251B">
        <w:t xml:space="preserve"> so far</w:t>
      </w:r>
      <w:r w:rsidRPr="0036251B">
        <w:t xml:space="preserve">. Full information on each of the inscribed elements and selected good practices can be accessed through the webpage of the 2003 Convention </w:t>
      </w:r>
      <w:r w:rsidR="00074EB4" w:rsidRPr="0036251B">
        <w:t>related to</w:t>
      </w:r>
      <w:r w:rsidRPr="0036251B">
        <w:t xml:space="preserve"> the listing mechanisms: </w:t>
      </w:r>
      <w:hyperlink r:id="rId10" w:history="1">
        <w:r w:rsidRPr="0036251B">
          <w:rPr>
            <w:rStyle w:val="Hyperlink"/>
          </w:rPr>
          <w:t>https://ich.unesco.org/en/lists</w:t>
        </w:r>
      </w:hyperlink>
      <w:r w:rsidRPr="0036251B">
        <w:t>.</w:t>
      </w:r>
    </w:p>
    <w:p w14:paraId="5A9790BD" w14:textId="05F15895" w:rsidR="00721CBB" w:rsidRPr="0036251B" w:rsidRDefault="00CC6970" w:rsidP="00AE7A17">
      <w:pPr>
        <w:pStyle w:val="COMPara"/>
        <w:ind w:left="567" w:hanging="567"/>
        <w:jc w:val="both"/>
      </w:pPr>
      <w:r w:rsidRPr="0036251B">
        <w:t xml:space="preserve">For the purpose of Article 18, the geographical distribution of the selected programmes, projects and activities </w:t>
      </w:r>
      <w:r w:rsidR="0063346B" w:rsidRPr="0036251B">
        <w:t xml:space="preserve">has </w:t>
      </w:r>
      <w:r w:rsidRPr="0036251B">
        <w:t>not been balanced across the regions</w:t>
      </w:r>
      <w:r w:rsidR="0063346B" w:rsidRPr="0036251B">
        <w:t>,</w:t>
      </w:r>
      <w:r w:rsidRPr="0036251B">
        <w:t xml:space="preserve"> as demonstrated below</w:t>
      </w:r>
      <w:r w:rsidR="0063346B" w:rsidRPr="0036251B">
        <w:t>.</w:t>
      </w:r>
      <w:r w:rsidRPr="0036251B">
        <w:t xml:space="preserve"> </w:t>
      </w:r>
      <w:r w:rsidR="009F0E56" w:rsidRPr="0036251B">
        <w:t xml:space="preserve">More than half of the </w:t>
      </w:r>
      <w:r w:rsidR="0063346B" w:rsidRPr="0036251B">
        <w:t xml:space="preserve">selected programmes </w:t>
      </w:r>
      <w:r w:rsidR="009F0E56" w:rsidRPr="0036251B">
        <w:t xml:space="preserve">come from Electoral Groups I and II </w:t>
      </w:r>
      <w:r w:rsidR="0063346B" w:rsidRPr="0036251B">
        <w:t>combined</w:t>
      </w:r>
      <w:r w:rsidR="009F0E56" w:rsidRPr="0036251B">
        <w:t>, while Electoral Groups V</w:t>
      </w:r>
      <w:r w:rsidR="000F1357" w:rsidRPr="0036251B">
        <w:t>(</w:t>
      </w:r>
      <w:r w:rsidR="009F0E56" w:rsidRPr="0036251B">
        <w:t>a) and V</w:t>
      </w:r>
      <w:r w:rsidR="000F1357" w:rsidRPr="0036251B">
        <w:t>(</w:t>
      </w:r>
      <w:r w:rsidR="009F0E56" w:rsidRPr="0036251B">
        <w:t xml:space="preserve">b) are significantly under-represented. </w:t>
      </w:r>
      <w:r w:rsidR="006944E0" w:rsidRPr="0036251B">
        <w:t xml:space="preserve">The non-observance of the principle of equitable geographic distribution advocated in paragraph 6 of the Operational Directives </w:t>
      </w:r>
      <w:r w:rsidR="00E02711" w:rsidRPr="0036251B">
        <w:t>is</w:t>
      </w:r>
      <w:r w:rsidR="009F0E56" w:rsidRPr="0036251B">
        <w:t xml:space="preserve"> therefore</w:t>
      </w:r>
      <w:r w:rsidR="00E02711" w:rsidRPr="0036251B">
        <w:t xml:space="preserve"> of further concern.</w:t>
      </w:r>
    </w:p>
    <w:tbl>
      <w:tblPr>
        <w:tblStyle w:val="TableGrid"/>
        <w:tblW w:w="0" w:type="auto"/>
        <w:tblInd w:w="567" w:type="dxa"/>
        <w:tblLook w:val="04A0" w:firstRow="1" w:lastRow="0" w:firstColumn="1" w:lastColumn="0" w:noHBand="0" w:noVBand="1"/>
      </w:tblPr>
      <w:tblGrid>
        <w:gridCol w:w="1834"/>
        <w:gridCol w:w="1204"/>
        <w:gridCol w:w="1205"/>
        <w:gridCol w:w="1204"/>
        <w:gridCol w:w="1205"/>
        <w:gridCol w:w="1204"/>
        <w:gridCol w:w="1205"/>
      </w:tblGrid>
      <w:tr w:rsidR="00E02711" w:rsidRPr="0036251B" w14:paraId="70B4BEB6" w14:textId="77777777" w:rsidTr="00C56406">
        <w:tc>
          <w:tcPr>
            <w:tcW w:w="1834" w:type="dxa"/>
            <w:shd w:val="clear" w:color="auto" w:fill="D9D9D9" w:themeFill="background1" w:themeFillShade="D9"/>
          </w:tcPr>
          <w:p w14:paraId="0C54940E" w14:textId="150D0B4D" w:rsidR="00E02711" w:rsidRPr="0036251B" w:rsidRDefault="00E02711" w:rsidP="00E02711">
            <w:pPr>
              <w:pStyle w:val="COMPara"/>
              <w:numPr>
                <w:ilvl w:val="0"/>
                <w:numId w:val="0"/>
              </w:numPr>
              <w:jc w:val="both"/>
              <w:rPr>
                <w:sz w:val="18"/>
                <w:szCs w:val="18"/>
              </w:rPr>
            </w:pPr>
            <w:r w:rsidRPr="0036251B">
              <w:rPr>
                <w:sz w:val="18"/>
                <w:szCs w:val="18"/>
              </w:rPr>
              <w:t>Electoral Group</w:t>
            </w:r>
          </w:p>
        </w:tc>
        <w:tc>
          <w:tcPr>
            <w:tcW w:w="1204" w:type="dxa"/>
            <w:shd w:val="clear" w:color="auto" w:fill="D9D9D9" w:themeFill="background1" w:themeFillShade="D9"/>
          </w:tcPr>
          <w:p w14:paraId="23C09C67" w14:textId="1BA1BB09" w:rsidR="00E02711" w:rsidRPr="0036251B" w:rsidRDefault="00E02711" w:rsidP="00E02711">
            <w:pPr>
              <w:pStyle w:val="COMPara"/>
              <w:numPr>
                <w:ilvl w:val="0"/>
                <w:numId w:val="0"/>
              </w:numPr>
              <w:jc w:val="both"/>
              <w:rPr>
                <w:sz w:val="18"/>
                <w:szCs w:val="18"/>
              </w:rPr>
            </w:pPr>
            <w:r w:rsidRPr="0036251B">
              <w:rPr>
                <w:sz w:val="18"/>
                <w:szCs w:val="18"/>
              </w:rPr>
              <w:t>I</w:t>
            </w:r>
          </w:p>
        </w:tc>
        <w:tc>
          <w:tcPr>
            <w:tcW w:w="1205" w:type="dxa"/>
            <w:shd w:val="clear" w:color="auto" w:fill="D9D9D9" w:themeFill="background1" w:themeFillShade="D9"/>
          </w:tcPr>
          <w:p w14:paraId="2F3CE18D" w14:textId="2316A010" w:rsidR="00E02711" w:rsidRPr="0036251B" w:rsidRDefault="00E02711" w:rsidP="00E02711">
            <w:pPr>
              <w:pStyle w:val="COMPara"/>
              <w:numPr>
                <w:ilvl w:val="0"/>
                <w:numId w:val="0"/>
              </w:numPr>
              <w:jc w:val="both"/>
              <w:rPr>
                <w:sz w:val="18"/>
                <w:szCs w:val="18"/>
              </w:rPr>
            </w:pPr>
            <w:r w:rsidRPr="0036251B">
              <w:rPr>
                <w:sz w:val="18"/>
                <w:szCs w:val="18"/>
              </w:rPr>
              <w:t>II</w:t>
            </w:r>
          </w:p>
        </w:tc>
        <w:tc>
          <w:tcPr>
            <w:tcW w:w="1204" w:type="dxa"/>
            <w:shd w:val="clear" w:color="auto" w:fill="D9D9D9" w:themeFill="background1" w:themeFillShade="D9"/>
          </w:tcPr>
          <w:p w14:paraId="4DA5B8A9" w14:textId="315BAEA2" w:rsidR="00E02711" w:rsidRPr="0036251B" w:rsidRDefault="00E02711" w:rsidP="00E02711">
            <w:pPr>
              <w:pStyle w:val="COMPara"/>
              <w:numPr>
                <w:ilvl w:val="0"/>
                <w:numId w:val="0"/>
              </w:numPr>
              <w:jc w:val="both"/>
              <w:rPr>
                <w:sz w:val="18"/>
                <w:szCs w:val="18"/>
              </w:rPr>
            </w:pPr>
            <w:r w:rsidRPr="0036251B">
              <w:rPr>
                <w:sz w:val="18"/>
                <w:szCs w:val="18"/>
              </w:rPr>
              <w:t>III</w:t>
            </w:r>
          </w:p>
        </w:tc>
        <w:tc>
          <w:tcPr>
            <w:tcW w:w="1205" w:type="dxa"/>
            <w:shd w:val="clear" w:color="auto" w:fill="D9D9D9" w:themeFill="background1" w:themeFillShade="D9"/>
          </w:tcPr>
          <w:p w14:paraId="69AA0E73" w14:textId="3AC1CDE6" w:rsidR="00E02711" w:rsidRPr="0036251B" w:rsidRDefault="00E02711" w:rsidP="00E02711">
            <w:pPr>
              <w:pStyle w:val="COMPara"/>
              <w:numPr>
                <w:ilvl w:val="0"/>
                <w:numId w:val="0"/>
              </w:numPr>
              <w:jc w:val="both"/>
              <w:rPr>
                <w:sz w:val="18"/>
                <w:szCs w:val="18"/>
              </w:rPr>
            </w:pPr>
            <w:r w:rsidRPr="0036251B">
              <w:rPr>
                <w:sz w:val="18"/>
                <w:szCs w:val="18"/>
              </w:rPr>
              <w:t>IV</w:t>
            </w:r>
          </w:p>
        </w:tc>
        <w:tc>
          <w:tcPr>
            <w:tcW w:w="1204" w:type="dxa"/>
            <w:shd w:val="clear" w:color="auto" w:fill="D9D9D9" w:themeFill="background1" w:themeFillShade="D9"/>
          </w:tcPr>
          <w:p w14:paraId="3BF93090" w14:textId="1119EAE8" w:rsidR="00E02711" w:rsidRPr="0036251B" w:rsidRDefault="00E02711" w:rsidP="00E02711">
            <w:pPr>
              <w:pStyle w:val="COMPara"/>
              <w:numPr>
                <w:ilvl w:val="0"/>
                <w:numId w:val="0"/>
              </w:numPr>
              <w:jc w:val="both"/>
              <w:rPr>
                <w:sz w:val="18"/>
                <w:szCs w:val="18"/>
              </w:rPr>
            </w:pPr>
            <w:r w:rsidRPr="0036251B">
              <w:rPr>
                <w:sz w:val="18"/>
                <w:szCs w:val="18"/>
              </w:rPr>
              <w:t>V(a)</w:t>
            </w:r>
          </w:p>
        </w:tc>
        <w:tc>
          <w:tcPr>
            <w:tcW w:w="1205" w:type="dxa"/>
            <w:shd w:val="clear" w:color="auto" w:fill="D9D9D9" w:themeFill="background1" w:themeFillShade="D9"/>
          </w:tcPr>
          <w:p w14:paraId="61C8D588" w14:textId="2A559003" w:rsidR="00E02711" w:rsidRPr="0036251B" w:rsidRDefault="00E02711" w:rsidP="00E02711">
            <w:pPr>
              <w:pStyle w:val="COMPara"/>
              <w:numPr>
                <w:ilvl w:val="0"/>
                <w:numId w:val="0"/>
              </w:numPr>
              <w:jc w:val="both"/>
              <w:rPr>
                <w:sz w:val="18"/>
                <w:szCs w:val="18"/>
              </w:rPr>
            </w:pPr>
            <w:r w:rsidRPr="0036251B">
              <w:rPr>
                <w:sz w:val="18"/>
                <w:szCs w:val="18"/>
              </w:rPr>
              <w:t>V(b)</w:t>
            </w:r>
          </w:p>
        </w:tc>
      </w:tr>
      <w:tr w:rsidR="00E02711" w:rsidRPr="0036251B" w14:paraId="63739B5B" w14:textId="77777777" w:rsidTr="00C56406">
        <w:tc>
          <w:tcPr>
            <w:tcW w:w="1834" w:type="dxa"/>
          </w:tcPr>
          <w:p w14:paraId="61053311" w14:textId="06242F31" w:rsidR="00E02711" w:rsidRPr="0036251B" w:rsidRDefault="00E02711" w:rsidP="00E02711">
            <w:pPr>
              <w:pStyle w:val="COMPara"/>
              <w:numPr>
                <w:ilvl w:val="0"/>
                <w:numId w:val="0"/>
              </w:numPr>
              <w:jc w:val="both"/>
              <w:rPr>
                <w:sz w:val="18"/>
                <w:szCs w:val="18"/>
              </w:rPr>
            </w:pPr>
            <w:r w:rsidRPr="0036251B">
              <w:rPr>
                <w:sz w:val="18"/>
                <w:szCs w:val="18"/>
              </w:rPr>
              <w:t>Number of selected programmes</w:t>
            </w:r>
            <w:r w:rsidR="0052464E" w:rsidRPr="0036251B">
              <w:rPr>
                <w:rStyle w:val="FootnoteReference"/>
                <w:sz w:val="18"/>
                <w:szCs w:val="18"/>
              </w:rPr>
              <w:footnoteReference w:id="2"/>
            </w:r>
          </w:p>
        </w:tc>
        <w:tc>
          <w:tcPr>
            <w:tcW w:w="1204" w:type="dxa"/>
          </w:tcPr>
          <w:p w14:paraId="1F850332" w14:textId="2F8292BD" w:rsidR="00E02711" w:rsidRPr="0036251B" w:rsidRDefault="00E02711" w:rsidP="00E02711">
            <w:pPr>
              <w:pStyle w:val="COMPara"/>
              <w:numPr>
                <w:ilvl w:val="0"/>
                <w:numId w:val="0"/>
              </w:numPr>
              <w:jc w:val="both"/>
              <w:rPr>
                <w:sz w:val="18"/>
                <w:szCs w:val="18"/>
              </w:rPr>
            </w:pPr>
            <w:r w:rsidRPr="0036251B">
              <w:rPr>
                <w:sz w:val="18"/>
                <w:szCs w:val="18"/>
              </w:rPr>
              <w:t>1</w:t>
            </w:r>
            <w:r w:rsidR="0052464E" w:rsidRPr="0036251B">
              <w:rPr>
                <w:sz w:val="18"/>
                <w:szCs w:val="18"/>
              </w:rPr>
              <w:t>3</w:t>
            </w:r>
          </w:p>
        </w:tc>
        <w:tc>
          <w:tcPr>
            <w:tcW w:w="1205" w:type="dxa"/>
          </w:tcPr>
          <w:p w14:paraId="4CD85DD8" w14:textId="3F4439B9" w:rsidR="00E02711" w:rsidRPr="0036251B" w:rsidRDefault="0052464E" w:rsidP="00E02711">
            <w:pPr>
              <w:pStyle w:val="COMPara"/>
              <w:numPr>
                <w:ilvl w:val="0"/>
                <w:numId w:val="0"/>
              </w:numPr>
              <w:jc w:val="both"/>
              <w:rPr>
                <w:sz w:val="18"/>
                <w:szCs w:val="18"/>
              </w:rPr>
            </w:pPr>
            <w:r w:rsidRPr="0036251B">
              <w:rPr>
                <w:sz w:val="18"/>
                <w:szCs w:val="18"/>
              </w:rPr>
              <w:t>8</w:t>
            </w:r>
          </w:p>
        </w:tc>
        <w:tc>
          <w:tcPr>
            <w:tcW w:w="1204" w:type="dxa"/>
          </w:tcPr>
          <w:p w14:paraId="239508A7" w14:textId="4E180447" w:rsidR="00E02711" w:rsidRPr="0036251B" w:rsidRDefault="00E02711" w:rsidP="00E02711">
            <w:pPr>
              <w:pStyle w:val="COMPara"/>
              <w:numPr>
                <w:ilvl w:val="0"/>
                <w:numId w:val="0"/>
              </w:numPr>
              <w:jc w:val="both"/>
              <w:rPr>
                <w:sz w:val="18"/>
                <w:szCs w:val="18"/>
              </w:rPr>
            </w:pPr>
            <w:r w:rsidRPr="0036251B">
              <w:rPr>
                <w:sz w:val="18"/>
                <w:szCs w:val="18"/>
              </w:rPr>
              <w:t>6</w:t>
            </w:r>
          </w:p>
        </w:tc>
        <w:tc>
          <w:tcPr>
            <w:tcW w:w="1205" w:type="dxa"/>
          </w:tcPr>
          <w:p w14:paraId="2779B8B3" w14:textId="3767389D" w:rsidR="00E02711" w:rsidRPr="0036251B" w:rsidRDefault="00DA29FF" w:rsidP="00E02711">
            <w:pPr>
              <w:pStyle w:val="COMPara"/>
              <w:numPr>
                <w:ilvl w:val="0"/>
                <w:numId w:val="0"/>
              </w:numPr>
              <w:jc w:val="both"/>
              <w:rPr>
                <w:sz w:val="18"/>
                <w:szCs w:val="18"/>
              </w:rPr>
            </w:pPr>
            <w:r w:rsidRPr="0036251B">
              <w:rPr>
                <w:sz w:val="18"/>
                <w:szCs w:val="18"/>
              </w:rPr>
              <w:t>5</w:t>
            </w:r>
          </w:p>
        </w:tc>
        <w:tc>
          <w:tcPr>
            <w:tcW w:w="1204" w:type="dxa"/>
          </w:tcPr>
          <w:p w14:paraId="03AF7031" w14:textId="7A188258" w:rsidR="00E02711" w:rsidRPr="0036251B" w:rsidRDefault="00E02711" w:rsidP="00E02711">
            <w:pPr>
              <w:pStyle w:val="COMPara"/>
              <w:numPr>
                <w:ilvl w:val="0"/>
                <w:numId w:val="0"/>
              </w:numPr>
              <w:jc w:val="both"/>
              <w:rPr>
                <w:sz w:val="18"/>
                <w:szCs w:val="18"/>
              </w:rPr>
            </w:pPr>
            <w:r w:rsidRPr="0036251B">
              <w:rPr>
                <w:sz w:val="18"/>
                <w:szCs w:val="18"/>
              </w:rPr>
              <w:t>1</w:t>
            </w:r>
          </w:p>
        </w:tc>
        <w:tc>
          <w:tcPr>
            <w:tcW w:w="1205" w:type="dxa"/>
          </w:tcPr>
          <w:p w14:paraId="7C6FAE03" w14:textId="194D6155" w:rsidR="00E02711" w:rsidRPr="0036251B" w:rsidRDefault="00E02711" w:rsidP="00E02711">
            <w:pPr>
              <w:pStyle w:val="COMPara"/>
              <w:numPr>
                <w:ilvl w:val="0"/>
                <w:numId w:val="0"/>
              </w:numPr>
              <w:jc w:val="both"/>
              <w:rPr>
                <w:sz w:val="18"/>
                <w:szCs w:val="18"/>
              </w:rPr>
            </w:pPr>
            <w:r w:rsidRPr="0036251B">
              <w:rPr>
                <w:sz w:val="18"/>
                <w:szCs w:val="18"/>
              </w:rPr>
              <w:t>1</w:t>
            </w:r>
          </w:p>
        </w:tc>
      </w:tr>
      <w:tr w:rsidR="00E02711" w:rsidRPr="0036251B" w14:paraId="1EE4127E" w14:textId="77777777" w:rsidTr="00C56406">
        <w:tc>
          <w:tcPr>
            <w:tcW w:w="1834" w:type="dxa"/>
          </w:tcPr>
          <w:p w14:paraId="651BCC0C" w14:textId="6031A973" w:rsidR="00E02711" w:rsidRPr="0036251B" w:rsidRDefault="00E02711" w:rsidP="00E02711">
            <w:pPr>
              <w:pStyle w:val="COMPara"/>
              <w:numPr>
                <w:ilvl w:val="0"/>
                <w:numId w:val="0"/>
              </w:numPr>
              <w:jc w:val="both"/>
              <w:rPr>
                <w:sz w:val="18"/>
                <w:szCs w:val="18"/>
              </w:rPr>
            </w:pPr>
            <w:r w:rsidRPr="0036251B">
              <w:rPr>
                <w:sz w:val="18"/>
                <w:szCs w:val="18"/>
              </w:rPr>
              <w:t>Percentage</w:t>
            </w:r>
          </w:p>
        </w:tc>
        <w:tc>
          <w:tcPr>
            <w:tcW w:w="1204" w:type="dxa"/>
          </w:tcPr>
          <w:p w14:paraId="766FC7F7" w14:textId="5057D739" w:rsidR="00E02711" w:rsidRPr="0036251B" w:rsidRDefault="00E02711" w:rsidP="00E02711">
            <w:pPr>
              <w:pStyle w:val="COMPara"/>
              <w:numPr>
                <w:ilvl w:val="0"/>
                <w:numId w:val="0"/>
              </w:numPr>
              <w:jc w:val="both"/>
              <w:rPr>
                <w:sz w:val="18"/>
                <w:szCs w:val="18"/>
              </w:rPr>
            </w:pPr>
            <w:r w:rsidRPr="0036251B">
              <w:rPr>
                <w:sz w:val="18"/>
                <w:szCs w:val="18"/>
              </w:rPr>
              <w:t>38.24%</w:t>
            </w:r>
          </w:p>
        </w:tc>
        <w:tc>
          <w:tcPr>
            <w:tcW w:w="1205" w:type="dxa"/>
          </w:tcPr>
          <w:p w14:paraId="3957463E" w14:textId="1014AC24" w:rsidR="00E02711" w:rsidRPr="0036251B" w:rsidRDefault="00E02711" w:rsidP="00E02711">
            <w:pPr>
              <w:pStyle w:val="COMPara"/>
              <w:numPr>
                <w:ilvl w:val="0"/>
                <w:numId w:val="0"/>
              </w:numPr>
              <w:jc w:val="both"/>
              <w:rPr>
                <w:sz w:val="18"/>
                <w:szCs w:val="18"/>
              </w:rPr>
            </w:pPr>
            <w:r w:rsidRPr="0036251B">
              <w:rPr>
                <w:sz w:val="18"/>
                <w:szCs w:val="18"/>
              </w:rPr>
              <w:t>23.53%</w:t>
            </w:r>
          </w:p>
        </w:tc>
        <w:tc>
          <w:tcPr>
            <w:tcW w:w="1204" w:type="dxa"/>
          </w:tcPr>
          <w:p w14:paraId="642E8792" w14:textId="1D71474E" w:rsidR="00E02711" w:rsidRPr="0036251B" w:rsidRDefault="00E02711" w:rsidP="00E02711">
            <w:pPr>
              <w:pStyle w:val="COMPara"/>
              <w:numPr>
                <w:ilvl w:val="0"/>
                <w:numId w:val="0"/>
              </w:numPr>
              <w:jc w:val="both"/>
              <w:rPr>
                <w:sz w:val="18"/>
                <w:szCs w:val="18"/>
              </w:rPr>
            </w:pPr>
            <w:r w:rsidRPr="0036251B">
              <w:rPr>
                <w:sz w:val="18"/>
                <w:szCs w:val="18"/>
              </w:rPr>
              <w:t>17.65%</w:t>
            </w:r>
          </w:p>
        </w:tc>
        <w:tc>
          <w:tcPr>
            <w:tcW w:w="1205" w:type="dxa"/>
          </w:tcPr>
          <w:p w14:paraId="6813DE14" w14:textId="5667C4D1" w:rsidR="00E02711" w:rsidRPr="0036251B" w:rsidRDefault="00E02711" w:rsidP="00E02711">
            <w:pPr>
              <w:pStyle w:val="COMPara"/>
              <w:numPr>
                <w:ilvl w:val="0"/>
                <w:numId w:val="0"/>
              </w:numPr>
              <w:jc w:val="both"/>
              <w:rPr>
                <w:sz w:val="18"/>
                <w:szCs w:val="18"/>
              </w:rPr>
            </w:pPr>
            <w:r w:rsidRPr="0036251B">
              <w:rPr>
                <w:sz w:val="18"/>
                <w:szCs w:val="18"/>
              </w:rPr>
              <w:t>1</w:t>
            </w:r>
            <w:r w:rsidR="0052464E" w:rsidRPr="0036251B">
              <w:rPr>
                <w:sz w:val="18"/>
                <w:szCs w:val="18"/>
              </w:rPr>
              <w:t>4</w:t>
            </w:r>
            <w:r w:rsidRPr="0036251B">
              <w:rPr>
                <w:sz w:val="18"/>
                <w:szCs w:val="18"/>
              </w:rPr>
              <w:t>.7</w:t>
            </w:r>
            <w:r w:rsidR="0052464E" w:rsidRPr="0036251B">
              <w:rPr>
                <w:sz w:val="18"/>
                <w:szCs w:val="18"/>
              </w:rPr>
              <w:t>0</w:t>
            </w:r>
            <w:r w:rsidRPr="0036251B">
              <w:rPr>
                <w:sz w:val="18"/>
                <w:szCs w:val="18"/>
              </w:rPr>
              <w:t>%</w:t>
            </w:r>
          </w:p>
        </w:tc>
        <w:tc>
          <w:tcPr>
            <w:tcW w:w="1204" w:type="dxa"/>
          </w:tcPr>
          <w:p w14:paraId="5D3B90A3" w14:textId="729C4517" w:rsidR="00E02711" w:rsidRPr="0036251B" w:rsidRDefault="00E02711" w:rsidP="00E02711">
            <w:pPr>
              <w:pStyle w:val="COMPara"/>
              <w:numPr>
                <w:ilvl w:val="0"/>
                <w:numId w:val="0"/>
              </w:numPr>
              <w:jc w:val="both"/>
              <w:rPr>
                <w:sz w:val="18"/>
                <w:szCs w:val="18"/>
              </w:rPr>
            </w:pPr>
            <w:r w:rsidRPr="0036251B">
              <w:rPr>
                <w:sz w:val="18"/>
                <w:szCs w:val="18"/>
              </w:rPr>
              <w:t>2.9</w:t>
            </w:r>
            <w:r w:rsidR="0052464E" w:rsidRPr="0036251B">
              <w:rPr>
                <w:sz w:val="18"/>
                <w:szCs w:val="18"/>
              </w:rPr>
              <w:t>4</w:t>
            </w:r>
            <w:r w:rsidRPr="0036251B">
              <w:rPr>
                <w:sz w:val="18"/>
                <w:szCs w:val="18"/>
              </w:rPr>
              <w:t>%</w:t>
            </w:r>
          </w:p>
        </w:tc>
        <w:tc>
          <w:tcPr>
            <w:tcW w:w="1205" w:type="dxa"/>
          </w:tcPr>
          <w:p w14:paraId="5128A238" w14:textId="33BF2E58" w:rsidR="00E02711" w:rsidRPr="0036251B" w:rsidRDefault="00E02711" w:rsidP="00E02711">
            <w:pPr>
              <w:pStyle w:val="COMPara"/>
              <w:numPr>
                <w:ilvl w:val="0"/>
                <w:numId w:val="0"/>
              </w:numPr>
              <w:jc w:val="both"/>
              <w:rPr>
                <w:sz w:val="18"/>
                <w:szCs w:val="18"/>
              </w:rPr>
            </w:pPr>
            <w:r w:rsidRPr="0036251B">
              <w:rPr>
                <w:sz w:val="18"/>
                <w:szCs w:val="18"/>
              </w:rPr>
              <w:t>2.9</w:t>
            </w:r>
            <w:r w:rsidR="0052464E" w:rsidRPr="0036251B">
              <w:rPr>
                <w:sz w:val="18"/>
                <w:szCs w:val="18"/>
              </w:rPr>
              <w:t>4</w:t>
            </w:r>
            <w:r w:rsidRPr="0036251B">
              <w:rPr>
                <w:sz w:val="18"/>
                <w:szCs w:val="18"/>
              </w:rPr>
              <w:t>%</w:t>
            </w:r>
          </w:p>
        </w:tc>
      </w:tr>
    </w:tbl>
    <w:p w14:paraId="23BA1A44" w14:textId="6EAE1B04" w:rsidR="00BD7335" w:rsidRPr="0036251B" w:rsidRDefault="00BD7335" w:rsidP="00F71016">
      <w:pPr>
        <w:pStyle w:val="COMPara"/>
        <w:spacing w:before="240"/>
        <w:ind w:left="567" w:hanging="567"/>
        <w:jc w:val="both"/>
        <w:rPr>
          <w:u w:val="single"/>
        </w:rPr>
      </w:pPr>
      <w:r w:rsidRPr="0036251B">
        <w:t>With reference to paragraph 2 of Article 18, the Operational Directives</w:t>
      </w:r>
      <w:r w:rsidR="001867DD" w:rsidRPr="0036251B">
        <w:t xml:space="preserve"> (paragraphs 21 to 23)</w:t>
      </w:r>
      <w:r w:rsidRPr="0036251B">
        <w:t xml:space="preserve"> provide that States Parties may request preparatory assistance, in consultation with </w:t>
      </w:r>
      <w:r w:rsidR="0063346B" w:rsidRPr="0036251B">
        <w:t xml:space="preserve">the </w:t>
      </w:r>
      <w:r w:rsidRPr="0036251B">
        <w:t>communities, groups and</w:t>
      </w:r>
      <w:r w:rsidR="0063346B" w:rsidRPr="0036251B">
        <w:t>,</w:t>
      </w:r>
      <w:r w:rsidRPr="0036251B">
        <w:t xml:space="preserve"> where appropriate, individuals concerned, for the elaboration of proposals of programmes, projects and activities for selection in the Register</w:t>
      </w:r>
      <w:r w:rsidR="00B109C5" w:rsidRPr="0036251B">
        <w:t xml:space="preserve"> of Good Safeguarding Practices</w:t>
      </w:r>
      <w:r w:rsidRPr="0036251B">
        <w:t xml:space="preserve">. </w:t>
      </w:r>
      <w:r w:rsidR="00977182" w:rsidRPr="0036251B">
        <w:t>The amount</w:t>
      </w:r>
      <w:r w:rsidR="002C7022" w:rsidRPr="0036251B">
        <w:t>s</w:t>
      </w:r>
      <w:r w:rsidR="00977182" w:rsidRPr="0036251B">
        <w:t xml:space="preserve"> of </w:t>
      </w:r>
      <w:r w:rsidR="0063346B" w:rsidRPr="0036251B">
        <w:t xml:space="preserve">the </w:t>
      </w:r>
      <w:r w:rsidR="00977182" w:rsidRPr="0036251B">
        <w:t>request</w:t>
      </w:r>
      <w:r w:rsidR="0063346B" w:rsidRPr="0036251B">
        <w:t>s</w:t>
      </w:r>
      <w:r w:rsidR="00977182" w:rsidRPr="0036251B">
        <w:t xml:space="preserve"> are normally in the range of US$5,000 to US$10,000</w:t>
      </w:r>
      <w:r w:rsidR="002C7022" w:rsidRPr="0036251B">
        <w:t xml:space="preserve"> and the</w:t>
      </w:r>
      <w:r w:rsidR="0063346B" w:rsidRPr="0036251B">
        <w:t>y</w:t>
      </w:r>
      <w:r w:rsidR="002C7022" w:rsidRPr="0036251B">
        <w:t xml:space="preserve"> are </w:t>
      </w:r>
      <w:r w:rsidR="00977182" w:rsidRPr="0036251B">
        <w:t xml:space="preserve">typically </w:t>
      </w:r>
      <w:r w:rsidR="00A94DE5" w:rsidRPr="0036251B">
        <w:t>for the purpose of</w:t>
      </w:r>
      <w:r w:rsidR="0063346B" w:rsidRPr="0036251B">
        <w:t xml:space="preserve"> </w:t>
      </w:r>
      <w:r w:rsidR="00977182" w:rsidRPr="0036251B">
        <w:t xml:space="preserve">conducting community consultations, preparing audio-visual materials or covering administrative or logistical costs related to </w:t>
      </w:r>
      <w:r w:rsidR="0063346B" w:rsidRPr="0036251B">
        <w:t>the preparation of</w:t>
      </w:r>
      <w:r w:rsidR="00977182" w:rsidRPr="0036251B">
        <w:t xml:space="preserve"> </w:t>
      </w:r>
      <w:r w:rsidR="006B54CD" w:rsidRPr="0036251B">
        <w:t>proposals</w:t>
      </w:r>
      <w:r w:rsidR="00977182" w:rsidRPr="0036251B">
        <w:t xml:space="preserve">. </w:t>
      </w:r>
      <w:r w:rsidR="0029039F" w:rsidRPr="0036251B">
        <w:t xml:space="preserve">Following the </w:t>
      </w:r>
      <w:r w:rsidR="005202D7" w:rsidRPr="0036251B">
        <w:t>global reflection on the listing mechanisms of the Convention, all preparatory</w:t>
      </w:r>
      <w:r w:rsidR="006B54CD" w:rsidRPr="0036251B">
        <w:t xml:space="preserve"> assistance</w:t>
      </w:r>
      <w:r w:rsidR="005202D7" w:rsidRPr="0036251B">
        <w:t xml:space="preserve"> requests are to be submitted using Form ICH-05.</w:t>
      </w:r>
      <w:r w:rsidR="00977182" w:rsidRPr="0036251B">
        <w:t xml:space="preserve"> This </w:t>
      </w:r>
      <w:r w:rsidR="00B109C5" w:rsidRPr="0036251B">
        <w:t xml:space="preserve">possibility </w:t>
      </w:r>
      <w:r w:rsidR="00977182" w:rsidRPr="0036251B">
        <w:t xml:space="preserve">has not </w:t>
      </w:r>
      <w:r w:rsidR="00A94DE5" w:rsidRPr="0036251B">
        <w:t xml:space="preserve">often </w:t>
      </w:r>
      <w:r w:rsidR="00977182" w:rsidRPr="0036251B">
        <w:t>be</w:t>
      </w:r>
      <w:r w:rsidR="00B109C5" w:rsidRPr="0036251B">
        <w:t>en</w:t>
      </w:r>
      <w:r w:rsidR="00977182" w:rsidRPr="0036251B">
        <w:t xml:space="preserve"> utilized</w:t>
      </w:r>
      <w:r w:rsidR="00B109C5" w:rsidRPr="0036251B">
        <w:t xml:space="preserve"> by States Parties as only </w:t>
      </w:r>
      <w:r w:rsidR="007B518E" w:rsidRPr="0036251B">
        <w:t xml:space="preserve">3 </w:t>
      </w:r>
      <w:r w:rsidR="00B109C5" w:rsidRPr="0036251B">
        <w:t xml:space="preserve">out of </w:t>
      </w:r>
      <w:r w:rsidR="007B518E" w:rsidRPr="0036251B">
        <w:t xml:space="preserve">26 requests for </w:t>
      </w:r>
      <w:r w:rsidR="00B109C5" w:rsidRPr="0036251B">
        <w:t xml:space="preserve">preparatory assistance granted so far </w:t>
      </w:r>
      <w:r w:rsidR="00A94DE5" w:rsidRPr="0036251B">
        <w:t>relate to</w:t>
      </w:r>
      <w:r w:rsidR="00B109C5" w:rsidRPr="0036251B">
        <w:t xml:space="preserve"> the Register of Good</w:t>
      </w:r>
      <w:r w:rsidR="00977182" w:rsidRPr="0036251B">
        <w:t xml:space="preserve"> </w:t>
      </w:r>
      <w:r w:rsidR="00B109C5" w:rsidRPr="0036251B">
        <w:t>Safeguarding Practices.</w:t>
      </w:r>
    </w:p>
    <w:p w14:paraId="39C309F8" w14:textId="1D8F3972" w:rsidR="001867DD" w:rsidRPr="0036251B" w:rsidRDefault="008751F0" w:rsidP="00BD7335">
      <w:pPr>
        <w:pStyle w:val="COMPara"/>
        <w:spacing w:before="120"/>
        <w:ind w:left="567" w:hanging="567"/>
        <w:jc w:val="both"/>
        <w:rPr>
          <w:u w:val="single"/>
        </w:rPr>
      </w:pPr>
      <w:r w:rsidRPr="0036251B">
        <w:t xml:space="preserve">Furthermore, Article 18 </w:t>
      </w:r>
      <w:r w:rsidR="00D47AAD" w:rsidRPr="0036251B">
        <w:t>describes</w:t>
      </w:r>
      <w:r w:rsidRPr="0036251B">
        <w:t xml:space="preserve"> – through its </w:t>
      </w:r>
      <w:r w:rsidR="001867DD" w:rsidRPr="0036251B">
        <w:t xml:space="preserve">paragraph 3 </w:t>
      </w:r>
      <w:r w:rsidRPr="0036251B">
        <w:t>–</w:t>
      </w:r>
      <w:r w:rsidR="000669CC" w:rsidRPr="0036251B">
        <w:t xml:space="preserve"> </w:t>
      </w:r>
      <w:r w:rsidR="00D47AAD" w:rsidRPr="0036251B">
        <w:t xml:space="preserve">the role of </w:t>
      </w:r>
      <w:r w:rsidR="000669CC" w:rsidRPr="0036251B">
        <w:t>the Committee</w:t>
      </w:r>
      <w:r w:rsidR="00D47AAD" w:rsidRPr="0036251B">
        <w:t xml:space="preserve"> in accompany</w:t>
      </w:r>
      <w:r w:rsidR="00865630" w:rsidRPr="0036251B">
        <w:t>ing</w:t>
      </w:r>
      <w:r w:rsidR="00D47AAD" w:rsidRPr="0036251B">
        <w:t xml:space="preserve"> the implementation of selected projects, programmes and activities b</w:t>
      </w:r>
      <w:r w:rsidR="00865630" w:rsidRPr="0036251B">
        <w:t>y</w:t>
      </w:r>
      <w:r w:rsidR="00D47AAD" w:rsidRPr="0036251B">
        <w:t xml:space="preserve"> disseminating </w:t>
      </w:r>
      <w:r w:rsidR="007970D2" w:rsidRPr="0036251B">
        <w:t>good safeguarding</w:t>
      </w:r>
      <w:r w:rsidR="00D47AAD" w:rsidRPr="0036251B">
        <w:t xml:space="preserve"> practices using means to be determined by it. </w:t>
      </w:r>
      <w:r w:rsidR="00C664B8" w:rsidRPr="0036251B">
        <w:t>The function of the Committee as</w:t>
      </w:r>
      <w:r w:rsidR="0035176B" w:rsidRPr="0036251B">
        <w:t xml:space="preserve"> regards Article 18 is also clarified in </w:t>
      </w:r>
      <w:r w:rsidR="00D47AAD" w:rsidRPr="0036251B">
        <w:t xml:space="preserve">Article 7 (b) of the Convention </w:t>
      </w:r>
      <w:r w:rsidR="0035176B" w:rsidRPr="0036251B">
        <w:t>in terms of</w:t>
      </w:r>
      <w:r w:rsidR="00D47AAD" w:rsidRPr="0036251B">
        <w:t xml:space="preserve"> the p</w:t>
      </w:r>
      <w:r w:rsidR="00865630" w:rsidRPr="0036251B">
        <w:t xml:space="preserve">rovision of guidance on </w:t>
      </w:r>
      <w:r w:rsidR="007970D2" w:rsidRPr="0036251B">
        <w:t>good</w:t>
      </w:r>
      <w:r w:rsidR="00865630" w:rsidRPr="0036251B">
        <w:t xml:space="preserve"> </w:t>
      </w:r>
      <w:r w:rsidR="007970D2" w:rsidRPr="0036251B">
        <w:t xml:space="preserve">safeguarding </w:t>
      </w:r>
      <w:r w:rsidR="00865630" w:rsidRPr="0036251B">
        <w:t>practices and mak</w:t>
      </w:r>
      <w:r w:rsidR="00E41185" w:rsidRPr="0036251B">
        <w:t>ing</w:t>
      </w:r>
      <w:r w:rsidR="00865630" w:rsidRPr="0036251B">
        <w:t xml:space="preserve"> recommendations on measures</w:t>
      </w:r>
      <w:r w:rsidR="000669CC" w:rsidRPr="0036251B">
        <w:t xml:space="preserve"> </w:t>
      </w:r>
      <w:r w:rsidR="00A94DE5" w:rsidRPr="0036251B">
        <w:t xml:space="preserve">aimed at </w:t>
      </w:r>
      <w:r w:rsidR="00865630" w:rsidRPr="0036251B">
        <w:t xml:space="preserve">the safeguarding of intangible cultural heritage. </w:t>
      </w:r>
      <w:r w:rsidR="006350CF" w:rsidRPr="0036251B">
        <w:t>These provisions are supported</w:t>
      </w:r>
      <w:r w:rsidR="00A94DE5" w:rsidRPr="0036251B">
        <w:t>,</w:t>
      </w:r>
      <w:r w:rsidR="006350CF" w:rsidRPr="0036251B">
        <w:t xml:space="preserve"> in particular</w:t>
      </w:r>
      <w:r w:rsidR="00A94DE5" w:rsidRPr="0036251B">
        <w:t>,</w:t>
      </w:r>
      <w:r w:rsidR="006350CF" w:rsidRPr="0036251B">
        <w:t xml:space="preserve"> by sub-chapter I.13 of the Operational Directives (paragraphs 42 to 46). </w:t>
      </w:r>
      <w:r w:rsidR="0035176B" w:rsidRPr="0036251B">
        <w:t>Given</w:t>
      </w:r>
      <w:r w:rsidR="006350CF" w:rsidRPr="0036251B">
        <w:t xml:space="preserve"> </w:t>
      </w:r>
      <w:r w:rsidR="00BA6498" w:rsidRPr="0036251B">
        <w:t xml:space="preserve">the potentially </w:t>
      </w:r>
      <w:r w:rsidR="006350CF" w:rsidRPr="0036251B">
        <w:t>extensive</w:t>
      </w:r>
      <w:r w:rsidR="00C663F7" w:rsidRPr="0036251B">
        <w:t xml:space="preserve"> scope of</w:t>
      </w:r>
      <w:r w:rsidR="008314E8" w:rsidRPr="0036251B">
        <w:t xml:space="preserve"> Article 18, it </w:t>
      </w:r>
      <w:r w:rsidR="0052492C" w:rsidRPr="0036251B">
        <w:t>might</w:t>
      </w:r>
      <w:r w:rsidR="008314E8" w:rsidRPr="0036251B">
        <w:t xml:space="preserve"> be important to consider its operationalization in conjunction with other provisions of the Convention, such as Articles 19 to 24</w:t>
      </w:r>
      <w:r w:rsidR="001E62D7" w:rsidRPr="0036251B">
        <w:t>,</w:t>
      </w:r>
      <w:r w:rsidR="008314E8" w:rsidRPr="0036251B">
        <w:t xml:space="preserve"> in terms of facilitating </w:t>
      </w:r>
      <w:r w:rsidR="00FB4546" w:rsidRPr="0036251B">
        <w:t xml:space="preserve">international </w:t>
      </w:r>
      <w:r w:rsidR="008314E8" w:rsidRPr="0036251B">
        <w:t xml:space="preserve">cooperation and providing </w:t>
      </w:r>
      <w:r w:rsidR="00A94DE5" w:rsidRPr="0036251B">
        <w:t>the</w:t>
      </w:r>
      <w:r w:rsidR="008314E8" w:rsidRPr="0036251B">
        <w:t xml:space="preserve"> States </w:t>
      </w:r>
      <w:r w:rsidR="008314E8" w:rsidRPr="0036251B">
        <w:lastRenderedPageBreak/>
        <w:t xml:space="preserve">Parties and communities concerned </w:t>
      </w:r>
      <w:r w:rsidR="00A94DE5" w:rsidRPr="0036251B">
        <w:t xml:space="preserve">with assistance for </w:t>
      </w:r>
      <w:r w:rsidR="008314E8" w:rsidRPr="0036251B">
        <w:t>planning, implementing and following up their safeguarding efforts.</w:t>
      </w:r>
    </w:p>
    <w:p w14:paraId="43B9ECB1" w14:textId="7AD4F507" w:rsidR="00C005C7" w:rsidRPr="0036251B" w:rsidRDefault="00773A6C" w:rsidP="008314E8">
      <w:pPr>
        <w:pStyle w:val="COMPara"/>
        <w:keepNext/>
        <w:numPr>
          <w:ilvl w:val="0"/>
          <w:numId w:val="0"/>
        </w:numPr>
        <w:spacing w:before="240"/>
        <w:ind w:left="567"/>
        <w:jc w:val="both"/>
        <w:rPr>
          <w:u w:val="single"/>
        </w:rPr>
      </w:pPr>
      <w:r w:rsidRPr="0036251B">
        <w:rPr>
          <w:u w:val="single"/>
        </w:rPr>
        <w:t xml:space="preserve">Earlier attempt: Alternate and lighter ways to </w:t>
      </w:r>
      <w:r w:rsidR="00A94DE5" w:rsidRPr="0036251B">
        <w:rPr>
          <w:u w:val="single"/>
        </w:rPr>
        <w:t>s</w:t>
      </w:r>
      <w:r w:rsidRPr="0036251B">
        <w:rPr>
          <w:u w:val="single"/>
        </w:rPr>
        <w:t xml:space="preserve">hare good safeguarding </w:t>
      </w:r>
      <w:proofErr w:type="gramStart"/>
      <w:r w:rsidRPr="0036251B">
        <w:rPr>
          <w:u w:val="single"/>
        </w:rPr>
        <w:t>practices</w:t>
      </w:r>
      <w:proofErr w:type="gramEnd"/>
    </w:p>
    <w:p w14:paraId="146C31FA" w14:textId="6AA2824B" w:rsidR="001A0118" w:rsidRPr="0036251B" w:rsidRDefault="001A0118" w:rsidP="008314E8">
      <w:pPr>
        <w:pStyle w:val="COMPara"/>
        <w:keepNext/>
        <w:ind w:left="567" w:hanging="567"/>
        <w:jc w:val="both"/>
      </w:pPr>
      <w:r w:rsidRPr="0036251B">
        <w:t xml:space="preserve">When it was understood that the Register of Good Safeguarding Practices was not </w:t>
      </w:r>
      <w:r w:rsidR="00D75685" w:rsidRPr="0036251B">
        <w:t xml:space="preserve">fully </w:t>
      </w:r>
      <w:r w:rsidRPr="0036251B">
        <w:t xml:space="preserve">functioning as </w:t>
      </w:r>
      <w:r w:rsidR="00D75685" w:rsidRPr="0036251B">
        <w:t>anticipated</w:t>
      </w:r>
      <w:r w:rsidRPr="0036251B">
        <w:t xml:space="preserve">, an attempt was made to seek ‘alternate and lighter ways’ to share good safeguarding practices, to complement the Register. Following the requests by the Committee at its eighth (Decision </w:t>
      </w:r>
      <w:hyperlink r:id="rId11" w:history="1">
        <w:r w:rsidRPr="0036251B">
          <w:rPr>
            <w:rStyle w:val="Hyperlink"/>
            <w:rFonts w:asciiTheme="minorBidi" w:hAnsiTheme="minorBidi" w:cstheme="minorBidi"/>
          </w:rPr>
          <w:t>8.COM 5.c.1</w:t>
        </w:r>
      </w:hyperlink>
      <w:r w:rsidRPr="0036251B">
        <w:t xml:space="preserve">, paragraph 5), ninth (Decision </w:t>
      </w:r>
      <w:hyperlink r:id="rId12" w:history="1">
        <w:r w:rsidRPr="0036251B">
          <w:rPr>
            <w:rStyle w:val="Hyperlink"/>
            <w:rFonts w:asciiTheme="minorBidi" w:hAnsiTheme="minorBidi" w:cstheme="minorBidi"/>
          </w:rPr>
          <w:t>9.COM 9.b</w:t>
        </w:r>
      </w:hyperlink>
      <w:r w:rsidRPr="0036251B">
        <w:t xml:space="preserve">) and tenth (Decision </w:t>
      </w:r>
      <w:hyperlink r:id="rId13" w:history="1">
        <w:r w:rsidRPr="0036251B">
          <w:rPr>
            <w:rStyle w:val="Hyperlink"/>
            <w:rFonts w:asciiTheme="minorBidi" w:hAnsiTheme="minorBidi" w:cstheme="minorBidi"/>
          </w:rPr>
          <w:t>10.COM 10</w:t>
        </w:r>
      </w:hyperlink>
      <w:r w:rsidRPr="0036251B">
        <w:t xml:space="preserve">, paragraph 10) sessions, </w:t>
      </w:r>
      <w:r w:rsidRPr="0036251B">
        <w:rPr>
          <w:rStyle w:val="hps"/>
        </w:rPr>
        <w:t>the</w:t>
      </w:r>
      <w:r w:rsidRPr="0036251B">
        <w:t xml:space="preserve"> Secretariat </w:t>
      </w:r>
      <w:r w:rsidRPr="0036251B">
        <w:rPr>
          <w:rStyle w:val="hps"/>
        </w:rPr>
        <w:t>conducted a survey</w:t>
      </w:r>
      <w:r w:rsidRPr="0036251B">
        <w:rPr>
          <w:rStyle w:val="FootnoteReference"/>
        </w:rPr>
        <w:footnoteReference w:id="3"/>
      </w:r>
      <w:r w:rsidRPr="0036251B">
        <w:rPr>
          <w:rStyle w:val="hps"/>
        </w:rPr>
        <w:t xml:space="preserve"> in 2018.</w:t>
      </w:r>
      <w:r w:rsidR="00C336E8" w:rsidRPr="0036251B">
        <w:rPr>
          <w:rStyle w:val="hps"/>
        </w:rPr>
        <w:t xml:space="preserve"> The survey was disseminated to NGOs accredited under the 2003 Convention, indigenous </w:t>
      </w:r>
      <w:proofErr w:type="gramStart"/>
      <w:r w:rsidR="00FB4546" w:rsidRPr="0036251B">
        <w:rPr>
          <w:rStyle w:val="hps"/>
        </w:rPr>
        <w:t>peoples</w:t>
      </w:r>
      <w:proofErr w:type="gramEnd"/>
      <w:r w:rsidR="00FB4546" w:rsidRPr="0036251B">
        <w:rPr>
          <w:rStyle w:val="hps"/>
        </w:rPr>
        <w:t xml:space="preserve"> </w:t>
      </w:r>
      <w:r w:rsidR="00C336E8" w:rsidRPr="0036251B">
        <w:rPr>
          <w:rStyle w:val="hps"/>
        </w:rPr>
        <w:t>organizations, cities/local governments, national institutions, academic communities, UNESCO Chairs and Category 2 Centres.</w:t>
      </w:r>
    </w:p>
    <w:p w14:paraId="15C60A7B" w14:textId="77777777" w:rsidR="001A0118" w:rsidRPr="0036251B" w:rsidRDefault="001A0118" w:rsidP="00AE7A17">
      <w:pPr>
        <w:pStyle w:val="COMPara"/>
        <w:ind w:left="567" w:hanging="567"/>
        <w:jc w:val="both"/>
      </w:pPr>
      <w:r w:rsidRPr="0036251B">
        <w:t xml:space="preserve">The results of the survey, which were not conclusive, pointed to the following (see </w:t>
      </w:r>
      <w:hyperlink r:id="rId14" w:history="1">
        <w:r w:rsidRPr="0036251B">
          <w:rPr>
            <w:rStyle w:val="Hyperlink"/>
          </w:rPr>
          <w:t>here</w:t>
        </w:r>
      </w:hyperlink>
      <w:r w:rsidRPr="0036251B">
        <w:t xml:space="preserve"> for the executive summary and the report of the survey):</w:t>
      </w:r>
    </w:p>
    <w:p w14:paraId="698CCF2C" w14:textId="77777777" w:rsidR="001A0118" w:rsidRPr="0036251B" w:rsidRDefault="001A0118" w:rsidP="00AE7A17">
      <w:pPr>
        <w:pStyle w:val="1GAPara"/>
        <w:numPr>
          <w:ilvl w:val="0"/>
          <w:numId w:val="11"/>
        </w:numPr>
        <w:ind w:left="1134" w:hanging="567"/>
        <w:rPr>
          <w:lang w:val="en-GB"/>
        </w:rPr>
      </w:pPr>
      <w:r w:rsidRPr="0036251B">
        <w:rPr>
          <w:lang w:val="en-GB"/>
        </w:rPr>
        <w:t>Good safeguarding practices are being shared in various ways, mainly at the local or country levels, followed by the regional level;</w:t>
      </w:r>
    </w:p>
    <w:p w14:paraId="59F4B78E" w14:textId="13784798" w:rsidR="001A0118" w:rsidRPr="0036251B" w:rsidRDefault="001A0118" w:rsidP="00AE7A17">
      <w:pPr>
        <w:pStyle w:val="1GAPara"/>
        <w:numPr>
          <w:ilvl w:val="0"/>
          <w:numId w:val="11"/>
        </w:numPr>
        <w:ind w:left="1134" w:hanging="567"/>
        <w:rPr>
          <w:lang w:val="en-GB"/>
        </w:rPr>
      </w:pPr>
      <w:r w:rsidRPr="0036251B">
        <w:rPr>
          <w:lang w:val="en-GB"/>
        </w:rPr>
        <w:t xml:space="preserve">While social media are the most frequently used channels, these modalities are not considered as </w:t>
      </w:r>
      <w:r w:rsidR="0052492C" w:rsidRPr="0036251B">
        <w:rPr>
          <w:lang w:val="en-GB"/>
        </w:rPr>
        <w:t>the most</w:t>
      </w:r>
      <w:r w:rsidRPr="0036251B">
        <w:rPr>
          <w:lang w:val="en-GB"/>
        </w:rPr>
        <w:t xml:space="preserve"> meaningful way to obtain information from others;</w:t>
      </w:r>
    </w:p>
    <w:p w14:paraId="1C32A3FF" w14:textId="70154B6C" w:rsidR="001A0118" w:rsidRPr="0036251B" w:rsidRDefault="001A0118" w:rsidP="00AE7A17">
      <w:pPr>
        <w:pStyle w:val="1GAPara"/>
        <w:numPr>
          <w:ilvl w:val="0"/>
          <w:numId w:val="11"/>
        </w:numPr>
        <w:ind w:left="1134" w:hanging="567"/>
        <w:rPr>
          <w:lang w:val="en-GB"/>
        </w:rPr>
      </w:pPr>
      <w:r w:rsidRPr="0036251B">
        <w:rPr>
          <w:lang w:val="en-GB"/>
        </w:rPr>
        <w:t>There was a widely shared preference for retaining the Convention</w:t>
      </w:r>
      <w:r w:rsidR="007970D2" w:rsidRPr="0036251B">
        <w:rPr>
          <w:lang w:val="en-GB"/>
        </w:rPr>
        <w:t>’</w:t>
      </w:r>
      <w:r w:rsidRPr="0036251B">
        <w:rPr>
          <w:lang w:val="en-GB"/>
        </w:rPr>
        <w:t>s Register but with a lighter filtering and validation mechanism through UNESCO.</w:t>
      </w:r>
    </w:p>
    <w:p w14:paraId="5DCA2635" w14:textId="4509F60D" w:rsidR="001A0118" w:rsidRPr="0036251B" w:rsidRDefault="001A0118" w:rsidP="00AE7A17">
      <w:pPr>
        <w:pStyle w:val="COMPara"/>
        <w:ind w:left="567" w:hanging="567"/>
        <w:jc w:val="both"/>
        <w:rPr>
          <w:rStyle w:val="hps"/>
          <w:rFonts w:asciiTheme="minorBidi" w:hAnsiTheme="minorBidi" w:cstheme="minorBidi"/>
        </w:rPr>
      </w:pPr>
      <w:r w:rsidRPr="0036251B">
        <w:t xml:space="preserve">The </w:t>
      </w:r>
      <w:r w:rsidR="00DA494B" w:rsidRPr="0036251B">
        <w:t xml:space="preserve">results of the </w:t>
      </w:r>
      <w:r w:rsidRPr="0036251B">
        <w:t xml:space="preserve">survey </w:t>
      </w:r>
      <w:r w:rsidRPr="0036251B">
        <w:rPr>
          <w:rStyle w:val="hps"/>
        </w:rPr>
        <w:t>were presented to the Committee at its fourteenth session (Decision </w:t>
      </w:r>
      <w:hyperlink r:id="rId15" w:history="1">
        <w:r w:rsidRPr="0036251B">
          <w:rPr>
            <w:rStyle w:val="Hyperlink"/>
          </w:rPr>
          <w:t>13.COM 5</w:t>
        </w:r>
      </w:hyperlink>
      <w:r w:rsidRPr="0036251B">
        <w:rPr>
          <w:rStyle w:val="hps"/>
        </w:rPr>
        <w:t xml:space="preserve">; document </w:t>
      </w:r>
      <w:hyperlink r:id="rId16" w:history="1">
        <w:r w:rsidRPr="0036251B">
          <w:rPr>
            <w:rStyle w:val="Hyperlink"/>
          </w:rPr>
          <w:t>LHE/19/14.COM 5.b</w:t>
        </w:r>
      </w:hyperlink>
      <w:r w:rsidRPr="0036251B">
        <w:rPr>
          <w:rStyle w:val="hps"/>
        </w:rPr>
        <w:t xml:space="preserve">). The Committee decided to take these outcomes into consideration in the then ongoing </w:t>
      </w:r>
      <w:r w:rsidR="00743CE1" w:rsidRPr="0036251B">
        <w:rPr>
          <w:rStyle w:val="hps"/>
        </w:rPr>
        <w:t>g</w:t>
      </w:r>
      <w:r w:rsidRPr="0036251B">
        <w:rPr>
          <w:rStyle w:val="hps"/>
        </w:rPr>
        <w:t xml:space="preserve">lobal reflection on the listing mechanisms of the Convention (Decision </w:t>
      </w:r>
      <w:hyperlink r:id="rId17" w:history="1">
        <w:r w:rsidRPr="0036251B">
          <w:rPr>
            <w:rStyle w:val="Hyperlink"/>
          </w:rPr>
          <w:t>14.COM </w:t>
        </w:r>
        <w:proofErr w:type="gramStart"/>
        <w:r w:rsidRPr="0036251B">
          <w:rPr>
            <w:rStyle w:val="Hyperlink"/>
          </w:rPr>
          <w:t>5.b</w:t>
        </w:r>
        <w:proofErr w:type="gramEnd"/>
      </w:hyperlink>
      <w:r w:rsidRPr="0036251B">
        <w:rPr>
          <w:rStyle w:val="hps"/>
        </w:rPr>
        <w:t>).</w:t>
      </w:r>
    </w:p>
    <w:p w14:paraId="0B75ED68" w14:textId="111DD318" w:rsidR="00F716CA" w:rsidRPr="0036251B" w:rsidRDefault="008F13F1" w:rsidP="003A7A4A">
      <w:pPr>
        <w:pStyle w:val="COMPara"/>
        <w:keepNext/>
        <w:numPr>
          <w:ilvl w:val="0"/>
          <w:numId w:val="6"/>
        </w:numPr>
        <w:spacing w:before="240"/>
        <w:ind w:left="567" w:hanging="567"/>
        <w:jc w:val="both"/>
        <w:rPr>
          <w:b/>
          <w:bCs/>
        </w:rPr>
      </w:pPr>
      <w:r w:rsidRPr="0036251B">
        <w:rPr>
          <w:b/>
          <w:bCs/>
        </w:rPr>
        <w:t>Global reflection on the listing mechanisms of the Convention</w:t>
      </w:r>
    </w:p>
    <w:p w14:paraId="29BB8473" w14:textId="3E1EC67B" w:rsidR="008F13F1" w:rsidRPr="0036251B" w:rsidRDefault="00A45537" w:rsidP="003A7A4A">
      <w:pPr>
        <w:pStyle w:val="COMPara"/>
        <w:keepNext/>
        <w:ind w:left="567" w:hanging="567"/>
        <w:jc w:val="both"/>
      </w:pPr>
      <w:r w:rsidRPr="0036251B">
        <w:t xml:space="preserve">The reflection </w:t>
      </w:r>
      <w:r w:rsidR="00495D78" w:rsidRPr="0036251B">
        <w:t>at hand to explore</w:t>
      </w:r>
      <w:r w:rsidRPr="0036251B">
        <w:t xml:space="preserve"> the full potential of Article 18 was initiated through t</w:t>
      </w:r>
      <w:r w:rsidR="008F13F1" w:rsidRPr="0036251B">
        <w:t xml:space="preserve">he </w:t>
      </w:r>
      <w:r w:rsidR="00743CE1" w:rsidRPr="0036251B">
        <w:t>g</w:t>
      </w:r>
      <w:r w:rsidR="008F13F1" w:rsidRPr="0036251B">
        <w:t xml:space="preserve">lobal </w:t>
      </w:r>
      <w:r w:rsidR="00FB4546" w:rsidRPr="0036251B">
        <w:t>r</w:t>
      </w:r>
      <w:r w:rsidR="008F13F1" w:rsidRPr="0036251B">
        <w:t>eflection on the listing mechanisms of the Convention</w:t>
      </w:r>
      <w:r w:rsidR="00DA494B" w:rsidRPr="0036251B">
        <w:t>, which</w:t>
      </w:r>
      <w:r w:rsidR="008F13F1" w:rsidRPr="0036251B">
        <w:t xml:space="preserve"> took place from 2018 to 2022</w:t>
      </w:r>
      <w:r w:rsidR="008F13F1" w:rsidRPr="0036251B">
        <w:rPr>
          <w:rStyle w:val="FootnoteReference"/>
        </w:rPr>
        <w:footnoteReference w:id="4"/>
      </w:r>
      <w:r w:rsidRPr="0036251B">
        <w:t>.</w:t>
      </w:r>
      <w:r w:rsidR="008F13F1" w:rsidRPr="0036251B">
        <w:t xml:space="preserve"> </w:t>
      </w:r>
      <w:r w:rsidR="00F74A16" w:rsidRPr="0036251B">
        <w:t>T</w:t>
      </w:r>
      <w:r w:rsidR="008F13F1" w:rsidRPr="0036251B">
        <w:t xml:space="preserve">he </w:t>
      </w:r>
      <w:r w:rsidR="00743CE1" w:rsidRPr="0036251B">
        <w:t>g</w:t>
      </w:r>
      <w:r w:rsidR="008F13F1" w:rsidRPr="0036251B">
        <w:t xml:space="preserve">lobal </w:t>
      </w:r>
      <w:r w:rsidR="00743CE1" w:rsidRPr="0036251B">
        <w:t>r</w:t>
      </w:r>
      <w:r w:rsidR="008F13F1" w:rsidRPr="0036251B">
        <w:t xml:space="preserve">eflection sought to make the listing mechanisms more dynamic and fluid by better connecting the two Lists and the Register. </w:t>
      </w:r>
      <w:r w:rsidR="00495D78" w:rsidRPr="0036251B">
        <w:t>It is hoped that such</w:t>
      </w:r>
      <w:r w:rsidR="008F13F1" w:rsidRPr="0036251B">
        <w:t xml:space="preserve"> </w:t>
      </w:r>
      <w:r w:rsidR="00DA494B" w:rsidRPr="0036251B">
        <w:t xml:space="preserve">a </w:t>
      </w:r>
      <w:r w:rsidR="008F13F1" w:rsidRPr="0036251B">
        <w:t xml:space="preserve">change </w:t>
      </w:r>
      <w:r w:rsidR="00495D78" w:rsidRPr="0036251B">
        <w:t xml:space="preserve">would </w:t>
      </w:r>
      <w:r w:rsidR="008F13F1" w:rsidRPr="0036251B">
        <w:t>not only make the Register more attractive but also contribute to better raising awareness about the importance of safeguarding intangible cultural heritage for the sustainable development of the communities, groups and individuals concerned, a</w:t>
      </w:r>
      <w:r w:rsidR="004B001D" w:rsidRPr="0036251B">
        <w:t>s well as</w:t>
      </w:r>
      <w:r w:rsidR="008F13F1" w:rsidRPr="0036251B">
        <w:t xml:space="preserve"> for the further flourishing of cultural diversity.</w:t>
      </w:r>
    </w:p>
    <w:p w14:paraId="793FDFCA" w14:textId="5A487BB4" w:rsidR="008F13F1" w:rsidRPr="0036251B" w:rsidRDefault="00DA494B" w:rsidP="00AE7A17">
      <w:pPr>
        <w:pStyle w:val="COMPara"/>
        <w:ind w:left="567" w:hanging="567"/>
        <w:jc w:val="both"/>
      </w:pPr>
      <w:r w:rsidRPr="0036251B">
        <w:t>Regarding</w:t>
      </w:r>
      <w:r w:rsidR="008F13F1" w:rsidRPr="0036251B">
        <w:t xml:space="preserve"> the Register of Good Safeguarding Practices, the ninth session of the General Assembly formalized two concrete outcomes of the </w:t>
      </w:r>
      <w:r w:rsidR="00743CE1" w:rsidRPr="0036251B">
        <w:t>g</w:t>
      </w:r>
      <w:r w:rsidR="008F13F1" w:rsidRPr="0036251B">
        <w:t xml:space="preserve">lobal reflection on the listing mechanisms of the 2003 Convention (Resolution </w:t>
      </w:r>
      <w:hyperlink r:id="rId18" w:history="1">
        <w:r w:rsidR="008F13F1" w:rsidRPr="0036251B">
          <w:rPr>
            <w:rStyle w:val="Hyperlink"/>
          </w:rPr>
          <w:t>9.GA 9</w:t>
        </w:r>
      </w:hyperlink>
      <w:r w:rsidR="008F13F1" w:rsidRPr="0036251B">
        <w:t>)</w:t>
      </w:r>
      <w:r w:rsidR="00A45537" w:rsidRPr="0036251B">
        <w:t>, following consultations with experts as well as a three-part meeting of an Open-ended intergovernmental working group</w:t>
      </w:r>
      <w:r w:rsidR="008F13F1" w:rsidRPr="0036251B">
        <w:t>:</w:t>
      </w:r>
    </w:p>
    <w:p w14:paraId="227946CA" w14:textId="77777777" w:rsidR="008F13F1" w:rsidRPr="0036251B" w:rsidRDefault="008F13F1" w:rsidP="008F13F1">
      <w:pPr>
        <w:pStyle w:val="ListParagraph"/>
        <w:spacing w:after="120"/>
        <w:ind w:left="567"/>
        <w:contextualSpacing w:val="0"/>
        <w:jc w:val="both"/>
        <w:rPr>
          <w:rFonts w:ascii="Arial" w:hAnsi="Arial" w:cs="Arial"/>
          <w:sz w:val="22"/>
          <w:szCs w:val="22"/>
          <w:lang w:val="en-GB"/>
        </w:rPr>
      </w:pPr>
      <w:r w:rsidRPr="0036251B">
        <w:rPr>
          <w:rFonts w:ascii="Arial" w:hAnsi="Arial" w:cs="Arial"/>
          <w:sz w:val="22"/>
          <w:szCs w:val="22"/>
          <w:lang w:val="en-GB"/>
        </w:rPr>
        <w:t xml:space="preserve">a. </w:t>
      </w:r>
      <w:r w:rsidRPr="0036251B">
        <w:rPr>
          <w:rFonts w:ascii="Arial" w:hAnsi="Arial" w:cs="Arial"/>
          <w:sz w:val="22"/>
          <w:szCs w:val="22"/>
          <w:u w:val="single"/>
          <w:lang w:val="en-GB"/>
        </w:rPr>
        <w:t>The deletion of criterion P.9</w:t>
      </w:r>
      <w:r w:rsidRPr="0036251B">
        <w:rPr>
          <w:rStyle w:val="FootnoteReference"/>
          <w:rFonts w:ascii="Arial" w:hAnsi="Arial" w:cs="Arial"/>
          <w:lang w:val="en-GB"/>
        </w:rPr>
        <w:footnoteReference w:id="5"/>
      </w:r>
      <w:r w:rsidRPr="0036251B">
        <w:rPr>
          <w:rFonts w:ascii="Arial" w:hAnsi="Arial" w:cs="Arial"/>
          <w:sz w:val="22"/>
          <w:szCs w:val="22"/>
          <w:lang w:val="en-GB"/>
        </w:rPr>
        <w:t xml:space="preserve">: It was considered that there was no clarity regarding how to evaluate ‘the needs of developing </w:t>
      </w:r>
      <w:proofErr w:type="gramStart"/>
      <w:r w:rsidRPr="0036251B">
        <w:rPr>
          <w:rFonts w:ascii="Arial" w:hAnsi="Arial" w:cs="Arial"/>
          <w:sz w:val="22"/>
          <w:szCs w:val="22"/>
          <w:lang w:val="en-GB"/>
        </w:rPr>
        <w:t>countries’</w:t>
      </w:r>
      <w:proofErr w:type="gramEnd"/>
      <w:r w:rsidRPr="0036251B">
        <w:rPr>
          <w:rFonts w:ascii="Arial" w:hAnsi="Arial" w:cs="Arial"/>
          <w:sz w:val="22"/>
          <w:szCs w:val="22"/>
          <w:lang w:val="en-GB"/>
        </w:rPr>
        <w:t>. This criterion was also seen to give the misguided impression that developed countries can provide good examples to developing countries, but not vice versa. Consequently, criterion P.9 was deleted from paragraph 7 of the Operational Directives.</w:t>
      </w:r>
    </w:p>
    <w:p w14:paraId="219D7758" w14:textId="3BB5A67B" w:rsidR="008F13F1" w:rsidRPr="0036251B" w:rsidRDefault="008F13F1" w:rsidP="00C45AED">
      <w:pPr>
        <w:pStyle w:val="COMPara"/>
        <w:numPr>
          <w:ilvl w:val="0"/>
          <w:numId w:val="0"/>
        </w:numPr>
        <w:ind w:left="567"/>
        <w:jc w:val="both"/>
      </w:pPr>
      <w:r w:rsidRPr="0036251B">
        <w:rPr>
          <w:rFonts w:eastAsia="DengXian"/>
        </w:rPr>
        <w:t xml:space="preserve">b </w:t>
      </w:r>
      <w:r w:rsidRPr="0036251B">
        <w:rPr>
          <w:rFonts w:eastAsia="DengXian"/>
          <w:u w:val="single"/>
        </w:rPr>
        <w:t xml:space="preserve">The inclusion in the </w:t>
      </w:r>
      <w:r w:rsidR="00DA494B" w:rsidRPr="0036251B">
        <w:rPr>
          <w:rFonts w:eastAsia="DengXian"/>
          <w:u w:val="single"/>
        </w:rPr>
        <w:t xml:space="preserve">Register </w:t>
      </w:r>
      <w:r w:rsidRPr="0036251B">
        <w:rPr>
          <w:rFonts w:eastAsia="DengXian"/>
          <w:u w:val="single"/>
        </w:rPr>
        <w:t xml:space="preserve">of </w:t>
      </w:r>
      <w:r w:rsidR="001D6930" w:rsidRPr="0036251B">
        <w:rPr>
          <w:rFonts w:eastAsia="DengXian"/>
          <w:u w:val="single"/>
        </w:rPr>
        <w:t>good</w:t>
      </w:r>
      <w:r w:rsidRPr="0036251B">
        <w:rPr>
          <w:rFonts w:eastAsia="DengXian"/>
          <w:u w:val="single"/>
        </w:rPr>
        <w:t xml:space="preserve"> safeguarding experiences witnessed in elements inscribed on the Urgent Safeguarding List</w:t>
      </w:r>
      <w:r w:rsidRPr="0036251B">
        <w:rPr>
          <w:rFonts w:eastAsia="DengXian"/>
        </w:rPr>
        <w:t xml:space="preserve">: new paragraph 39.3 of the Operational Directives opened up the </w:t>
      </w:r>
      <w:r w:rsidRPr="0036251B">
        <w:t>possibility</w:t>
      </w:r>
      <w:r w:rsidRPr="0036251B">
        <w:rPr>
          <w:rFonts w:eastAsia="DengXian"/>
        </w:rPr>
        <w:t xml:space="preserve"> for the Evaluation Body to recommend – after evaluating a request </w:t>
      </w:r>
      <w:r w:rsidR="00C336E8" w:rsidRPr="0036251B">
        <w:rPr>
          <w:rFonts w:eastAsia="DengXian"/>
        </w:rPr>
        <w:t>to transfer an element from the Urgent Safeguarding List to the Representative List</w:t>
      </w:r>
      <w:r w:rsidRPr="0036251B">
        <w:rPr>
          <w:rFonts w:eastAsia="DengXian"/>
        </w:rPr>
        <w:t xml:space="preserve"> – that the </w:t>
      </w:r>
      <w:r w:rsidRPr="0036251B">
        <w:rPr>
          <w:rFonts w:eastAsia="DengXian"/>
        </w:rPr>
        <w:lastRenderedPageBreak/>
        <w:t xml:space="preserve">Committee include a safeguarding experience successfully applied for an element inscribed on the Urgent Safeguarding List in the Register. The intention was to better interconnect the Lists and the Register, to </w:t>
      </w:r>
      <w:r w:rsidR="000114D9" w:rsidRPr="0036251B">
        <w:rPr>
          <w:rFonts w:eastAsia="DengXian"/>
        </w:rPr>
        <w:t>recognize the actual safeguarding efforts made for elements inscribed on the Urgent Safeguarding List</w:t>
      </w:r>
      <w:r w:rsidRPr="0036251B">
        <w:rPr>
          <w:rFonts w:eastAsia="DengXian"/>
        </w:rPr>
        <w:t xml:space="preserve">, </w:t>
      </w:r>
      <w:r w:rsidR="00F01224" w:rsidRPr="0036251B">
        <w:rPr>
          <w:rFonts w:eastAsia="DengXian"/>
        </w:rPr>
        <w:t xml:space="preserve">while </w:t>
      </w:r>
      <w:r w:rsidRPr="0036251B">
        <w:rPr>
          <w:rFonts w:eastAsia="DengXian"/>
        </w:rPr>
        <w:t>enrich</w:t>
      </w:r>
      <w:r w:rsidR="00F01224" w:rsidRPr="0036251B">
        <w:rPr>
          <w:rFonts w:eastAsia="DengXian"/>
        </w:rPr>
        <w:t>ing</w:t>
      </w:r>
      <w:r w:rsidRPr="0036251B">
        <w:rPr>
          <w:rFonts w:eastAsia="DengXian"/>
        </w:rPr>
        <w:t xml:space="preserve"> the </w:t>
      </w:r>
      <w:r w:rsidR="00F01224" w:rsidRPr="0036251B">
        <w:rPr>
          <w:rFonts w:eastAsia="DengXian"/>
        </w:rPr>
        <w:t>Register of Good Safeguarding Practices</w:t>
      </w:r>
      <w:r w:rsidRPr="0036251B">
        <w:rPr>
          <w:rFonts w:eastAsia="DengXian"/>
        </w:rPr>
        <w:t xml:space="preserve"> with inspiring examples, without necessarily going through the usual but heavier process of selecting good practices submitted by States Parties.</w:t>
      </w:r>
    </w:p>
    <w:p w14:paraId="30F83B25" w14:textId="13EC2139" w:rsidR="008F13F1" w:rsidRPr="0036251B" w:rsidRDefault="008F13F1" w:rsidP="000114D9">
      <w:pPr>
        <w:pStyle w:val="COMPara"/>
        <w:ind w:left="567" w:hanging="567"/>
        <w:jc w:val="both"/>
      </w:pPr>
      <w:r w:rsidRPr="0036251B">
        <w:t xml:space="preserve">Another outcome of the </w:t>
      </w:r>
      <w:r w:rsidR="00743CE1" w:rsidRPr="0036251B">
        <w:t>g</w:t>
      </w:r>
      <w:r w:rsidRPr="0036251B">
        <w:t xml:space="preserve">lobal reflection on the listing mechanisms was that it led to a decision by the Committee (Decision </w:t>
      </w:r>
      <w:hyperlink r:id="rId19" w:history="1">
        <w:r w:rsidRPr="0036251B">
          <w:rPr>
            <w:rStyle w:val="Hyperlink"/>
          </w:rPr>
          <w:t>16.COM 14</w:t>
        </w:r>
      </w:hyperlink>
      <w:r w:rsidRPr="0036251B">
        <w:t xml:space="preserve">; paragraph 9) to initiate a separate reflection to explore ways to more broadly implement Article 18 of the Convention. Given the complex and technical nature of the </w:t>
      </w:r>
      <w:r w:rsidR="00743CE1" w:rsidRPr="0036251B">
        <w:t>g</w:t>
      </w:r>
      <w:r w:rsidRPr="0036251B">
        <w:t xml:space="preserve">lobal </w:t>
      </w:r>
      <w:proofErr w:type="gramStart"/>
      <w:r w:rsidR="00743CE1" w:rsidRPr="0036251B">
        <w:t>r</w:t>
      </w:r>
      <w:r w:rsidRPr="0036251B">
        <w:t>eflection, and</w:t>
      </w:r>
      <w:proofErr w:type="gramEnd"/>
      <w:r w:rsidRPr="0036251B">
        <w:t xml:space="preserve"> drawing upon the advice of experts and the Open-ended </w:t>
      </w:r>
      <w:r w:rsidRPr="0036251B">
        <w:rPr>
          <w:snapToGrid/>
        </w:rPr>
        <w:t>intergovernmental</w:t>
      </w:r>
      <w:r w:rsidRPr="0036251B">
        <w:t xml:space="preserve"> working group, the Committee considered that the </w:t>
      </w:r>
      <w:r w:rsidR="00743CE1" w:rsidRPr="0036251B">
        <w:t>g</w:t>
      </w:r>
      <w:r w:rsidRPr="0036251B">
        <w:t xml:space="preserve">lobal </w:t>
      </w:r>
      <w:r w:rsidR="00743CE1" w:rsidRPr="0036251B">
        <w:t>r</w:t>
      </w:r>
      <w:r w:rsidRPr="0036251B">
        <w:t xml:space="preserve">eflection had not yet explored the full potential of Article 18 since certain issues could not be addressed or covered in full. </w:t>
      </w:r>
      <w:r w:rsidRPr="0036251B">
        <w:rPr>
          <w:u w:val="single"/>
        </w:rPr>
        <w:t xml:space="preserve">The idea was not only to continue discussing issues raised during the </w:t>
      </w:r>
      <w:r w:rsidR="00743CE1" w:rsidRPr="0036251B">
        <w:rPr>
          <w:u w:val="single"/>
        </w:rPr>
        <w:t>g</w:t>
      </w:r>
      <w:r w:rsidRPr="0036251B">
        <w:rPr>
          <w:u w:val="single"/>
        </w:rPr>
        <w:t xml:space="preserve">lobal </w:t>
      </w:r>
      <w:r w:rsidR="00743CE1" w:rsidRPr="0036251B">
        <w:rPr>
          <w:u w:val="single"/>
        </w:rPr>
        <w:t>r</w:t>
      </w:r>
      <w:r w:rsidRPr="0036251B">
        <w:rPr>
          <w:u w:val="single"/>
        </w:rPr>
        <w:t>eflection concerning the management of the Register of Good Safeguarding Practices, but also to pay attention to the implementation of Article 18 beyond it</w:t>
      </w:r>
      <w:r w:rsidRPr="0036251B">
        <w:t>.</w:t>
      </w:r>
    </w:p>
    <w:p w14:paraId="3E01BB8E" w14:textId="27FC0FA5" w:rsidR="008F13F1" w:rsidRPr="0036251B" w:rsidRDefault="008F13F1" w:rsidP="00846486">
      <w:pPr>
        <w:pStyle w:val="COMPara"/>
        <w:keepNext/>
        <w:ind w:left="567" w:hanging="567"/>
        <w:jc w:val="both"/>
        <w:rPr>
          <w:rStyle w:val="hps"/>
        </w:rPr>
      </w:pPr>
      <w:r w:rsidRPr="0036251B">
        <w:t>T</w:t>
      </w:r>
      <w:r w:rsidRPr="0036251B">
        <w:rPr>
          <w:rStyle w:val="hps"/>
          <w:rFonts w:asciiTheme="minorBidi" w:hAnsiTheme="minorBidi" w:cstheme="minorBidi"/>
          <w:snapToGrid/>
        </w:rPr>
        <w:t>his new reflection was made possible thanks to a contribution by the Kingdom of Sweden in September 2021</w:t>
      </w:r>
      <w:r w:rsidR="00FB4546" w:rsidRPr="0036251B">
        <w:rPr>
          <w:rStyle w:val="hps"/>
          <w:rFonts w:asciiTheme="minorBidi" w:hAnsiTheme="minorBidi" w:cstheme="minorBidi"/>
          <w:snapToGrid/>
        </w:rPr>
        <w:t xml:space="preserve"> and 2022</w:t>
      </w:r>
      <w:r w:rsidRPr="0036251B">
        <w:rPr>
          <w:rStyle w:val="hps"/>
          <w:rFonts w:asciiTheme="minorBidi" w:hAnsiTheme="minorBidi" w:cstheme="minorBidi"/>
          <w:snapToGrid/>
        </w:rPr>
        <w:t xml:space="preserve"> in </w:t>
      </w:r>
      <w:r w:rsidRPr="0036251B">
        <w:t xml:space="preserve">the form of </w:t>
      </w:r>
      <w:r w:rsidR="00116C7E" w:rsidRPr="0036251B">
        <w:t xml:space="preserve">two rounds of </w:t>
      </w:r>
      <w:r w:rsidRPr="0036251B">
        <w:t>additional contribution</w:t>
      </w:r>
      <w:r w:rsidR="00324843" w:rsidRPr="0036251B">
        <w:t>s</w:t>
      </w:r>
      <w:r w:rsidRPr="0036251B">
        <w:t xml:space="preserve"> to the Regular Programme of UNESCO (document </w:t>
      </w:r>
      <w:hyperlink r:id="rId20" w:history="1">
        <w:r w:rsidRPr="0036251B">
          <w:rPr>
            <w:rStyle w:val="Hyperlink"/>
          </w:rPr>
          <w:t>LHE/21/17.COM/12</w:t>
        </w:r>
      </w:hyperlink>
      <w:r w:rsidRPr="0036251B">
        <w:t>)</w:t>
      </w:r>
      <w:r w:rsidR="00A1096B" w:rsidRPr="0036251B">
        <w:t>; the financial resources for the initiative are further complemented by the Fund for the Safeguarding of the Intangible Cultural Heritage</w:t>
      </w:r>
      <w:r w:rsidRPr="0036251B">
        <w:t>.</w:t>
      </w:r>
      <w:r w:rsidR="009B798E" w:rsidRPr="0036251B">
        <w:t xml:space="preserve"> </w:t>
      </w:r>
      <w:r w:rsidR="00A1096B" w:rsidRPr="0036251B">
        <w:t xml:space="preserve">The </w:t>
      </w:r>
      <w:r w:rsidR="00324843" w:rsidRPr="0036251B">
        <w:t xml:space="preserve">general </w:t>
      </w:r>
      <w:r w:rsidR="009407CE" w:rsidRPr="0036251B">
        <w:t xml:space="preserve">information about the reflection can be found </w:t>
      </w:r>
      <w:r w:rsidR="00324843" w:rsidRPr="0036251B">
        <w:t xml:space="preserve">on </w:t>
      </w:r>
      <w:r w:rsidR="009407CE" w:rsidRPr="0036251B">
        <w:t>t</w:t>
      </w:r>
      <w:r w:rsidR="009B798E" w:rsidRPr="0036251B">
        <w:rPr>
          <w:color w:val="000000" w:themeColor="text1"/>
          <w:lang w:val="en-US"/>
        </w:rPr>
        <w:t xml:space="preserve">he </w:t>
      </w:r>
      <w:hyperlink r:id="rId21" w:history="1">
        <w:r w:rsidR="009B798E" w:rsidRPr="0036251B">
          <w:rPr>
            <w:rStyle w:val="Hyperlink"/>
            <w:lang w:val="en-US"/>
          </w:rPr>
          <w:t>dedicated webpage</w:t>
        </w:r>
      </w:hyperlink>
      <w:r w:rsidR="009B798E" w:rsidRPr="0036251B">
        <w:rPr>
          <w:color w:val="000000" w:themeColor="text1"/>
          <w:lang w:val="en-US"/>
        </w:rPr>
        <w:t xml:space="preserve"> of the Convention.</w:t>
      </w:r>
    </w:p>
    <w:p w14:paraId="494BC2CA" w14:textId="33E6BC9E" w:rsidR="008F13F1" w:rsidRPr="0036251B" w:rsidRDefault="008F13F1" w:rsidP="00AE7A17">
      <w:pPr>
        <w:pStyle w:val="COMPara"/>
        <w:keepNext/>
        <w:numPr>
          <w:ilvl w:val="0"/>
          <w:numId w:val="6"/>
        </w:numPr>
        <w:spacing w:before="240"/>
        <w:ind w:left="567" w:hanging="567"/>
        <w:jc w:val="both"/>
        <w:rPr>
          <w:b/>
          <w:bCs/>
        </w:rPr>
      </w:pPr>
      <w:r w:rsidRPr="0036251B">
        <w:rPr>
          <w:b/>
          <w:bCs/>
        </w:rPr>
        <w:t>The reflection process: timeline</w:t>
      </w:r>
      <w:r w:rsidR="003B3F9F" w:rsidRPr="0036251B">
        <w:rPr>
          <w:b/>
          <w:bCs/>
        </w:rPr>
        <w:t xml:space="preserve"> and topics</w:t>
      </w:r>
    </w:p>
    <w:p w14:paraId="6F5D4168" w14:textId="5966F3E9" w:rsidR="0067208B" w:rsidRPr="0036251B" w:rsidRDefault="0067208B" w:rsidP="00F8683A">
      <w:pPr>
        <w:pStyle w:val="COMPara"/>
        <w:ind w:left="567" w:hanging="567"/>
        <w:jc w:val="both"/>
      </w:pPr>
      <w:r w:rsidRPr="0036251B">
        <w:t>The timetable for the reflection process, as approved by the seventeenth session of the Committee (</w:t>
      </w:r>
      <w:r w:rsidRPr="0036251B">
        <w:rPr>
          <w:lang w:val="en-AU"/>
        </w:rPr>
        <w:t xml:space="preserve">Decision </w:t>
      </w:r>
      <w:hyperlink r:id="rId22" w:history="1">
        <w:r w:rsidRPr="0036251B">
          <w:rPr>
            <w:rStyle w:val="Hyperlink"/>
            <w:lang w:val="en-AU"/>
          </w:rPr>
          <w:t>17.COM 10</w:t>
        </w:r>
      </w:hyperlink>
      <w:r w:rsidRPr="0036251B">
        <w:t xml:space="preserve">; see </w:t>
      </w:r>
      <w:r w:rsidR="00324843" w:rsidRPr="0036251B">
        <w:t xml:space="preserve">also the </w:t>
      </w:r>
      <w:r w:rsidRPr="0036251B">
        <w:t xml:space="preserve">Annex of document </w:t>
      </w:r>
      <w:hyperlink r:id="rId23" w:history="1">
        <w:r w:rsidRPr="0036251B">
          <w:rPr>
            <w:rStyle w:val="Hyperlink"/>
          </w:rPr>
          <w:t>LHE/22/17.COM/10</w:t>
        </w:r>
      </w:hyperlink>
      <w:r w:rsidRPr="0036251B">
        <w:t xml:space="preserve">), includes a Category VI meeting of experts that was convened from 19 to 21 April 2023 (Stockholm, Sweden) to lay the ground for the discussions of the </w:t>
      </w:r>
      <w:r w:rsidR="00AC6BDB" w:rsidRPr="0036251B">
        <w:t xml:space="preserve">present meeting of the </w:t>
      </w:r>
      <w:r w:rsidRPr="0036251B">
        <w:t>working group. After the meeting of the working group, the eighteenth session of the Committee (4 to 9 December 2023, Kasane, Republic of Botswana) will provide an opportunity for further intergovernmental discussion</w:t>
      </w:r>
      <w:r w:rsidR="00324843" w:rsidRPr="0036251B">
        <w:t>s</w:t>
      </w:r>
      <w:r w:rsidRPr="0036251B">
        <w:t xml:space="preserve"> before the progress of the reflection </w:t>
      </w:r>
      <w:r w:rsidR="00324843" w:rsidRPr="0036251B">
        <w:t xml:space="preserve">is presented </w:t>
      </w:r>
      <w:r w:rsidRPr="0036251B">
        <w:t>to the tenth session of the General Assembly (mid-2024, UNESCO Headquarters).</w:t>
      </w:r>
    </w:p>
    <w:p w14:paraId="4D5FCD8C" w14:textId="5A63F15D" w:rsidR="0067208B" w:rsidRPr="0036251B" w:rsidRDefault="00A12054" w:rsidP="00AE7A17">
      <w:pPr>
        <w:pStyle w:val="COMPara"/>
        <w:ind w:left="567" w:hanging="567"/>
        <w:jc w:val="both"/>
      </w:pPr>
      <w:r w:rsidRPr="0036251B">
        <w:t xml:space="preserve">The table below </w:t>
      </w:r>
      <w:r w:rsidR="00324843" w:rsidRPr="0036251B">
        <w:t xml:space="preserve">summarizes </w:t>
      </w:r>
      <w:r w:rsidRPr="0036251B">
        <w:t>the time</w:t>
      </w:r>
      <w:r w:rsidR="005765CE" w:rsidRPr="0036251B">
        <w:t>line of the reflection</w:t>
      </w:r>
      <w:r w:rsidR="002D2CEC" w:rsidRPr="0036251B">
        <w:t xml:space="preserve"> with </w:t>
      </w:r>
      <w:r w:rsidR="00324843" w:rsidRPr="0036251B">
        <w:t xml:space="preserve">the </w:t>
      </w:r>
      <w:r w:rsidR="002D2CEC" w:rsidRPr="0036251B">
        <w:t>key milestones</w:t>
      </w:r>
      <w:r w:rsidRPr="0036251B">
        <w:t>:</w:t>
      </w:r>
    </w:p>
    <w:tbl>
      <w:tblPr>
        <w:tblStyle w:val="TableGrid"/>
        <w:tblW w:w="0" w:type="auto"/>
        <w:tblInd w:w="567" w:type="dxa"/>
        <w:tblLook w:val="04A0" w:firstRow="1" w:lastRow="0" w:firstColumn="1" w:lastColumn="0" w:noHBand="0" w:noVBand="1"/>
      </w:tblPr>
      <w:tblGrid>
        <w:gridCol w:w="3256"/>
        <w:gridCol w:w="5805"/>
      </w:tblGrid>
      <w:tr w:rsidR="00A12054" w:rsidRPr="0036251B" w14:paraId="702C6AFA" w14:textId="77777777" w:rsidTr="0034794D">
        <w:tc>
          <w:tcPr>
            <w:tcW w:w="3256" w:type="dxa"/>
            <w:shd w:val="clear" w:color="auto" w:fill="F2F2F2" w:themeFill="background1" w:themeFillShade="F2"/>
          </w:tcPr>
          <w:p w14:paraId="02EBA02C" w14:textId="7E8AD2E0" w:rsidR="00A12054" w:rsidRPr="0036251B" w:rsidRDefault="00A12054" w:rsidP="00A12054">
            <w:pPr>
              <w:pStyle w:val="COMPara"/>
              <w:numPr>
                <w:ilvl w:val="0"/>
                <w:numId w:val="0"/>
              </w:numPr>
              <w:spacing w:after="0"/>
              <w:jc w:val="both"/>
              <w:rPr>
                <w:b/>
                <w:bCs/>
                <w:sz w:val="18"/>
                <w:szCs w:val="18"/>
              </w:rPr>
            </w:pPr>
            <w:r w:rsidRPr="0036251B">
              <w:rPr>
                <w:b/>
                <w:bCs/>
                <w:sz w:val="18"/>
                <w:szCs w:val="18"/>
              </w:rPr>
              <w:t>Dates</w:t>
            </w:r>
          </w:p>
        </w:tc>
        <w:tc>
          <w:tcPr>
            <w:tcW w:w="5805" w:type="dxa"/>
            <w:shd w:val="clear" w:color="auto" w:fill="F2F2F2" w:themeFill="background1" w:themeFillShade="F2"/>
          </w:tcPr>
          <w:p w14:paraId="246C7760" w14:textId="01203FB6" w:rsidR="00A12054" w:rsidRPr="0036251B" w:rsidRDefault="00A12054" w:rsidP="00A12054">
            <w:pPr>
              <w:pStyle w:val="COMPara"/>
              <w:numPr>
                <w:ilvl w:val="0"/>
                <w:numId w:val="0"/>
              </w:numPr>
              <w:spacing w:after="0"/>
              <w:jc w:val="both"/>
              <w:rPr>
                <w:b/>
                <w:bCs/>
                <w:sz w:val="18"/>
                <w:szCs w:val="18"/>
              </w:rPr>
            </w:pPr>
            <w:r w:rsidRPr="0036251B">
              <w:rPr>
                <w:b/>
                <w:bCs/>
                <w:sz w:val="18"/>
                <w:szCs w:val="18"/>
              </w:rPr>
              <w:t>Key milestones</w:t>
            </w:r>
          </w:p>
        </w:tc>
      </w:tr>
      <w:tr w:rsidR="00A12054" w:rsidRPr="0036251B" w14:paraId="122E2416" w14:textId="77777777" w:rsidTr="0034794D">
        <w:tc>
          <w:tcPr>
            <w:tcW w:w="3256" w:type="dxa"/>
          </w:tcPr>
          <w:p w14:paraId="66581123" w14:textId="2148A92A" w:rsidR="003767EF" w:rsidRPr="0036251B" w:rsidRDefault="006B739D" w:rsidP="00A12054">
            <w:pPr>
              <w:pStyle w:val="COMPara"/>
              <w:numPr>
                <w:ilvl w:val="0"/>
                <w:numId w:val="0"/>
              </w:numPr>
              <w:spacing w:after="0"/>
              <w:jc w:val="both"/>
              <w:rPr>
                <w:sz w:val="18"/>
                <w:szCs w:val="18"/>
              </w:rPr>
            </w:pPr>
            <w:r w:rsidRPr="0036251B">
              <w:rPr>
                <w:sz w:val="18"/>
                <w:szCs w:val="18"/>
              </w:rPr>
              <w:t>13 to 18 December 2021</w:t>
            </w:r>
          </w:p>
          <w:p w14:paraId="7310E623" w14:textId="399D65D3" w:rsidR="00A12054" w:rsidRPr="0036251B" w:rsidRDefault="006B739D" w:rsidP="00A12054">
            <w:pPr>
              <w:pStyle w:val="COMPara"/>
              <w:numPr>
                <w:ilvl w:val="0"/>
                <w:numId w:val="0"/>
              </w:numPr>
              <w:spacing w:after="0"/>
              <w:jc w:val="both"/>
              <w:rPr>
                <w:sz w:val="18"/>
                <w:szCs w:val="18"/>
              </w:rPr>
            </w:pPr>
            <w:r w:rsidRPr="0036251B">
              <w:rPr>
                <w:sz w:val="18"/>
                <w:szCs w:val="18"/>
              </w:rPr>
              <w:t>(Online)</w:t>
            </w:r>
          </w:p>
        </w:tc>
        <w:tc>
          <w:tcPr>
            <w:tcW w:w="5805" w:type="dxa"/>
          </w:tcPr>
          <w:p w14:paraId="73083652" w14:textId="1E520B6B" w:rsidR="00A12054" w:rsidRPr="0036251B" w:rsidRDefault="006B739D" w:rsidP="00FA35A9">
            <w:pPr>
              <w:pStyle w:val="COMPara"/>
              <w:numPr>
                <w:ilvl w:val="0"/>
                <w:numId w:val="0"/>
              </w:numPr>
              <w:jc w:val="both"/>
              <w:rPr>
                <w:b/>
                <w:bCs/>
                <w:sz w:val="18"/>
                <w:szCs w:val="18"/>
              </w:rPr>
            </w:pPr>
            <w:r w:rsidRPr="0036251B">
              <w:rPr>
                <w:b/>
                <w:bCs/>
                <w:sz w:val="18"/>
                <w:szCs w:val="18"/>
              </w:rPr>
              <w:t>Sixteenth session of the Committee</w:t>
            </w:r>
          </w:p>
          <w:p w14:paraId="78BC97EC" w14:textId="00463236" w:rsidR="006B739D" w:rsidRPr="0036251B" w:rsidRDefault="006B739D" w:rsidP="00FA35A9">
            <w:pPr>
              <w:pStyle w:val="COMPara"/>
              <w:numPr>
                <w:ilvl w:val="0"/>
                <w:numId w:val="0"/>
              </w:numPr>
              <w:jc w:val="both"/>
              <w:rPr>
                <w:sz w:val="18"/>
                <w:szCs w:val="18"/>
              </w:rPr>
            </w:pPr>
            <w:r w:rsidRPr="0036251B">
              <w:rPr>
                <w:sz w:val="18"/>
                <w:szCs w:val="18"/>
              </w:rPr>
              <w:t xml:space="preserve">Item 14: </w:t>
            </w:r>
            <w:r w:rsidR="00FA35A9" w:rsidRPr="0036251B">
              <w:rPr>
                <w:sz w:val="18"/>
                <w:szCs w:val="18"/>
              </w:rPr>
              <w:t>Reflection on the listing mechanisms of the Convention and proposal for related revisions to the Operational Direct</w:t>
            </w:r>
            <w:r w:rsidR="00782E9D" w:rsidRPr="0036251B">
              <w:rPr>
                <w:sz w:val="18"/>
                <w:szCs w:val="18"/>
              </w:rPr>
              <w:t>i</w:t>
            </w:r>
            <w:r w:rsidR="00FA35A9" w:rsidRPr="0036251B">
              <w:rPr>
                <w:sz w:val="18"/>
                <w:szCs w:val="18"/>
              </w:rPr>
              <w:t>ves</w:t>
            </w:r>
          </w:p>
          <w:p w14:paraId="3C89B701" w14:textId="134D9824" w:rsidR="006B739D" w:rsidRPr="0036251B" w:rsidRDefault="006B739D" w:rsidP="00FA35A9">
            <w:pPr>
              <w:pStyle w:val="COMPara"/>
              <w:numPr>
                <w:ilvl w:val="0"/>
                <w:numId w:val="0"/>
              </w:numPr>
              <w:jc w:val="both"/>
              <w:rPr>
                <w:sz w:val="18"/>
                <w:szCs w:val="18"/>
              </w:rPr>
            </w:pPr>
            <w:r w:rsidRPr="0036251B">
              <w:rPr>
                <w:sz w:val="18"/>
                <w:szCs w:val="18"/>
              </w:rPr>
              <w:t xml:space="preserve">Decision </w:t>
            </w:r>
            <w:hyperlink r:id="rId24" w:history="1">
              <w:r w:rsidRPr="0036251B">
                <w:rPr>
                  <w:rStyle w:val="Hyperlink"/>
                  <w:sz w:val="18"/>
                  <w:szCs w:val="18"/>
                </w:rPr>
                <w:t>16.COM 14</w:t>
              </w:r>
            </w:hyperlink>
          </w:p>
          <w:p w14:paraId="42F13850" w14:textId="77777777" w:rsidR="00F87F27" w:rsidRPr="0036251B" w:rsidRDefault="00F87F27" w:rsidP="00F87F27">
            <w:pPr>
              <w:pStyle w:val="COMPara"/>
              <w:numPr>
                <w:ilvl w:val="0"/>
                <w:numId w:val="0"/>
              </w:numPr>
              <w:spacing w:after="0"/>
              <w:jc w:val="right"/>
              <w:rPr>
                <w:color w:val="365F91" w:themeColor="accent1" w:themeShade="BF"/>
                <w:sz w:val="18"/>
                <w:szCs w:val="18"/>
              </w:rPr>
            </w:pPr>
            <w:r w:rsidRPr="0036251B">
              <w:rPr>
                <w:color w:val="365F91" w:themeColor="accent1" w:themeShade="BF"/>
                <w:sz w:val="18"/>
                <w:szCs w:val="18"/>
              </w:rPr>
              <w:t xml:space="preserve">Endorsing the recommendations of Parts I and II of </w:t>
            </w:r>
          </w:p>
          <w:p w14:paraId="35F2C3B3" w14:textId="34DE6E1E" w:rsidR="00F87F27" w:rsidRPr="0036251B" w:rsidRDefault="00F87F27" w:rsidP="00F87F27">
            <w:pPr>
              <w:pStyle w:val="COMPara"/>
              <w:numPr>
                <w:ilvl w:val="0"/>
                <w:numId w:val="0"/>
              </w:numPr>
              <w:spacing w:after="0"/>
              <w:jc w:val="right"/>
              <w:rPr>
                <w:color w:val="365F91" w:themeColor="accent1" w:themeShade="BF"/>
                <w:sz w:val="18"/>
                <w:szCs w:val="18"/>
              </w:rPr>
            </w:pPr>
            <w:r w:rsidRPr="0036251B">
              <w:rPr>
                <w:color w:val="365F91" w:themeColor="accent1" w:themeShade="BF"/>
                <w:sz w:val="18"/>
                <w:szCs w:val="18"/>
              </w:rPr>
              <w:t>the Open-ended intergovernmental working group on the global reflection on the listing mechanisms of the Convention</w:t>
            </w:r>
          </w:p>
          <w:p w14:paraId="4F9CD79E" w14:textId="77777777" w:rsidR="00F87F27" w:rsidRPr="0036251B" w:rsidRDefault="00F87F27" w:rsidP="00F87F27">
            <w:pPr>
              <w:pStyle w:val="COMPara"/>
              <w:numPr>
                <w:ilvl w:val="0"/>
                <w:numId w:val="0"/>
              </w:numPr>
              <w:spacing w:after="0"/>
              <w:jc w:val="right"/>
              <w:rPr>
                <w:color w:val="365F91" w:themeColor="accent1" w:themeShade="BF"/>
                <w:sz w:val="18"/>
                <w:szCs w:val="18"/>
              </w:rPr>
            </w:pPr>
          </w:p>
          <w:p w14:paraId="6A59CD84" w14:textId="5433504F" w:rsidR="00F87F27" w:rsidRPr="0036251B" w:rsidRDefault="00AE7A17" w:rsidP="00F87F27">
            <w:pPr>
              <w:pStyle w:val="COMPara"/>
              <w:numPr>
                <w:ilvl w:val="0"/>
                <w:numId w:val="0"/>
              </w:numPr>
              <w:spacing w:after="0"/>
              <w:jc w:val="right"/>
              <w:rPr>
                <w:sz w:val="18"/>
                <w:szCs w:val="18"/>
              </w:rPr>
            </w:pPr>
            <w:r w:rsidRPr="0036251B">
              <w:rPr>
                <w:color w:val="365F91" w:themeColor="accent1" w:themeShade="BF"/>
                <w:sz w:val="18"/>
                <w:szCs w:val="18"/>
              </w:rPr>
              <w:t xml:space="preserve">Initiation of </w:t>
            </w:r>
            <w:r w:rsidR="00F87F27" w:rsidRPr="0036251B">
              <w:rPr>
                <w:color w:val="365F91" w:themeColor="accent1" w:themeShade="BF"/>
                <w:sz w:val="18"/>
                <w:szCs w:val="18"/>
              </w:rPr>
              <w:t xml:space="preserve">the </w:t>
            </w:r>
            <w:r w:rsidRPr="0036251B">
              <w:rPr>
                <w:color w:val="365F91" w:themeColor="accent1" w:themeShade="BF"/>
                <w:sz w:val="18"/>
                <w:szCs w:val="18"/>
              </w:rPr>
              <w:t>reflection</w:t>
            </w:r>
            <w:r w:rsidR="00F87F27" w:rsidRPr="0036251B">
              <w:rPr>
                <w:color w:val="365F91" w:themeColor="accent1" w:themeShade="BF"/>
                <w:sz w:val="18"/>
                <w:szCs w:val="18"/>
              </w:rPr>
              <w:t xml:space="preserve"> on Article 18</w:t>
            </w:r>
          </w:p>
        </w:tc>
      </w:tr>
      <w:tr w:rsidR="00A12054" w:rsidRPr="0036251B" w14:paraId="684A32B5" w14:textId="77777777" w:rsidTr="0034794D">
        <w:tc>
          <w:tcPr>
            <w:tcW w:w="3256" w:type="dxa"/>
          </w:tcPr>
          <w:p w14:paraId="334CB857" w14:textId="7B8E75A3" w:rsidR="003767EF" w:rsidRPr="0036251B" w:rsidRDefault="00782E9D" w:rsidP="00782E9D">
            <w:pPr>
              <w:pStyle w:val="COMPara"/>
              <w:numPr>
                <w:ilvl w:val="0"/>
                <w:numId w:val="0"/>
              </w:numPr>
              <w:tabs>
                <w:tab w:val="center" w:pos="1520"/>
              </w:tabs>
              <w:spacing w:after="0"/>
              <w:jc w:val="both"/>
              <w:rPr>
                <w:sz w:val="18"/>
                <w:szCs w:val="18"/>
              </w:rPr>
            </w:pPr>
            <w:r w:rsidRPr="0036251B">
              <w:rPr>
                <w:sz w:val="18"/>
                <w:szCs w:val="18"/>
              </w:rPr>
              <w:t>1 July 2022</w:t>
            </w:r>
          </w:p>
          <w:p w14:paraId="0F2B1F63" w14:textId="0143836E" w:rsidR="00A12054" w:rsidRPr="0036251B" w:rsidRDefault="003767EF" w:rsidP="00782E9D">
            <w:pPr>
              <w:pStyle w:val="COMPara"/>
              <w:numPr>
                <w:ilvl w:val="0"/>
                <w:numId w:val="0"/>
              </w:numPr>
              <w:tabs>
                <w:tab w:val="center" w:pos="1520"/>
              </w:tabs>
              <w:spacing w:after="0"/>
              <w:jc w:val="both"/>
              <w:rPr>
                <w:sz w:val="18"/>
                <w:szCs w:val="18"/>
              </w:rPr>
            </w:pPr>
            <w:r w:rsidRPr="0036251B">
              <w:rPr>
                <w:sz w:val="18"/>
                <w:szCs w:val="18"/>
              </w:rPr>
              <w:t>(Online)</w:t>
            </w:r>
          </w:p>
        </w:tc>
        <w:tc>
          <w:tcPr>
            <w:tcW w:w="5805" w:type="dxa"/>
          </w:tcPr>
          <w:p w14:paraId="276DD687" w14:textId="010ABB1F" w:rsidR="00782E9D" w:rsidRPr="0036251B" w:rsidRDefault="00782E9D" w:rsidP="00782E9D">
            <w:pPr>
              <w:pStyle w:val="COMPara"/>
              <w:numPr>
                <w:ilvl w:val="0"/>
                <w:numId w:val="0"/>
              </w:numPr>
              <w:jc w:val="both"/>
              <w:rPr>
                <w:b/>
                <w:bCs/>
                <w:sz w:val="18"/>
                <w:szCs w:val="18"/>
              </w:rPr>
            </w:pPr>
            <w:r w:rsidRPr="0036251B">
              <w:rPr>
                <w:b/>
                <w:bCs/>
                <w:sz w:val="18"/>
                <w:szCs w:val="18"/>
              </w:rPr>
              <w:t>Fifth extraordinary session of the Committee</w:t>
            </w:r>
          </w:p>
          <w:p w14:paraId="5CAB0659" w14:textId="0E984FED" w:rsidR="00782E9D" w:rsidRPr="0036251B" w:rsidRDefault="00782E9D" w:rsidP="00782E9D">
            <w:pPr>
              <w:pStyle w:val="COMPara"/>
              <w:numPr>
                <w:ilvl w:val="0"/>
                <w:numId w:val="0"/>
              </w:numPr>
              <w:jc w:val="both"/>
              <w:rPr>
                <w:sz w:val="18"/>
                <w:szCs w:val="18"/>
              </w:rPr>
            </w:pPr>
            <w:r w:rsidRPr="0036251B">
              <w:rPr>
                <w:sz w:val="18"/>
                <w:szCs w:val="18"/>
              </w:rPr>
              <w:t>Item 4: The global reflection on the listing mechanisms of the Convention and proposed revisions to the Operational Directives</w:t>
            </w:r>
          </w:p>
          <w:p w14:paraId="29D73252" w14:textId="77777777" w:rsidR="00A12054" w:rsidRPr="0036251B" w:rsidRDefault="00782E9D" w:rsidP="00782E9D">
            <w:pPr>
              <w:pStyle w:val="COMPara"/>
              <w:numPr>
                <w:ilvl w:val="0"/>
                <w:numId w:val="0"/>
              </w:numPr>
              <w:jc w:val="both"/>
              <w:rPr>
                <w:sz w:val="18"/>
                <w:szCs w:val="18"/>
              </w:rPr>
            </w:pPr>
            <w:r w:rsidRPr="0036251B">
              <w:rPr>
                <w:sz w:val="18"/>
                <w:szCs w:val="18"/>
              </w:rPr>
              <w:t xml:space="preserve">Decision </w:t>
            </w:r>
            <w:hyperlink r:id="rId25" w:history="1">
              <w:r w:rsidRPr="0036251B">
                <w:rPr>
                  <w:rStyle w:val="Hyperlink"/>
                  <w:sz w:val="18"/>
                  <w:szCs w:val="18"/>
                </w:rPr>
                <w:t>5.EXT.COM 4</w:t>
              </w:r>
            </w:hyperlink>
          </w:p>
          <w:p w14:paraId="633E053D" w14:textId="5D5BE4CD" w:rsidR="00367087" w:rsidRPr="0036251B" w:rsidRDefault="00F87F27" w:rsidP="00F87F27">
            <w:pPr>
              <w:pStyle w:val="COMPara"/>
              <w:numPr>
                <w:ilvl w:val="0"/>
                <w:numId w:val="0"/>
              </w:numPr>
              <w:spacing w:after="0"/>
              <w:jc w:val="right"/>
              <w:rPr>
                <w:color w:val="365F91" w:themeColor="accent1" w:themeShade="BF"/>
                <w:sz w:val="18"/>
                <w:szCs w:val="18"/>
              </w:rPr>
            </w:pPr>
            <w:r w:rsidRPr="0036251B">
              <w:rPr>
                <w:color w:val="365F91" w:themeColor="accent1" w:themeShade="BF"/>
                <w:sz w:val="18"/>
                <w:szCs w:val="18"/>
              </w:rPr>
              <w:t>Endorsing the recommendations of Part III of the Open-ended intergovernmental working group on the</w:t>
            </w:r>
          </w:p>
          <w:p w14:paraId="3DB05403" w14:textId="77777777" w:rsidR="00F87F27" w:rsidRPr="0036251B" w:rsidRDefault="00F87F27" w:rsidP="00367087">
            <w:pPr>
              <w:pStyle w:val="COMPara"/>
              <w:numPr>
                <w:ilvl w:val="0"/>
                <w:numId w:val="0"/>
              </w:numPr>
              <w:spacing w:after="0"/>
              <w:jc w:val="right"/>
              <w:rPr>
                <w:color w:val="365F91" w:themeColor="accent1" w:themeShade="BF"/>
                <w:sz w:val="18"/>
                <w:szCs w:val="18"/>
              </w:rPr>
            </w:pPr>
            <w:r w:rsidRPr="0036251B">
              <w:rPr>
                <w:color w:val="365F91" w:themeColor="accent1" w:themeShade="BF"/>
                <w:sz w:val="18"/>
                <w:szCs w:val="18"/>
              </w:rPr>
              <w:t>global reflection</w:t>
            </w:r>
            <w:r w:rsidR="004301B1" w:rsidRPr="0036251B">
              <w:rPr>
                <w:color w:val="365F91" w:themeColor="accent1" w:themeShade="BF"/>
                <w:sz w:val="18"/>
                <w:szCs w:val="18"/>
              </w:rPr>
              <w:t xml:space="preserve"> </w:t>
            </w:r>
            <w:r w:rsidRPr="0036251B">
              <w:rPr>
                <w:color w:val="365F91" w:themeColor="accent1" w:themeShade="BF"/>
                <w:sz w:val="18"/>
                <w:szCs w:val="18"/>
              </w:rPr>
              <w:t>on the listing mechanisms of the Convention</w:t>
            </w:r>
          </w:p>
          <w:p w14:paraId="5BD4EFA5" w14:textId="77777777" w:rsidR="00C336E8" w:rsidRPr="0036251B" w:rsidRDefault="00C336E8" w:rsidP="00367087">
            <w:pPr>
              <w:pStyle w:val="COMPara"/>
              <w:numPr>
                <w:ilvl w:val="0"/>
                <w:numId w:val="0"/>
              </w:numPr>
              <w:spacing w:after="0"/>
              <w:jc w:val="right"/>
              <w:rPr>
                <w:color w:val="365F91" w:themeColor="accent1" w:themeShade="BF"/>
                <w:sz w:val="18"/>
                <w:szCs w:val="18"/>
              </w:rPr>
            </w:pPr>
          </w:p>
          <w:p w14:paraId="045FBFB5" w14:textId="3014FF64" w:rsidR="00C336E8" w:rsidRPr="0036251B" w:rsidRDefault="00C336E8" w:rsidP="00367087">
            <w:pPr>
              <w:pStyle w:val="COMPara"/>
              <w:numPr>
                <w:ilvl w:val="0"/>
                <w:numId w:val="0"/>
              </w:numPr>
              <w:spacing w:after="0"/>
              <w:jc w:val="right"/>
              <w:rPr>
                <w:sz w:val="18"/>
                <w:szCs w:val="18"/>
              </w:rPr>
            </w:pPr>
            <w:r w:rsidRPr="0036251B">
              <w:rPr>
                <w:color w:val="365F91" w:themeColor="accent1" w:themeShade="BF"/>
                <w:sz w:val="18"/>
                <w:szCs w:val="18"/>
              </w:rPr>
              <w:t>Referring to the reflection on Article 18</w:t>
            </w:r>
          </w:p>
        </w:tc>
      </w:tr>
      <w:tr w:rsidR="00A12054" w:rsidRPr="0036251B" w14:paraId="359CA939" w14:textId="77777777" w:rsidTr="0034794D">
        <w:tc>
          <w:tcPr>
            <w:tcW w:w="3256" w:type="dxa"/>
          </w:tcPr>
          <w:p w14:paraId="3A41277B" w14:textId="77777777" w:rsidR="00A12054" w:rsidRPr="0036251B" w:rsidRDefault="0034794D" w:rsidP="00A12054">
            <w:pPr>
              <w:pStyle w:val="COMPara"/>
              <w:numPr>
                <w:ilvl w:val="0"/>
                <w:numId w:val="0"/>
              </w:numPr>
              <w:spacing w:after="0"/>
              <w:jc w:val="both"/>
              <w:rPr>
                <w:sz w:val="18"/>
                <w:szCs w:val="18"/>
              </w:rPr>
            </w:pPr>
            <w:r w:rsidRPr="0036251B">
              <w:rPr>
                <w:sz w:val="18"/>
                <w:szCs w:val="18"/>
              </w:rPr>
              <w:t>5 to 7 July 2022</w:t>
            </w:r>
          </w:p>
          <w:p w14:paraId="01882D30" w14:textId="280CE639" w:rsidR="0034794D" w:rsidRPr="0036251B" w:rsidRDefault="0034794D" w:rsidP="00A12054">
            <w:pPr>
              <w:pStyle w:val="COMPara"/>
              <w:numPr>
                <w:ilvl w:val="0"/>
                <w:numId w:val="0"/>
              </w:numPr>
              <w:spacing w:after="0"/>
              <w:jc w:val="both"/>
              <w:rPr>
                <w:sz w:val="18"/>
                <w:szCs w:val="18"/>
              </w:rPr>
            </w:pPr>
            <w:r w:rsidRPr="0036251B">
              <w:rPr>
                <w:sz w:val="18"/>
                <w:szCs w:val="18"/>
              </w:rPr>
              <w:t>(UNESCO Headquarters)</w:t>
            </w:r>
          </w:p>
        </w:tc>
        <w:tc>
          <w:tcPr>
            <w:tcW w:w="5805" w:type="dxa"/>
          </w:tcPr>
          <w:p w14:paraId="6A40EDA0" w14:textId="6A4F4EAD" w:rsidR="00A12054" w:rsidRPr="0036251B" w:rsidRDefault="0034794D" w:rsidP="00FA35A9">
            <w:pPr>
              <w:pStyle w:val="COMPara"/>
              <w:numPr>
                <w:ilvl w:val="0"/>
                <w:numId w:val="0"/>
              </w:numPr>
              <w:jc w:val="both"/>
              <w:rPr>
                <w:b/>
                <w:bCs/>
                <w:sz w:val="18"/>
                <w:szCs w:val="18"/>
              </w:rPr>
            </w:pPr>
            <w:r w:rsidRPr="0036251B">
              <w:rPr>
                <w:b/>
                <w:bCs/>
                <w:sz w:val="18"/>
                <w:szCs w:val="18"/>
              </w:rPr>
              <w:t>Ninth session of the General Assembly</w:t>
            </w:r>
          </w:p>
          <w:p w14:paraId="0A0A421B" w14:textId="45FE0546" w:rsidR="0034794D" w:rsidRPr="0036251B" w:rsidRDefault="0034794D" w:rsidP="00FA35A9">
            <w:pPr>
              <w:pStyle w:val="COMPara"/>
              <w:numPr>
                <w:ilvl w:val="0"/>
                <w:numId w:val="0"/>
              </w:numPr>
              <w:jc w:val="both"/>
              <w:rPr>
                <w:sz w:val="18"/>
                <w:szCs w:val="18"/>
              </w:rPr>
            </w:pPr>
            <w:r w:rsidRPr="0036251B">
              <w:rPr>
                <w:sz w:val="18"/>
                <w:szCs w:val="18"/>
              </w:rPr>
              <w:t>Item</w:t>
            </w:r>
            <w:r w:rsidR="00FA35A9" w:rsidRPr="0036251B">
              <w:rPr>
                <w:sz w:val="18"/>
                <w:szCs w:val="18"/>
              </w:rPr>
              <w:t xml:space="preserve"> 9: The global reflection on the listing mechanisms of the Convention and proposed revisions to the Operational Directives</w:t>
            </w:r>
          </w:p>
          <w:p w14:paraId="6FE111B6" w14:textId="0F75EFF2" w:rsidR="0034794D" w:rsidRPr="0036251B" w:rsidRDefault="0034794D" w:rsidP="00FA35A9">
            <w:pPr>
              <w:pStyle w:val="COMPara"/>
              <w:numPr>
                <w:ilvl w:val="0"/>
                <w:numId w:val="0"/>
              </w:numPr>
              <w:jc w:val="both"/>
              <w:rPr>
                <w:sz w:val="18"/>
                <w:szCs w:val="18"/>
              </w:rPr>
            </w:pPr>
            <w:r w:rsidRPr="0036251B">
              <w:rPr>
                <w:sz w:val="18"/>
                <w:szCs w:val="18"/>
              </w:rPr>
              <w:lastRenderedPageBreak/>
              <w:t xml:space="preserve">Resolution </w:t>
            </w:r>
            <w:hyperlink r:id="rId26" w:history="1">
              <w:r w:rsidRPr="0036251B">
                <w:rPr>
                  <w:rStyle w:val="Hyperlink"/>
                  <w:sz w:val="18"/>
                  <w:szCs w:val="18"/>
                </w:rPr>
                <w:t>9.GA 9</w:t>
              </w:r>
            </w:hyperlink>
          </w:p>
          <w:p w14:paraId="603A3F56" w14:textId="4F9B9944" w:rsidR="00AE7A17" w:rsidRPr="0036251B" w:rsidRDefault="00AE7A17" w:rsidP="00AE7A17">
            <w:pPr>
              <w:pStyle w:val="COMPara"/>
              <w:numPr>
                <w:ilvl w:val="0"/>
                <w:numId w:val="0"/>
              </w:numPr>
              <w:spacing w:after="0"/>
              <w:jc w:val="right"/>
              <w:rPr>
                <w:sz w:val="18"/>
                <w:szCs w:val="18"/>
              </w:rPr>
            </w:pPr>
            <w:r w:rsidRPr="0036251B">
              <w:rPr>
                <w:color w:val="365F91" w:themeColor="accent1" w:themeShade="BF"/>
                <w:sz w:val="18"/>
                <w:szCs w:val="18"/>
              </w:rPr>
              <w:t xml:space="preserve">Taking note of </w:t>
            </w:r>
            <w:r w:rsidR="00F14411" w:rsidRPr="0036251B">
              <w:rPr>
                <w:color w:val="365F91" w:themeColor="accent1" w:themeShade="BF"/>
                <w:sz w:val="18"/>
                <w:szCs w:val="18"/>
              </w:rPr>
              <w:t xml:space="preserve">the </w:t>
            </w:r>
            <w:r w:rsidRPr="0036251B">
              <w:rPr>
                <w:color w:val="365F91" w:themeColor="accent1" w:themeShade="BF"/>
                <w:sz w:val="18"/>
                <w:szCs w:val="18"/>
              </w:rPr>
              <w:t>reflection</w:t>
            </w:r>
          </w:p>
        </w:tc>
      </w:tr>
      <w:tr w:rsidR="00A12054" w:rsidRPr="0036251B" w14:paraId="270F4605" w14:textId="77777777" w:rsidTr="0034794D">
        <w:tc>
          <w:tcPr>
            <w:tcW w:w="3256" w:type="dxa"/>
          </w:tcPr>
          <w:p w14:paraId="72AFF6ED" w14:textId="77777777" w:rsidR="00A12054" w:rsidRPr="0036251B" w:rsidRDefault="0034794D" w:rsidP="00A12054">
            <w:pPr>
              <w:pStyle w:val="COMPara"/>
              <w:numPr>
                <w:ilvl w:val="0"/>
                <w:numId w:val="0"/>
              </w:numPr>
              <w:spacing w:after="0"/>
              <w:jc w:val="both"/>
              <w:rPr>
                <w:sz w:val="18"/>
                <w:szCs w:val="18"/>
              </w:rPr>
            </w:pPr>
            <w:r w:rsidRPr="0036251B">
              <w:rPr>
                <w:sz w:val="18"/>
                <w:szCs w:val="18"/>
              </w:rPr>
              <w:lastRenderedPageBreak/>
              <w:t>28 November to 3 December 2022</w:t>
            </w:r>
          </w:p>
          <w:p w14:paraId="5614D2FC" w14:textId="2820FB91" w:rsidR="0034794D" w:rsidRPr="0036251B" w:rsidRDefault="0034794D" w:rsidP="00A12054">
            <w:pPr>
              <w:pStyle w:val="COMPara"/>
              <w:numPr>
                <w:ilvl w:val="0"/>
                <w:numId w:val="0"/>
              </w:numPr>
              <w:spacing w:after="0"/>
              <w:jc w:val="both"/>
              <w:rPr>
                <w:sz w:val="18"/>
                <w:szCs w:val="18"/>
              </w:rPr>
            </w:pPr>
            <w:r w:rsidRPr="0036251B">
              <w:rPr>
                <w:sz w:val="18"/>
                <w:szCs w:val="18"/>
              </w:rPr>
              <w:t>(Rabat, Kingdom of Morocco)</w:t>
            </w:r>
          </w:p>
        </w:tc>
        <w:tc>
          <w:tcPr>
            <w:tcW w:w="5805" w:type="dxa"/>
          </w:tcPr>
          <w:p w14:paraId="30BF0A76" w14:textId="77777777" w:rsidR="00A12054" w:rsidRPr="0036251B" w:rsidRDefault="0034794D" w:rsidP="00DC6476">
            <w:pPr>
              <w:pStyle w:val="COMPara"/>
              <w:numPr>
                <w:ilvl w:val="0"/>
                <w:numId w:val="0"/>
              </w:numPr>
              <w:jc w:val="both"/>
              <w:rPr>
                <w:b/>
                <w:bCs/>
                <w:sz w:val="18"/>
                <w:szCs w:val="18"/>
              </w:rPr>
            </w:pPr>
            <w:r w:rsidRPr="0036251B">
              <w:rPr>
                <w:b/>
                <w:bCs/>
                <w:sz w:val="18"/>
                <w:szCs w:val="18"/>
              </w:rPr>
              <w:t>Seventeenth session of the Committee</w:t>
            </w:r>
          </w:p>
          <w:p w14:paraId="0E02BA32" w14:textId="589D7D82" w:rsidR="00EA3AC7" w:rsidRPr="0036251B" w:rsidRDefault="00EA3AC7" w:rsidP="00DC6476">
            <w:pPr>
              <w:pStyle w:val="COMPara"/>
              <w:numPr>
                <w:ilvl w:val="0"/>
                <w:numId w:val="0"/>
              </w:numPr>
              <w:jc w:val="both"/>
              <w:rPr>
                <w:sz w:val="18"/>
                <w:szCs w:val="18"/>
              </w:rPr>
            </w:pPr>
            <w:r w:rsidRPr="0036251B">
              <w:rPr>
                <w:sz w:val="18"/>
                <w:szCs w:val="18"/>
              </w:rPr>
              <w:t>Item</w:t>
            </w:r>
            <w:r w:rsidR="00DC6476" w:rsidRPr="0036251B">
              <w:rPr>
                <w:sz w:val="18"/>
                <w:szCs w:val="18"/>
              </w:rPr>
              <w:t xml:space="preserve"> 10: Update on the reflection on </w:t>
            </w:r>
            <w:r w:rsidR="004B0A34" w:rsidRPr="0036251B">
              <w:rPr>
                <w:sz w:val="18"/>
                <w:szCs w:val="18"/>
              </w:rPr>
              <w:t>the</w:t>
            </w:r>
            <w:r w:rsidR="00DC6476" w:rsidRPr="0036251B">
              <w:rPr>
                <w:sz w:val="18"/>
                <w:szCs w:val="18"/>
              </w:rPr>
              <w:t xml:space="preserve"> broader implementation of Article 18 of the Convention</w:t>
            </w:r>
          </w:p>
          <w:p w14:paraId="384091BA" w14:textId="4C3D9877" w:rsidR="0034794D" w:rsidRPr="0036251B" w:rsidRDefault="0034794D" w:rsidP="00DC6476">
            <w:pPr>
              <w:pStyle w:val="COMPara"/>
              <w:numPr>
                <w:ilvl w:val="0"/>
                <w:numId w:val="0"/>
              </w:numPr>
              <w:jc w:val="both"/>
              <w:rPr>
                <w:sz w:val="18"/>
                <w:szCs w:val="18"/>
              </w:rPr>
            </w:pPr>
            <w:r w:rsidRPr="0036251B">
              <w:rPr>
                <w:sz w:val="18"/>
                <w:szCs w:val="18"/>
              </w:rPr>
              <w:t xml:space="preserve">Decision </w:t>
            </w:r>
            <w:hyperlink r:id="rId27" w:history="1">
              <w:r w:rsidRPr="0036251B">
                <w:rPr>
                  <w:rStyle w:val="Hyperlink"/>
                  <w:sz w:val="18"/>
                  <w:szCs w:val="18"/>
                </w:rPr>
                <w:t>17.COM 10</w:t>
              </w:r>
            </w:hyperlink>
          </w:p>
          <w:p w14:paraId="77EF013C" w14:textId="0A7E4E63" w:rsidR="00AE7A17" w:rsidRPr="0036251B" w:rsidRDefault="00AE7A17" w:rsidP="00AE7A17">
            <w:pPr>
              <w:pStyle w:val="COMPara"/>
              <w:numPr>
                <w:ilvl w:val="0"/>
                <w:numId w:val="0"/>
              </w:numPr>
              <w:spacing w:after="0"/>
              <w:jc w:val="right"/>
              <w:rPr>
                <w:sz w:val="18"/>
                <w:szCs w:val="18"/>
              </w:rPr>
            </w:pPr>
            <w:r w:rsidRPr="0036251B">
              <w:rPr>
                <w:color w:val="365F91" w:themeColor="accent1" w:themeShade="BF"/>
                <w:sz w:val="18"/>
                <w:szCs w:val="18"/>
              </w:rPr>
              <w:t xml:space="preserve">Identification of </w:t>
            </w:r>
            <w:r w:rsidR="00F14411" w:rsidRPr="0036251B">
              <w:rPr>
                <w:color w:val="365F91" w:themeColor="accent1" w:themeShade="BF"/>
                <w:sz w:val="18"/>
                <w:szCs w:val="18"/>
              </w:rPr>
              <w:t xml:space="preserve">reflection </w:t>
            </w:r>
            <w:r w:rsidRPr="0036251B">
              <w:rPr>
                <w:color w:val="365F91" w:themeColor="accent1" w:themeShade="BF"/>
                <w:sz w:val="18"/>
                <w:szCs w:val="18"/>
              </w:rPr>
              <w:t>topics and timeline</w:t>
            </w:r>
          </w:p>
        </w:tc>
      </w:tr>
      <w:tr w:rsidR="00A12054" w:rsidRPr="0036251B" w14:paraId="6C60B3B7" w14:textId="77777777" w:rsidTr="0034794D">
        <w:tc>
          <w:tcPr>
            <w:tcW w:w="3256" w:type="dxa"/>
          </w:tcPr>
          <w:p w14:paraId="42B88BD3" w14:textId="77777777" w:rsidR="00A12054" w:rsidRPr="0036251B" w:rsidRDefault="0034794D" w:rsidP="00A12054">
            <w:pPr>
              <w:pStyle w:val="COMPara"/>
              <w:numPr>
                <w:ilvl w:val="0"/>
                <w:numId w:val="0"/>
              </w:numPr>
              <w:spacing w:after="0"/>
              <w:jc w:val="both"/>
              <w:rPr>
                <w:sz w:val="18"/>
                <w:szCs w:val="18"/>
              </w:rPr>
            </w:pPr>
            <w:r w:rsidRPr="0036251B">
              <w:rPr>
                <w:sz w:val="18"/>
                <w:szCs w:val="18"/>
              </w:rPr>
              <w:t>19 to 21 April 2023</w:t>
            </w:r>
          </w:p>
          <w:p w14:paraId="0FFE04F6" w14:textId="4D0686A3" w:rsidR="0034794D" w:rsidRPr="0036251B" w:rsidRDefault="0034794D" w:rsidP="00A12054">
            <w:pPr>
              <w:pStyle w:val="COMPara"/>
              <w:numPr>
                <w:ilvl w:val="0"/>
                <w:numId w:val="0"/>
              </w:numPr>
              <w:spacing w:after="0"/>
              <w:jc w:val="both"/>
              <w:rPr>
                <w:sz w:val="18"/>
                <w:szCs w:val="18"/>
              </w:rPr>
            </w:pPr>
            <w:r w:rsidRPr="0036251B">
              <w:rPr>
                <w:sz w:val="18"/>
                <w:szCs w:val="18"/>
              </w:rPr>
              <w:t>(Stockholm, Sweden)</w:t>
            </w:r>
          </w:p>
        </w:tc>
        <w:tc>
          <w:tcPr>
            <w:tcW w:w="5805" w:type="dxa"/>
          </w:tcPr>
          <w:p w14:paraId="6F73B586" w14:textId="77777777" w:rsidR="00A12054" w:rsidRPr="0036251B" w:rsidRDefault="0034794D" w:rsidP="00A12054">
            <w:pPr>
              <w:pStyle w:val="COMPara"/>
              <w:numPr>
                <w:ilvl w:val="0"/>
                <w:numId w:val="0"/>
              </w:numPr>
              <w:spacing w:after="0"/>
              <w:jc w:val="both"/>
              <w:rPr>
                <w:b/>
                <w:bCs/>
                <w:sz w:val="18"/>
                <w:szCs w:val="18"/>
              </w:rPr>
            </w:pPr>
            <w:r w:rsidRPr="0036251B">
              <w:rPr>
                <w:b/>
                <w:bCs/>
                <w:sz w:val="18"/>
                <w:szCs w:val="18"/>
              </w:rPr>
              <w:t>Category VI meeting of experts</w:t>
            </w:r>
          </w:p>
          <w:p w14:paraId="2DF6FB1D" w14:textId="77777777" w:rsidR="008A5249" w:rsidRPr="0036251B" w:rsidRDefault="008A5249" w:rsidP="00A12054">
            <w:pPr>
              <w:pStyle w:val="COMPara"/>
              <w:numPr>
                <w:ilvl w:val="0"/>
                <w:numId w:val="0"/>
              </w:numPr>
              <w:spacing w:after="0"/>
              <w:jc w:val="both"/>
              <w:rPr>
                <w:sz w:val="18"/>
                <w:szCs w:val="18"/>
              </w:rPr>
            </w:pPr>
            <w:r w:rsidRPr="0036251B">
              <w:rPr>
                <w:sz w:val="18"/>
                <w:szCs w:val="18"/>
              </w:rPr>
              <w:t>Recommendations</w:t>
            </w:r>
          </w:p>
          <w:p w14:paraId="080C9F7A" w14:textId="35C7720F" w:rsidR="006247B3" w:rsidRPr="0036251B" w:rsidRDefault="006247B3" w:rsidP="006247B3">
            <w:pPr>
              <w:pStyle w:val="COMPara"/>
              <w:numPr>
                <w:ilvl w:val="0"/>
                <w:numId w:val="0"/>
              </w:numPr>
              <w:spacing w:after="0"/>
              <w:jc w:val="right"/>
              <w:rPr>
                <w:color w:val="365F91" w:themeColor="accent1" w:themeShade="BF"/>
                <w:sz w:val="18"/>
                <w:szCs w:val="18"/>
              </w:rPr>
            </w:pPr>
            <w:r w:rsidRPr="0036251B">
              <w:rPr>
                <w:color w:val="365F91" w:themeColor="accent1" w:themeShade="BF"/>
                <w:sz w:val="18"/>
                <w:szCs w:val="18"/>
              </w:rPr>
              <w:t>Expert consultation</w:t>
            </w:r>
          </w:p>
          <w:p w14:paraId="1F110E5C" w14:textId="6140AEF3" w:rsidR="006247B3" w:rsidRPr="0036251B" w:rsidRDefault="006247B3" w:rsidP="006247B3">
            <w:pPr>
              <w:pStyle w:val="COMPara"/>
              <w:numPr>
                <w:ilvl w:val="0"/>
                <w:numId w:val="0"/>
              </w:numPr>
              <w:spacing w:after="0"/>
              <w:jc w:val="right"/>
              <w:rPr>
                <w:sz w:val="18"/>
                <w:szCs w:val="18"/>
              </w:rPr>
            </w:pPr>
            <w:r w:rsidRPr="0036251B">
              <w:rPr>
                <w:color w:val="365F91" w:themeColor="accent1" w:themeShade="BF"/>
                <w:sz w:val="18"/>
                <w:szCs w:val="18"/>
              </w:rPr>
              <w:t xml:space="preserve">to lay the ground for </w:t>
            </w:r>
            <w:r w:rsidR="00D56ED1" w:rsidRPr="0036251B">
              <w:rPr>
                <w:color w:val="365F91" w:themeColor="accent1" w:themeShade="BF"/>
                <w:sz w:val="18"/>
                <w:szCs w:val="18"/>
              </w:rPr>
              <w:t xml:space="preserve">the </w:t>
            </w:r>
            <w:r w:rsidRPr="0036251B">
              <w:rPr>
                <w:color w:val="365F91" w:themeColor="accent1" w:themeShade="BF"/>
                <w:sz w:val="18"/>
                <w:szCs w:val="18"/>
              </w:rPr>
              <w:t>intergovernmental discussion</w:t>
            </w:r>
          </w:p>
        </w:tc>
      </w:tr>
      <w:tr w:rsidR="00A12054" w:rsidRPr="0036251B" w14:paraId="66F702E7" w14:textId="77777777" w:rsidTr="0034794D">
        <w:tc>
          <w:tcPr>
            <w:tcW w:w="3256" w:type="dxa"/>
          </w:tcPr>
          <w:p w14:paraId="2FB239EF" w14:textId="2343F610" w:rsidR="0034794D" w:rsidRPr="0036251B" w:rsidRDefault="0034794D" w:rsidP="00A12054">
            <w:pPr>
              <w:pStyle w:val="COMPara"/>
              <w:numPr>
                <w:ilvl w:val="0"/>
                <w:numId w:val="0"/>
              </w:numPr>
              <w:spacing w:after="0"/>
              <w:jc w:val="both"/>
              <w:rPr>
                <w:sz w:val="18"/>
                <w:szCs w:val="18"/>
              </w:rPr>
            </w:pPr>
            <w:r w:rsidRPr="0036251B">
              <w:rPr>
                <w:sz w:val="18"/>
                <w:szCs w:val="18"/>
              </w:rPr>
              <w:t>4 to 6 July 2023</w:t>
            </w:r>
          </w:p>
          <w:p w14:paraId="54DB5A95" w14:textId="1BD0AE0F" w:rsidR="00A12054" w:rsidRPr="0036251B" w:rsidRDefault="0034794D" w:rsidP="00A12054">
            <w:pPr>
              <w:pStyle w:val="COMPara"/>
              <w:numPr>
                <w:ilvl w:val="0"/>
                <w:numId w:val="0"/>
              </w:numPr>
              <w:spacing w:after="0"/>
              <w:jc w:val="both"/>
              <w:rPr>
                <w:sz w:val="18"/>
                <w:szCs w:val="18"/>
              </w:rPr>
            </w:pPr>
            <w:r w:rsidRPr="0036251B">
              <w:rPr>
                <w:sz w:val="18"/>
                <w:szCs w:val="18"/>
              </w:rPr>
              <w:t>(UNESCO Headquarters)</w:t>
            </w:r>
          </w:p>
        </w:tc>
        <w:tc>
          <w:tcPr>
            <w:tcW w:w="5805" w:type="dxa"/>
          </w:tcPr>
          <w:p w14:paraId="3C94725F" w14:textId="03A85A95" w:rsidR="006247B3" w:rsidRPr="0036251B" w:rsidRDefault="008A5249" w:rsidP="004301B1">
            <w:pPr>
              <w:pStyle w:val="COMPara"/>
              <w:numPr>
                <w:ilvl w:val="0"/>
                <w:numId w:val="0"/>
              </w:numPr>
              <w:spacing w:after="0"/>
              <w:jc w:val="both"/>
              <w:rPr>
                <w:b/>
                <w:bCs/>
                <w:sz w:val="18"/>
                <w:szCs w:val="18"/>
              </w:rPr>
            </w:pPr>
            <w:r w:rsidRPr="0036251B">
              <w:rPr>
                <w:b/>
                <w:bCs/>
                <w:sz w:val="18"/>
                <w:szCs w:val="18"/>
              </w:rPr>
              <w:t>Open-ended intergovernmental working group</w:t>
            </w:r>
          </w:p>
          <w:p w14:paraId="7E2EDD91" w14:textId="050E8ED4" w:rsidR="006247B3" w:rsidRPr="0036251B" w:rsidRDefault="006247B3" w:rsidP="004301B1">
            <w:pPr>
              <w:pStyle w:val="COMPara"/>
              <w:numPr>
                <w:ilvl w:val="0"/>
                <w:numId w:val="0"/>
              </w:numPr>
              <w:spacing w:before="120" w:after="0"/>
              <w:jc w:val="right"/>
              <w:rPr>
                <w:sz w:val="18"/>
                <w:szCs w:val="18"/>
              </w:rPr>
            </w:pPr>
            <w:r w:rsidRPr="0036251B">
              <w:rPr>
                <w:color w:val="365F91" w:themeColor="accent1" w:themeShade="BF"/>
                <w:sz w:val="18"/>
                <w:szCs w:val="18"/>
              </w:rPr>
              <w:t>Intergovernmental discussion</w:t>
            </w:r>
          </w:p>
        </w:tc>
      </w:tr>
      <w:tr w:rsidR="00A12054" w:rsidRPr="0036251B" w14:paraId="4427D824" w14:textId="77777777" w:rsidTr="0034794D">
        <w:tc>
          <w:tcPr>
            <w:tcW w:w="3256" w:type="dxa"/>
          </w:tcPr>
          <w:p w14:paraId="0B6B7549" w14:textId="347F3B2D" w:rsidR="00734421" w:rsidRPr="0036251B" w:rsidRDefault="0034794D" w:rsidP="00A12054">
            <w:pPr>
              <w:pStyle w:val="COMPara"/>
              <w:numPr>
                <w:ilvl w:val="0"/>
                <w:numId w:val="0"/>
              </w:numPr>
              <w:spacing w:after="0"/>
              <w:jc w:val="both"/>
              <w:rPr>
                <w:sz w:val="18"/>
                <w:szCs w:val="18"/>
              </w:rPr>
            </w:pPr>
            <w:r w:rsidRPr="0036251B">
              <w:rPr>
                <w:sz w:val="18"/>
                <w:szCs w:val="18"/>
              </w:rPr>
              <w:t>4 to 9 December 2023</w:t>
            </w:r>
          </w:p>
          <w:p w14:paraId="2D37423E" w14:textId="763C8948" w:rsidR="00A12054" w:rsidRPr="0036251B" w:rsidRDefault="0034794D" w:rsidP="00A12054">
            <w:pPr>
              <w:pStyle w:val="COMPara"/>
              <w:numPr>
                <w:ilvl w:val="0"/>
                <w:numId w:val="0"/>
              </w:numPr>
              <w:spacing w:after="0"/>
              <w:jc w:val="both"/>
              <w:rPr>
                <w:sz w:val="18"/>
                <w:szCs w:val="18"/>
              </w:rPr>
            </w:pPr>
            <w:r w:rsidRPr="0036251B">
              <w:rPr>
                <w:sz w:val="18"/>
                <w:szCs w:val="18"/>
              </w:rPr>
              <w:t>(Kasane, Republic of Botswana)</w:t>
            </w:r>
          </w:p>
        </w:tc>
        <w:tc>
          <w:tcPr>
            <w:tcW w:w="5805" w:type="dxa"/>
          </w:tcPr>
          <w:p w14:paraId="7795720B" w14:textId="61D98FFE" w:rsidR="0034794D" w:rsidRPr="0036251B" w:rsidRDefault="0034794D" w:rsidP="0034794D">
            <w:pPr>
              <w:pStyle w:val="COMPara"/>
              <w:numPr>
                <w:ilvl w:val="0"/>
                <w:numId w:val="0"/>
              </w:numPr>
              <w:spacing w:after="0"/>
              <w:jc w:val="both"/>
              <w:rPr>
                <w:b/>
                <w:bCs/>
                <w:sz w:val="18"/>
                <w:szCs w:val="18"/>
              </w:rPr>
            </w:pPr>
            <w:r w:rsidRPr="0036251B">
              <w:rPr>
                <w:b/>
                <w:bCs/>
                <w:sz w:val="18"/>
                <w:szCs w:val="18"/>
              </w:rPr>
              <w:t>Eighteenth session of the Committee</w:t>
            </w:r>
          </w:p>
          <w:p w14:paraId="3BF514B3" w14:textId="53FF0A4B" w:rsidR="00A12054" w:rsidRPr="0036251B" w:rsidRDefault="00C336E8" w:rsidP="00CF5E1C">
            <w:pPr>
              <w:pStyle w:val="COMPara"/>
              <w:numPr>
                <w:ilvl w:val="0"/>
                <w:numId w:val="0"/>
              </w:numPr>
              <w:spacing w:before="120" w:after="0"/>
              <w:jc w:val="right"/>
              <w:rPr>
                <w:sz w:val="18"/>
                <w:szCs w:val="18"/>
              </w:rPr>
            </w:pPr>
            <w:r w:rsidRPr="0036251B">
              <w:rPr>
                <w:color w:val="365F91" w:themeColor="accent1" w:themeShade="BF"/>
                <w:sz w:val="18"/>
                <w:szCs w:val="18"/>
              </w:rPr>
              <w:t>Proposal on possible amendments to the Operational Directives and other decisions/endorsement</w:t>
            </w:r>
            <w:r w:rsidR="00DB5276" w:rsidRPr="0036251B">
              <w:rPr>
                <w:color w:val="365F91" w:themeColor="accent1" w:themeShade="BF"/>
                <w:sz w:val="18"/>
                <w:szCs w:val="18"/>
              </w:rPr>
              <w:t xml:space="preserve"> </w:t>
            </w:r>
          </w:p>
        </w:tc>
      </w:tr>
      <w:tr w:rsidR="008A5249" w:rsidRPr="0036251B" w14:paraId="7C3EF955" w14:textId="77777777" w:rsidTr="0034794D">
        <w:tc>
          <w:tcPr>
            <w:tcW w:w="3256" w:type="dxa"/>
          </w:tcPr>
          <w:p w14:paraId="51FF8B80" w14:textId="77777777" w:rsidR="008A5249" w:rsidRPr="0036251B" w:rsidRDefault="008A5249" w:rsidP="00A12054">
            <w:pPr>
              <w:pStyle w:val="COMPara"/>
              <w:numPr>
                <w:ilvl w:val="0"/>
                <w:numId w:val="0"/>
              </w:numPr>
              <w:spacing w:after="0"/>
              <w:jc w:val="both"/>
              <w:rPr>
                <w:sz w:val="18"/>
                <w:szCs w:val="18"/>
              </w:rPr>
            </w:pPr>
            <w:r w:rsidRPr="0036251B">
              <w:rPr>
                <w:sz w:val="18"/>
                <w:szCs w:val="18"/>
              </w:rPr>
              <w:t>Mid-2024</w:t>
            </w:r>
          </w:p>
          <w:p w14:paraId="7446F1CF" w14:textId="539795A6" w:rsidR="008A5249" w:rsidRPr="0036251B" w:rsidRDefault="008A5249" w:rsidP="00A12054">
            <w:pPr>
              <w:pStyle w:val="COMPara"/>
              <w:numPr>
                <w:ilvl w:val="0"/>
                <w:numId w:val="0"/>
              </w:numPr>
              <w:spacing w:after="0"/>
              <w:jc w:val="both"/>
              <w:rPr>
                <w:sz w:val="18"/>
                <w:szCs w:val="18"/>
              </w:rPr>
            </w:pPr>
            <w:r w:rsidRPr="0036251B">
              <w:rPr>
                <w:sz w:val="18"/>
                <w:szCs w:val="18"/>
              </w:rPr>
              <w:t>(UNESCO Headquarters)</w:t>
            </w:r>
          </w:p>
        </w:tc>
        <w:tc>
          <w:tcPr>
            <w:tcW w:w="5805" w:type="dxa"/>
          </w:tcPr>
          <w:p w14:paraId="4A2B0C4C" w14:textId="464E9A44" w:rsidR="008A5249" w:rsidRPr="0036251B" w:rsidRDefault="008A5249" w:rsidP="008A5249">
            <w:pPr>
              <w:pStyle w:val="COMPara"/>
              <w:numPr>
                <w:ilvl w:val="0"/>
                <w:numId w:val="0"/>
              </w:numPr>
              <w:spacing w:after="0"/>
              <w:jc w:val="both"/>
              <w:rPr>
                <w:b/>
                <w:bCs/>
                <w:sz w:val="18"/>
                <w:szCs w:val="18"/>
              </w:rPr>
            </w:pPr>
            <w:r w:rsidRPr="0036251B">
              <w:rPr>
                <w:b/>
                <w:bCs/>
                <w:sz w:val="18"/>
                <w:szCs w:val="18"/>
              </w:rPr>
              <w:t>Tenth session of the General Assembly</w:t>
            </w:r>
          </w:p>
          <w:p w14:paraId="60B78A3C" w14:textId="623C2B21" w:rsidR="008A5249" w:rsidRPr="0036251B" w:rsidRDefault="00C336E8" w:rsidP="00CF5E1C">
            <w:pPr>
              <w:pStyle w:val="COMPara"/>
              <w:numPr>
                <w:ilvl w:val="0"/>
                <w:numId w:val="0"/>
              </w:numPr>
              <w:spacing w:before="120" w:after="0"/>
              <w:jc w:val="right"/>
              <w:rPr>
                <w:sz w:val="18"/>
                <w:szCs w:val="18"/>
              </w:rPr>
            </w:pPr>
            <w:r w:rsidRPr="0036251B">
              <w:rPr>
                <w:color w:val="365F91" w:themeColor="accent1" w:themeShade="BF"/>
                <w:sz w:val="18"/>
                <w:szCs w:val="18"/>
              </w:rPr>
              <w:t>Possible amendments to the Operational Directives and other decisions/endorsement</w:t>
            </w:r>
          </w:p>
        </w:tc>
      </w:tr>
    </w:tbl>
    <w:p w14:paraId="05D1C79F" w14:textId="6C470D8B" w:rsidR="0057439C" w:rsidRPr="0036251B" w:rsidRDefault="0086584C" w:rsidP="003B3F9F">
      <w:pPr>
        <w:pStyle w:val="COMPara"/>
        <w:spacing w:before="240"/>
        <w:ind w:left="567" w:hanging="567"/>
        <w:jc w:val="both"/>
      </w:pPr>
      <w:r w:rsidRPr="0036251B">
        <w:rPr>
          <w:rFonts w:asciiTheme="minorBidi" w:hAnsiTheme="minorBidi" w:cstheme="minorBidi"/>
        </w:rPr>
        <w:t xml:space="preserve">The overall goal of the new reflection is to consider how to share good living heritage safeguarding </w:t>
      </w:r>
      <w:r w:rsidRPr="0036251B">
        <w:rPr>
          <w:rStyle w:val="hps"/>
          <w:snapToGrid/>
        </w:rPr>
        <w:t>experiences</w:t>
      </w:r>
      <w:r w:rsidRPr="0036251B">
        <w:rPr>
          <w:rFonts w:asciiTheme="minorBidi" w:hAnsiTheme="minorBidi" w:cstheme="minorBidi"/>
        </w:rPr>
        <w:t xml:space="preserve"> more broadly and how to bring the voices of communities and their aspirations for safeguarding their living heritage</w:t>
      </w:r>
      <w:r w:rsidR="00D56ED1" w:rsidRPr="0036251B">
        <w:rPr>
          <w:rFonts w:asciiTheme="minorBidi" w:hAnsiTheme="minorBidi" w:cstheme="minorBidi"/>
        </w:rPr>
        <w:t xml:space="preserve"> to the fore</w:t>
      </w:r>
      <w:r w:rsidRPr="0036251B">
        <w:rPr>
          <w:rFonts w:asciiTheme="minorBidi" w:hAnsiTheme="minorBidi" w:cstheme="minorBidi"/>
        </w:rPr>
        <w:t>.</w:t>
      </w:r>
      <w:r w:rsidRPr="0036251B">
        <w:t xml:space="preserve"> Based on Decision </w:t>
      </w:r>
      <w:hyperlink r:id="rId28" w:history="1">
        <w:r w:rsidRPr="0036251B">
          <w:rPr>
            <w:rStyle w:val="Hyperlink"/>
            <w:lang w:val="en-AU"/>
          </w:rPr>
          <w:t>17.COM 10</w:t>
        </w:r>
      </w:hyperlink>
      <w:r w:rsidR="00D56ED1" w:rsidRPr="0036251B">
        <w:rPr>
          <w:rStyle w:val="Hyperlink"/>
          <w:color w:val="auto"/>
          <w:u w:val="none"/>
          <w:lang w:val="en-AU"/>
        </w:rPr>
        <w:t>,</w:t>
      </w:r>
      <w:r w:rsidRPr="0036251B">
        <w:rPr>
          <w:lang w:val="en-US"/>
        </w:rPr>
        <w:t xml:space="preserve"> adopted </w:t>
      </w:r>
      <w:r w:rsidRPr="0036251B">
        <w:rPr>
          <w:lang w:val="en-AU"/>
        </w:rPr>
        <w:t>by the seventeenth session of the Intergovernmental Committee</w:t>
      </w:r>
      <w:r w:rsidR="00D56ED1" w:rsidRPr="0036251B">
        <w:rPr>
          <w:lang w:val="en-AU"/>
        </w:rPr>
        <w:t>,</w:t>
      </w:r>
      <w:r w:rsidRPr="0036251B">
        <w:rPr>
          <w:lang w:val="en-AU"/>
        </w:rPr>
        <w:t xml:space="preserve"> and the outcomes of the </w:t>
      </w:r>
      <w:r w:rsidRPr="0036251B">
        <w:t>Category VI meeting of experts, i</w:t>
      </w:r>
      <w:r w:rsidR="0067208B" w:rsidRPr="0036251B">
        <w:t xml:space="preserve">t is proposed that the working group’s discussion will be </w:t>
      </w:r>
      <w:proofErr w:type="spellStart"/>
      <w:r w:rsidR="0067208B" w:rsidRPr="0036251B">
        <w:t>centered</w:t>
      </w:r>
      <w:proofErr w:type="spellEnd"/>
      <w:r w:rsidR="0067208B" w:rsidRPr="0036251B">
        <w:t xml:space="preserve"> around the </w:t>
      </w:r>
      <w:r w:rsidRPr="0036251B">
        <w:t xml:space="preserve">following </w:t>
      </w:r>
      <w:r w:rsidR="0067208B" w:rsidRPr="0036251B">
        <w:t xml:space="preserve">three </w:t>
      </w:r>
      <w:r w:rsidRPr="0036251B">
        <w:t>topics:</w:t>
      </w:r>
      <w:r w:rsidR="00D56ED1" w:rsidRPr="0036251B">
        <w:t xml:space="preserve"> </w:t>
      </w:r>
    </w:p>
    <w:tbl>
      <w:tblPr>
        <w:tblStyle w:val="TableGrid"/>
        <w:tblW w:w="9072" w:type="dxa"/>
        <w:tblInd w:w="562" w:type="dxa"/>
        <w:tblLook w:val="04A0" w:firstRow="1" w:lastRow="0" w:firstColumn="1" w:lastColumn="0" w:noHBand="0" w:noVBand="1"/>
      </w:tblPr>
      <w:tblGrid>
        <w:gridCol w:w="9072"/>
      </w:tblGrid>
      <w:tr w:rsidR="009136F6" w:rsidRPr="0036251B" w14:paraId="710AFAE6" w14:textId="77777777" w:rsidTr="00B8360C">
        <w:tc>
          <w:tcPr>
            <w:tcW w:w="9072" w:type="dxa"/>
            <w:shd w:val="clear" w:color="auto" w:fill="DBE5F1" w:themeFill="accent1" w:themeFillTint="33"/>
          </w:tcPr>
          <w:p w14:paraId="28B7FB01" w14:textId="14294683" w:rsidR="009136F6" w:rsidRPr="0036251B" w:rsidRDefault="009136F6" w:rsidP="00AE7A17">
            <w:pPr>
              <w:pStyle w:val="1GAPara"/>
              <w:numPr>
                <w:ilvl w:val="0"/>
                <w:numId w:val="8"/>
              </w:numPr>
              <w:ind w:left="453" w:hanging="425"/>
              <w:rPr>
                <w:lang w:val="en-GB"/>
              </w:rPr>
            </w:pPr>
            <w:r w:rsidRPr="0036251B">
              <w:rPr>
                <w:lang w:val="en-GB"/>
              </w:rPr>
              <w:t xml:space="preserve">Topic 1: Improving </w:t>
            </w:r>
            <w:r w:rsidR="00FB4546" w:rsidRPr="0036251B">
              <w:rPr>
                <w:lang w:val="en-GB"/>
              </w:rPr>
              <w:t xml:space="preserve">the </w:t>
            </w:r>
            <w:r w:rsidRPr="0036251B">
              <w:rPr>
                <w:lang w:val="en-GB"/>
              </w:rPr>
              <w:t>access to and increasing the visibility of the Register of Good Safeguarding Practices</w:t>
            </w:r>
          </w:p>
          <w:p w14:paraId="35252995" w14:textId="394F85F4" w:rsidR="009136F6" w:rsidRPr="0036251B" w:rsidRDefault="009136F6" w:rsidP="00AE7A17">
            <w:pPr>
              <w:pStyle w:val="1GAPara"/>
              <w:numPr>
                <w:ilvl w:val="0"/>
                <w:numId w:val="8"/>
              </w:numPr>
              <w:ind w:left="453" w:hanging="425"/>
              <w:rPr>
                <w:lang w:val="en-GB"/>
              </w:rPr>
            </w:pPr>
            <w:r w:rsidRPr="0036251B">
              <w:rPr>
                <w:lang w:val="en-GB"/>
              </w:rPr>
              <w:t xml:space="preserve">Topic 2: Towards the creation of </w:t>
            </w:r>
            <w:r w:rsidR="0067208B" w:rsidRPr="0036251B">
              <w:rPr>
                <w:lang w:val="en-GB"/>
              </w:rPr>
              <w:t>a</w:t>
            </w:r>
            <w:r w:rsidR="000200FC" w:rsidRPr="0036251B">
              <w:rPr>
                <w:lang w:val="en-GB"/>
              </w:rPr>
              <w:t>n online</w:t>
            </w:r>
            <w:r w:rsidR="0067208B" w:rsidRPr="0036251B">
              <w:rPr>
                <w:lang w:val="en-GB"/>
              </w:rPr>
              <w:t xml:space="preserve"> platform</w:t>
            </w:r>
            <w:r w:rsidRPr="0036251B">
              <w:rPr>
                <w:lang w:val="en-GB"/>
              </w:rPr>
              <w:t xml:space="preserve"> for sharing good safeguarding </w:t>
            </w:r>
            <w:proofErr w:type="gramStart"/>
            <w:r w:rsidR="000200FC" w:rsidRPr="0036251B">
              <w:rPr>
                <w:lang w:val="en-GB"/>
              </w:rPr>
              <w:t>experiences</w:t>
            </w:r>
            <w:proofErr w:type="gramEnd"/>
          </w:p>
          <w:p w14:paraId="6DB91942" w14:textId="2DE93801" w:rsidR="009136F6" w:rsidRPr="0036251B" w:rsidRDefault="009136F6" w:rsidP="00AE7A17">
            <w:pPr>
              <w:pStyle w:val="1GAPara"/>
              <w:numPr>
                <w:ilvl w:val="0"/>
                <w:numId w:val="8"/>
              </w:numPr>
              <w:ind w:left="453" w:hanging="425"/>
              <w:rPr>
                <w:lang w:val="en-GB"/>
              </w:rPr>
            </w:pPr>
            <w:r w:rsidRPr="0036251B">
              <w:rPr>
                <w:lang w:val="en-GB"/>
              </w:rPr>
              <w:t>Topic 3: Any other issues</w:t>
            </w:r>
          </w:p>
        </w:tc>
      </w:tr>
    </w:tbl>
    <w:p w14:paraId="6E579484" w14:textId="47CA8E5B" w:rsidR="00F716CA" w:rsidRPr="0036251B" w:rsidRDefault="00F716CA" w:rsidP="00AE7A17">
      <w:pPr>
        <w:pStyle w:val="COMPara"/>
        <w:numPr>
          <w:ilvl w:val="0"/>
          <w:numId w:val="6"/>
        </w:numPr>
        <w:spacing w:before="240"/>
        <w:ind w:left="567" w:hanging="567"/>
        <w:jc w:val="both"/>
        <w:rPr>
          <w:b/>
          <w:bCs/>
        </w:rPr>
      </w:pPr>
      <w:r w:rsidRPr="0036251B">
        <w:rPr>
          <w:b/>
          <w:bCs/>
        </w:rPr>
        <w:t>Progress to date</w:t>
      </w:r>
      <w:r w:rsidR="006E6D0F" w:rsidRPr="0036251B">
        <w:rPr>
          <w:b/>
          <w:bCs/>
        </w:rPr>
        <w:t>: Category VI meeting of experts</w:t>
      </w:r>
    </w:p>
    <w:p w14:paraId="47485B2E" w14:textId="01786AEC" w:rsidR="00F716CA" w:rsidRPr="0036251B" w:rsidRDefault="007B389E" w:rsidP="007B389E">
      <w:pPr>
        <w:pStyle w:val="COMPara"/>
        <w:ind w:left="567" w:hanging="567"/>
        <w:jc w:val="both"/>
      </w:pPr>
      <w:r w:rsidRPr="0036251B">
        <w:t>Following the completion of the global reflection on the listing mechanisms of the Convention, the main progress</w:t>
      </w:r>
      <w:r w:rsidR="00D56ED1" w:rsidRPr="0036251B">
        <w:t xml:space="preserve"> with</w:t>
      </w:r>
      <w:r w:rsidRPr="0036251B">
        <w:t xml:space="preserve"> the new reflection on Article 18 was made through the convening of the above-mentioned</w:t>
      </w:r>
      <w:r w:rsidR="00D74FF0" w:rsidRPr="0036251B">
        <w:t xml:space="preserve"> Category VI meeting of experts</w:t>
      </w:r>
      <w:r w:rsidR="00CA166A" w:rsidRPr="0036251B">
        <w:t xml:space="preserve"> (see the </w:t>
      </w:r>
      <w:hyperlink r:id="rId29" w:history="1">
        <w:r w:rsidR="00CA166A" w:rsidRPr="0036251B">
          <w:rPr>
            <w:rStyle w:val="Hyperlink"/>
          </w:rPr>
          <w:t>dedicated webpage</w:t>
        </w:r>
      </w:hyperlink>
      <w:r w:rsidR="00CA166A" w:rsidRPr="0036251B">
        <w:t xml:space="preserve"> for more details)</w:t>
      </w:r>
      <w:r w:rsidRPr="0036251B">
        <w:t>, which was hosted by the Ministry of Culture of Sweden, the Swedish National Commission for UNESCO and the Institute of Language and Folklore.</w:t>
      </w:r>
      <w:r w:rsidR="00761A9B" w:rsidRPr="0036251B">
        <w:t xml:space="preserve"> The meeting was attended by </w:t>
      </w:r>
      <w:r w:rsidR="00D56ED1" w:rsidRPr="0036251B">
        <w:t xml:space="preserve">twenty-one </w:t>
      </w:r>
      <w:r w:rsidR="00761A9B" w:rsidRPr="0036251B">
        <w:t>experts</w:t>
      </w:r>
      <w:r w:rsidR="00F8683A" w:rsidRPr="0036251B">
        <w:t>; they</w:t>
      </w:r>
      <w:r w:rsidR="00761A9B" w:rsidRPr="0036251B">
        <w:t xml:space="preserve"> were identified through a call </w:t>
      </w:r>
      <w:r w:rsidR="003B1D4E" w:rsidRPr="0036251B">
        <w:t>(</w:t>
      </w:r>
      <w:r w:rsidR="00FF390B" w:rsidRPr="0036251B">
        <w:t>3 to 24 February 2023</w:t>
      </w:r>
      <w:r w:rsidR="003B1D4E" w:rsidRPr="0036251B">
        <w:t xml:space="preserve">) </w:t>
      </w:r>
      <w:r w:rsidR="00D56ED1" w:rsidRPr="0036251B">
        <w:t>for</w:t>
      </w:r>
      <w:r w:rsidR="00761A9B" w:rsidRPr="0036251B">
        <w:t xml:space="preserve"> States Parties</w:t>
      </w:r>
      <w:r w:rsidR="00D56ED1" w:rsidRPr="0036251B">
        <w:t xml:space="preserve"> to</w:t>
      </w:r>
      <w:r w:rsidR="00761A9B" w:rsidRPr="0036251B">
        <w:t xml:space="preserve"> </w:t>
      </w:r>
      <w:r w:rsidR="00135CF6" w:rsidRPr="0036251B">
        <w:t xml:space="preserve">propose </w:t>
      </w:r>
      <w:r w:rsidR="00761A9B" w:rsidRPr="0036251B">
        <w:t>appropriate experts</w:t>
      </w:r>
      <w:r w:rsidR="00F8683A" w:rsidRPr="0036251B">
        <w:t xml:space="preserve"> and complemented by the identification made by the Secretariat</w:t>
      </w:r>
      <w:r w:rsidR="00761A9B" w:rsidRPr="0036251B">
        <w:t xml:space="preserve">, </w:t>
      </w:r>
      <w:proofErr w:type="gramStart"/>
      <w:r w:rsidR="00761A9B" w:rsidRPr="0036251B">
        <w:t>taking into account</w:t>
      </w:r>
      <w:proofErr w:type="gramEnd"/>
      <w:r w:rsidR="00761A9B" w:rsidRPr="0036251B">
        <w:t xml:space="preserve"> their profiles and experience, as well as criteria such as geographical balance and gender. These </w:t>
      </w:r>
      <w:r w:rsidR="00FB4546" w:rsidRPr="0036251B">
        <w:t xml:space="preserve">selected </w:t>
      </w:r>
      <w:r w:rsidR="00761A9B" w:rsidRPr="0036251B">
        <w:t>experts participated in a private capacity and did not represent any particular government or organization.</w:t>
      </w:r>
    </w:p>
    <w:p w14:paraId="1A85B64B" w14:textId="7BFB5B1A" w:rsidR="0006430F" w:rsidRPr="0036251B" w:rsidRDefault="00A10CD1" w:rsidP="00A10CD1">
      <w:pPr>
        <w:pStyle w:val="COMPara"/>
        <w:ind w:left="567" w:hanging="567"/>
        <w:jc w:val="both"/>
      </w:pPr>
      <w:r w:rsidRPr="0036251B">
        <w:t xml:space="preserve">The meeting was structured </w:t>
      </w:r>
      <w:r w:rsidR="00D56ED1" w:rsidRPr="0036251B">
        <w:t xml:space="preserve">around </w:t>
      </w:r>
      <w:r w:rsidRPr="0036251B">
        <w:t xml:space="preserve">the three aforementioned reflection topics. For Topic 1 </w:t>
      </w:r>
      <w:r w:rsidR="00073DEA" w:rsidRPr="0036251B">
        <w:t>(Day</w:t>
      </w:r>
      <w:r w:rsidR="001A7FC2" w:rsidRPr="0036251B">
        <w:t> </w:t>
      </w:r>
      <w:r w:rsidR="00073DEA" w:rsidRPr="0036251B">
        <w:t xml:space="preserve">1) </w:t>
      </w:r>
      <w:r w:rsidRPr="0036251B">
        <w:t>and Topic 2</w:t>
      </w:r>
      <w:r w:rsidR="00073DEA" w:rsidRPr="0036251B">
        <w:t xml:space="preserve"> (Day</w:t>
      </w:r>
      <w:r w:rsidR="001A7FC2" w:rsidRPr="0036251B">
        <w:t> </w:t>
      </w:r>
      <w:r w:rsidR="00073DEA" w:rsidRPr="0036251B">
        <w:t>2)</w:t>
      </w:r>
      <w:r w:rsidRPr="0036251B">
        <w:t xml:space="preserve">, a short plenary session first outlined the main </w:t>
      </w:r>
      <w:r w:rsidR="00D56ED1" w:rsidRPr="0036251B">
        <w:t xml:space="preserve">issues </w:t>
      </w:r>
      <w:r w:rsidRPr="0036251B">
        <w:t xml:space="preserve">to be discussed; the experts </w:t>
      </w:r>
      <w:r w:rsidR="000A6587" w:rsidRPr="0036251B">
        <w:t>divided themselves then</w:t>
      </w:r>
      <w:r w:rsidRPr="0036251B">
        <w:t xml:space="preserve"> into two breakout groups for further discussion</w:t>
      </w:r>
      <w:r w:rsidR="00073DEA" w:rsidRPr="0036251B">
        <w:t>,</w:t>
      </w:r>
      <w:r w:rsidRPr="0036251B">
        <w:t xml:space="preserve"> before </w:t>
      </w:r>
      <w:r w:rsidR="00073DEA" w:rsidRPr="0036251B">
        <w:t xml:space="preserve">bringing back </w:t>
      </w:r>
      <w:r w:rsidRPr="0036251B">
        <w:t xml:space="preserve">the results of the breakout groups to the plenary session. For Topic 3 </w:t>
      </w:r>
      <w:r w:rsidR="00073DEA" w:rsidRPr="0036251B">
        <w:t>(Day</w:t>
      </w:r>
      <w:r w:rsidR="001A7FC2" w:rsidRPr="0036251B">
        <w:t> </w:t>
      </w:r>
      <w:r w:rsidR="00073DEA" w:rsidRPr="0036251B">
        <w:t>3)</w:t>
      </w:r>
      <w:r w:rsidR="00D56ED1" w:rsidRPr="0036251B">
        <w:t>,</w:t>
      </w:r>
      <w:r w:rsidR="00073DEA" w:rsidRPr="0036251B">
        <w:t xml:space="preserve"> </w:t>
      </w:r>
      <w:r w:rsidRPr="0036251B">
        <w:t xml:space="preserve">the discussion took place in the plenary </w:t>
      </w:r>
      <w:r w:rsidR="00D56ED1" w:rsidRPr="0036251B">
        <w:t xml:space="preserve">only, </w:t>
      </w:r>
      <w:r w:rsidRPr="0036251B">
        <w:t>without any breakout group work.</w:t>
      </w:r>
      <w:r w:rsidR="00073DEA" w:rsidRPr="0036251B">
        <w:t xml:space="preserve"> On the final day, the experts discussed and adopted </w:t>
      </w:r>
      <w:r w:rsidR="00B459BA" w:rsidRPr="0036251B">
        <w:t xml:space="preserve">a report with </w:t>
      </w:r>
      <w:r w:rsidR="00073DEA" w:rsidRPr="0036251B">
        <w:t>the recommendations on all three topics which are put forward, as part of the set of working documents, to the present meeting of the working group (</w:t>
      </w:r>
      <w:r w:rsidR="00F32573" w:rsidRPr="0036251B">
        <w:t xml:space="preserve">document </w:t>
      </w:r>
      <w:hyperlink r:id="rId30" w:history="1">
        <w:r w:rsidR="00F32573" w:rsidRPr="0036251B">
          <w:rPr>
            <w:rStyle w:val="Hyperlink"/>
          </w:rPr>
          <w:t>LHE/23/18.COM EXP/4</w:t>
        </w:r>
      </w:hyperlink>
      <w:r w:rsidR="00073DEA" w:rsidRPr="0036251B">
        <w:t>).</w:t>
      </w:r>
    </w:p>
    <w:p w14:paraId="6839E37E" w14:textId="5007A43B" w:rsidR="000C1BC9" w:rsidRPr="0036251B" w:rsidRDefault="003F44AB" w:rsidP="00A10CD1">
      <w:pPr>
        <w:pStyle w:val="COMPara"/>
        <w:ind w:left="567" w:hanging="567"/>
        <w:jc w:val="both"/>
      </w:pPr>
      <w:r w:rsidRPr="0036251B">
        <w:lastRenderedPageBreak/>
        <w:t xml:space="preserve">Above all, </w:t>
      </w:r>
      <w:r w:rsidR="00A933E0" w:rsidRPr="0036251B">
        <w:t xml:space="preserve">the experts considered that Article 18 has </w:t>
      </w:r>
      <w:r w:rsidR="00CF404B" w:rsidRPr="0036251B">
        <w:t xml:space="preserve">far-reaching </w:t>
      </w:r>
      <w:r w:rsidR="00A933E0" w:rsidRPr="0036251B">
        <w:t>potential to</w:t>
      </w:r>
      <w:r w:rsidR="00CF404B" w:rsidRPr="0036251B">
        <w:t xml:space="preserve"> fully </w:t>
      </w:r>
      <w:r w:rsidR="008E1775" w:rsidRPr="0036251B">
        <w:t>achieve</w:t>
      </w:r>
      <w:r w:rsidR="00CF404B" w:rsidRPr="0036251B">
        <w:t xml:space="preserve"> the purposes of </w:t>
      </w:r>
      <w:r w:rsidR="00C07DD2" w:rsidRPr="0036251B">
        <w:t>the</w:t>
      </w:r>
      <w:r w:rsidR="00CF404B" w:rsidRPr="0036251B">
        <w:t xml:space="preserve"> Convention</w:t>
      </w:r>
      <w:r w:rsidR="00A933E0" w:rsidRPr="0036251B">
        <w:t>, while affirming the importance of placing communities, groups and, where appropriate, individuals at the centre of safeguarding efforts</w:t>
      </w:r>
      <w:r w:rsidR="005E3F9E" w:rsidRPr="0036251B">
        <w:t>.</w:t>
      </w:r>
      <w:r w:rsidR="00CF404B" w:rsidRPr="0036251B">
        <w:t xml:space="preserve"> </w:t>
      </w:r>
      <w:r w:rsidR="000739FC" w:rsidRPr="0036251B">
        <w:t>Although</w:t>
      </w:r>
      <w:r w:rsidR="00CF404B" w:rsidRPr="0036251B">
        <w:t xml:space="preserve"> the </w:t>
      </w:r>
      <w:r w:rsidR="000739FC" w:rsidRPr="0036251B">
        <w:t xml:space="preserve">experts made several </w:t>
      </w:r>
      <w:r w:rsidR="00CF404B" w:rsidRPr="0036251B">
        <w:t xml:space="preserve">recommendations on the three reflection topics, </w:t>
      </w:r>
      <w:r w:rsidR="005E3F9E" w:rsidRPr="0036251B">
        <w:t xml:space="preserve">the main points </w:t>
      </w:r>
      <w:r w:rsidR="000739FC" w:rsidRPr="0036251B">
        <w:t>concern</w:t>
      </w:r>
      <w:r w:rsidR="005E3F9E" w:rsidRPr="0036251B">
        <w:t xml:space="preserve"> </w:t>
      </w:r>
      <w:r w:rsidR="00C43931" w:rsidRPr="0036251B">
        <w:t>a) </w:t>
      </w:r>
      <w:r w:rsidR="005E3F9E" w:rsidRPr="0036251B">
        <w:t xml:space="preserve">how to </w:t>
      </w:r>
      <w:r w:rsidR="00C43931" w:rsidRPr="0036251B">
        <w:t>include more good safeguarding practices through programmes, projects and activities in</w:t>
      </w:r>
      <w:r w:rsidR="005E3F9E" w:rsidRPr="0036251B">
        <w:t xml:space="preserve"> the Register of Good Safeguarding Practices</w:t>
      </w:r>
      <w:r w:rsidR="00C43931" w:rsidRPr="0036251B">
        <w:t>, b) </w:t>
      </w:r>
      <w:r w:rsidR="000739FC" w:rsidRPr="0036251B">
        <w:t xml:space="preserve">possible </w:t>
      </w:r>
      <w:r w:rsidR="00C43931" w:rsidRPr="0036251B">
        <w:t xml:space="preserve">revisions </w:t>
      </w:r>
      <w:r w:rsidR="000739FC" w:rsidRPr="0036251B">
        <w:t>to</w:t>
      </w:r>
      <w:r w:rsidR="00C43931" w:rsidRPr="0036251B">
        <w:t xml:space="preserve"> </w:t>
      </w:r>
      <w:r w:rsidR="000739FC" w:rsidRPr="0036251B">
        <w:t xml:space="preserve">the Register’s </w:t>
      </w:r>
      <w:r w:rsidR="00C43931" w:rsidRPr="0036251B">
        <w:t>selection criteria and c)</w:t>
      </w:r>
      <w:r w:rsidR="004C3A6C" w:rsidRPr="0036251B">
        <w:t> </w:t>
      </w:r>
      <w:r w:rsidR="00C43931" w:rsidRPr="0036251B">
        <w:t>ways to connect to other international cooperation mechanisms, such as the periodic reporting mechanisms</w:t>
      </w:r>
      <w:r w:rsidR="005E3F9E" w:rsidRPr="0036251B">
        <w:t>.</w:t>
      </w:r>
      <w:r w:rsidR="00C43931" w:rsidRPr="0036251B">
        <w:t xml:space="preserve"> Moving beyond the Register itself, the experts advocated </w:t>
      </w:r>
      <w:r w:rsidR="000739FC" w:rsidRPr="0036251B">
        <w:t>for</w:t>
      </w:r>
      <w:r w:rsidR="00C43931" w:rsidRPr="0036251B">
        <w:t xml:space="preserve"> the creation of a moderated online platform for sharing good safeguarding practices</w:t>
      </w:r>
      <w:r w:rsidR="000739FC" w:rsidRPr="0036251B">
        <w:t xml:space="preserve">, </w:t>
      </w:r>
      <w:r w:rsidR="008E1775" w:rsidRPr="0036251B">
        <w:t>as</w:t>
      </w:r>
      <w:r w:rsidR="00C43931" w:rsidRPr="0036251B">
        <w:t xml:space="preserve"> essential </w:t>
      </w:r>
      <w:r w:rsidR="008E1775" w:rsidRPr="0036251B">
        <w:t>for</w:t>
      </w:r>
      <w:r w:rsidR="00C43931" w:rsidRPr="0036251B">
        <w:t xml:space="preserve"> fully operationaliz</w:t>
      </w:r>
      <w:r w:rsidR="008E1775" w:rsidRPr="0036251B">
        <w:t>ing</w:t>
      </w:r>
      <w:r w:rsidR="00C43931" w:rsidRPr="0036251B">
        <w:t xml:space="preserve"> Article 18. </w:t>
      </w:r>
      <w:r w:rsidR="004C3A6C" w:rsidRPr="0036251B">
        <w:t>In addition, a series of concrete proposals were made to improve the participation of various stakeholders in the implementation of Article 18.</w:t>
      </w:r>
    </w:p>
    <w:p w14:paraId="35064EA2" w14:textId="29D3A4F8" w:rsidR="00F716CA" w:rsidRPr="0036251B" w:rsidRDefault="00F716CA" w:rsidP="00FA1C2E">
      <w:pPr>
        <w:pStyle w:val="COMPara"/>
        <w:keepNext/>
        <w:numPr>
          <w:ilvl w:val="0"/>
          <w:numId w:val="6"/>
        </w:numPr>
        <w:spacing w:before="240"/>
        <w:ind w:left="567" w:hanging="567"/>
        <w:jc w:val="both"/>
        <w:rPr>
          <w:b/>
          <w:bCs/>
        </w:rPr>
      </w:pPr>
      <w:r w:rsidRPr="0036251B">
        <w:rPr>
          <w:b/>
          <w:bCs/>
        </w:rPr>
        <w:t xml:space="preserve">Objectives and working methods of the present </w:t>
      </w:r>
      <w:proofErr w:type="gramStart"/>
      <w:r w:rsidRPr="0036251B">
        <w:rPr>
          <w:b/>
          <w:bCs/>
        </w:rPr>
        <w:t>meeting</w:t>
      </w:r>
      <w:proofErr w:type="gramEnd"/>
    </w:p>
    <w:p w14:paraId="376C9589" w14:textId="4B8514E6" w:rsidR="006E6D0F" w:rsidRPr="0036251B" w:rsidRDefault="006E6D0F" w:rsidP="00FA1C2E">
      <w:pPr>
        <w:pStyle w:val="COMPara"/>
        <w:keepNext/>
        <w:ind w:left="567" w:hanging="567"/>
        <w:jc w:val="both"/>
      </w:pPr>
      <w:r w:rsidRPr="0036251B">
        <w:t xml:space="preserve">The primary goal of this working group will be to reach a consensus on the overall approach for ensuring </w:t>
      </w:r>
      <w:r w:rsidR="00CC4A1F" w:rsidRPr="0036251B">
        <w:t xml:space="preserve">that </w:t>
      </w:r>
      <w:r w:rsidRPr="0036251B">
        <w:t xml:space="preserve">the full potential of Article 18 of the 2003 Convention </w:t>
      </w:r>
      <w:r w:rsidR="00CC4A1F" w:rsidRPr="0036251B">
        <w:t>is met</w:t>
      </w:r>
      <w:r w:rsidRPr="0036251B">
        <w:t xml:space="preserve"> and </w:t>
      </w:r>
      <w:r w:rsidR="000A6587" w:rsidRPr="0036251B">
        <w:t xml:space="preserve">also </w:t>
      </w:r>
      <w:r w:rsidRPr="0036251B">
        <w:t>to agree on a set of changes required to achieve the agreed vision.</w:t>
      </w:r>
    </w:p>
    <w:p w14:paraId="5096DAE6" w14:textId="58D10482" w:rsidR="00C42D34" w:rsidRPr="0036251B" w:rsidRDefault="007970D2" w:rsidP="00AE7A17">
      <w:pPr>
        <w:pStyle w:val="COMPara"/>
        <w:ind w:left="567" w:hanging="567"/>
        <w:jc w:val="both"/>
      </w:pPr>
      <w:r w:rsidRPr="0036251B">
        <w:t>This</w:t>
      </w:r>
      <w:r w:rsidR="00BB75E4" w:rsidRPr="0036251B">
        <w:t xml:space="preserve"> is an in-person meeting (</w:t>
      </w:r>
      <w:r w:rsidR="007E6CDF" w:rsidRPr="0036251B">
        <w:t xml:space="preserve">the moderators </w:t>
      </w:r>
      <w:r w:rsidR="00BB75E4" w:rsidRPr="0036251B">
        <w:t xml:space="preserve">who are asked to report on the outcome of the Category VI meeting of the experts </w:t>
      </w:r>
      <w:r w:rsidR="007E6CDF" w:rsidRPr="0036251B">
        <w:t>may, however, intervene online</w:t>
      </w:r>
      <w:r w:rsidR="00BB75E4" w:rsidRPr="0036251B">
        <w:t>).</w:t>
      </w:r>
      <w:r w:rsidR="00571178" w:rsidRPr="0036251B">
        <w:t xml:space="preserve"> </w:t>
      </w:r>
      <w:r w:rsidR="006E3426" w:rsidRPr="0036251B">
        <w:rPr>
          <w:color w:val="000000" w:themeColor="text1"/>
          <w:lang w:val="en-US"/>
        </w:rPr>
        <w:t xml:space="preserve">For the meeting agenda and timetable, see </w:t>
      </w:r>
      <w:r w:rsidR="006B2BAA" w:rsidRPr="0036251B">
        <w:rPr>
          <w:color w:val="000000" w:themeColor="text1"/>
          <w:lang w:val="en-US"/>
        </w:rPr>
        <w:t xml:space="preserve">working </w:t>
      </w:r>
      <w:r w:rsidR="006E3426" w:rsidRPr="0036251B">
        <w:rPr>
          <w:color w:val="000000" w:themeColor="text1"/>
          <w:lang w:val="en-US"/>
        </w:rPr>
        <w:t xml:space="preserve">document </w:t>
      </w:r>
      <w:hyperlink r:id="rId31" w:history="1">
        <w:r w:rsidR="006E3426" w:rsidRPr="0036251B">
          <w:rPr>
            <w:rStyle w:val="Hyperlink"/>
          </w:rPr>
          <w:t>LHE/23/18.COM WG ART18/1</w:t>
        </w:r>
      </w:hyperlink>
      <w:r w:rsidR="006E3426" w:rsidRPr="0036251B">
        <w:t xml:space="preserve">. States Parties to the 2003 Convention are the main participants of the meeting, while States not Party to the Convention and accredited non-governmental organizations </w:t>
      </w:r>
      <w:r w:rsidR="00006BAD" w:rsidRPr="0036251B">
        <w:t xml:space="preserve">and Category 2 Centres </w:t>
      </w:r>
      <w:r w:rsidR="006E3426" w:rsidRPr="0036251B">
        <w:t xml:space="preserve">may participate as observers (see the </w:t>
      </w:r>
      <w:hyperlink r:id="rId32" w:history="1">
        <w:r w:rsidR="006E3426" w:rsidRPr="0036251B">
          <w:rPr>
            <w:rStyle w:val="Hyperlink"/>
          </w:rPr>
          <w:t>preliminary list of participants</w:t>
        </w:r>
      </w:hyperlink>
      <w:r w:rsidR="006E3426" w:rsidRPr="0036251B">
        <w:t>)</w:t>
      </w:r>
      <w:r w:rsidR="003A1D26" w:rsidRPr="0036251B">
        <w:t xml:space="preserve">. The debates of the meeting are open to the public and will be transmitted by webcast in real time through the </w:t>
      </w:r>
      <w:hyperlink r:id="rId33" w:history="1">
        <w:r w:rsidR="003A1D26" w:rsidRPr="0036251B">
          <w:rPr>
            <w:rStyle w:val="Hyperlink"/>
          </w:rPr>
          <w:t>webpage</w:t>
        </w:r>
      </w:hyperlink>
      <w:r w:rsidR="003A1D26" w:rsidRPr="0036251B">
        <w:t xml:space="preserve"> of the Convention.</w:t>
      </w:r>
    </w:p>
    <w:p w14:paraId="3AB19806" w14:textId="500FFDC6" w:rsidR="00BB75E4" w:rsidRPr="0036251B" w:rsidRDefault="00C42D34" w:rsidP="00AE7A17">
      <w:pPr>
        <w:pStyle w:val="COMPara"/>
        <w:ind w:left="567" w:hanging="567"/>
        <w:jc w:val="both"/>
      </w:pPr>
      <w:r w:rsidRPr="0036251B">
        <w:t>On the first day, the working group will be</w:t>
      </w:r>
      <w:r w:rsidR="0081482C" w:rsidRPr="0036251B">
        <w:t>g</w:t>
      </w:r>
      <w:r w:rsidRPr="0036251B">
        <w:t xml:space="preserve">in its work by electing the Bureau (a </w:t>
      </w:r>
      <w:proofErr w:type="gramStart"/>
      <w:r w:rsidR="0081482C" w:rsidRPr="0036251B">
        <w:t>Chairperson</w:t>
      </w:r>
      <w:proofErr w:type="gramEnd"/>
      <w:r w:rsidRPr="0036251B">
        <w:t xml:space="preserve"> and five Vice-Chairpersons, one from each of the remaining UNESCO electoral groups)</w:t>
      </w:r>
      <w:r w:rsidR="00D56ED1" w:rsidRPr="0036251B">
        <w:t>,</w:t>
      </w:r>
      <w:r w:rsidRPr="0036251B">
        <w:t xml:space="preserve"> who will remain in office until the end of the meeting. The Chairperson’s duties will replicate those of the Chairperson of the General Assembly of States Parties to the 2003 Convention. The five Vice-Chairpersons will assist the Chairperson in carrying out his or her duties and will also act as rapporteurs. </w:t>
      </w:r>
      <w:r w:rsidR="0075065A" w:rsidRPr="0036251B">
        <w:t>The Bureau of the working group is scheduled to meet</w:t>
      </w:r>
      <w:r w:rsidR="00FA1C2E" w:rsidRPr="0036251B">
        <w:t xml:space="preserve"> in private</w:t>
      </w:r>
      <w:r w:rsidR="0075065A" w:rsidRPr="0036251B">
        <w:t xml:space="preserve"> every day just before the beginning of the afternoon session to facilitate the discussions in the plenary.</w:t>
      </w:r>
    </w:p>
    <w:p w14:paraId="79D865BA" w14:textId="568783A0" w:rsidR="0070689B" w:rsidRPr="0036251B" w:rsidRDefault="006B2BAA" w:rsidP="00ED457C">
      <w:pPr>
        <w:pStyle w:val="COMPara"/>
        <w:ind w:left="567" w:hanging="567"/>
        <w:jc w:val="both"/>
      </w:pPr>
      <w:r w:rsidRPr="0036251B">
        <w:t xml:space="preserve">The working group will discuss the </w:t>
      </w:r>
      <w:r w:rsidR="00561AB9" w:rsidRPr="0036251B">
        <w:t xml:space="preserve">three </w:t>
      </w:r>
      <w:r w:rsidRPr="0036251B">
        <w:t xml:space="preserve">main reflection topics outlined in working document </w:t>
      </w:r>
      <w:hyperlink r:id="rId34" w:history="1">
        <w:r w:rsidRPr="0036251B">
          <w:rPr>
            <w:rStyle w:val="Hyperlink"/>
          </w:rPr>
          <w:t>LHE/23/18.COM WG ART18/</w:t>
        </w:r>
        <w:r w:rsidR="00561AB9" w:rsidRPr="0036251B">
          <w:rPr>
            <w:rStyle w:val="Hyperlink"/>
          </w:rPr>
          <w:t>3</w:t>
        </w:r>
      </w:hyperlink>
      <w:r w:rsidR="00561AB9" w:rsidRPr="0036251B">
        <w:t>, which</w:t>
      </w:r>
      <w:r w:rsidR="00D56ED1" w:rsidRPr="0036251B">
        <w:t xml:space="preserve"> will</w:t>
      </w:r>
      <w:r w:rsidR="00561AB9" w:rsidRPr="0036251B">
        <w:t xml:space="preserve"> take into account the advice given by the above-mentioned </w:t>
      </w:r>
      <w:r w:rsidR="007A40D2" w:rsidRPr="0036251B">
        <w:t>C</w:t>
      </w:r>
      <w:r w:rsidR="00561AB9" w:rsidRPr="0036251B">
        <w:t xml:space="preserve">ategory VI expert meeting held in April 2023 as well as the discussions that took place during the </w:t>
      </w:r>
      <w:r w:rsidR="00743CE1" w:rsidRPr="0036251B">
        <w:t>g</w:t>
      </w:r>
      <w:r w:rsidR="00561AB9" w:rsidRPr="0036251B">
        <w:t xml:space="preserve">lobal reflection on the listing mechanisms of the Convention </w:t>
      </w:r>
      <w:r w:rsidR="00D56ED1" w:rsidRPr="0036251B">
        <w:t>regarding</w:t>
      </w:r>
      <w:r w:rsidR="00561AB9" w:rsidRPr="0036251B">
        <w:t xml:space="preserve"> the implementation of Article 18 of the Convention.</w:t>
      </w:r>
      <w:r w:rsidR="003B3F9F" w:rsidRPr="0036251B">
        <w:t xml:space="preserve"> </w:t>
      </w:r>
      <w:r w:rsidR="00A556DD" w:rsidRPr="0036251B">
        <w:t xml:space="preserve">The recommendations of the working group will be adopted by the end of the meeting, based on the draft structure presented in working document </w:t>
      </w:r>
      <w:hyperlink r:id="rId35" w:history="1">
        <w:r w:rsidR="00A556DD" w:rsidRPr="0036251B">
          <w:rPr>
            <w:rStyle w:val="Hyperlink"/>
          </w:rPr>
          <w:t>LHE/23/18.COM WG ART18/4</w:t>
        </w:r>
      </w:hyperlink>
      <w:r w:rsidR="00A556DD" w:rsidRPr="0036251B">
        <w:t xml:space="preserve">. The Bureau of the working group would be responsible for preparing the draft </w:t>
      </w:r>
      <w:r w:rsidR="00FA1C2E" w:rsidRPr="0036251B">
        <w:t xml:space="preserve">recommendations </w:t>
      </w:r>
      <w:r w:rsidR="00A556DD" w:rsidRPr="0036251B">
        <w:t xml:space="preserve">for discussion during the plenary session on the </w:t>
      </w:r>
      <w:r w:rsidR="008E0E34" w:rsidRPr="0036251B">
        <w:t xml:space="preserve">final </w:t>
      </w:r>
      <w:r w:rsidR="00A556DD" w:rsidRPr="0036251B">
        <w:t>day.</w:t>
      </w:r>
    </w:p>
    <w:p w14:paraId="542B391F" w14:textId="63C29627" w:rsidR="00837B31" w:rsidRPr="0036251B" w:rsidRDefault="0070689B" w:rsidP="00ED457C">
      <w:pPr>
        <w:pStyle w:val="COMPara"/>
        <w:ind w:left="567" w:hanging="567"/>
        <w:jc w:val="both"/>
      </w:pPr>
      <w:r w:rsidRPr="0036251B">
        <w:t>It is expected that some of the recommendations of the working group may require amendments to the Operational Directives</w:t>
      </w:r>
      <w:r w:rsidR="00A556DD" w:rsidRPr="0036251B">
        <w:t xml:space="preserve"> by the General Assembly of </w:t>
      </w:r>
      <w:r w:rsidR="008879AD" w:rsidRPr="0036251B">
        <w:t xml:space="preserve">the </w:t>
      </w:r>
      <w:r w:rsidR="00A556DD" w:rsidRPr="0036251B">
        <w:t>States Parties to the Convention, while others would require other kinds of decisions or endorsement of the Committee and/or of the General Assembly.</w:t>
      </w:r>
      <w:r w:rsidRPr="0036251B">
        <w:t xml:space="preserve"> </w:t>
      </w:r>
      <w:r w:rsidR="00492F27" w:rsidRPr="0036251B">
        <w:t>In this regard, the recommendation of the working group would be presented, in the first instance, to the eighteenth session of the Committee</w:t>
      </w:r>
      <w:r w:rsidR="00FA1C2E" w:rsidRPr="0036251B">
        <w:t xml:space="preserve"> to be held in December 2023</w:t>
      </w:r>
      <w:r w:rsidR="00284025" w:rsidRPr="0036251B">
        <w:t xml:space="preserve">; the working group may wish to request </w:t>
      </w:r>
      <w:r w:rsidR="008E0E34" w:rsidRPr="0036251B">
        <w:t xml:space="preserve">that </w:t>
      </w:r>
      <w:r w:rsidR="00284025" w:rsidRPr="0036251B">
        <w:t>the Secretariat prepare draft amendments to the Operational Directives in this regard. If the Committee so wishes, they may be transmitted to the tenth session of the General Assembly</w:t>
      </w:r>
      <w:r w:rsidR="009511EE" w:rsidRPr="0036251B">
        <w:t xml:space="preserve"> to be held in mid-2024, together with any other issues </w:t>
      </w:r>
      <w:r w:rsidR="008E0E34" w:rsidRPr="0036251B">
        <w:t>requiring</w:t>
      </w:r>
      <w:r w:rsidR="009511EE" w:rsidRPr="0036251B">
        <w:t xml:space="preserve"> its decision and</w:t>
      </w:r>
      <w:r w:rsidR="008E0E34" w:rsidRPr="0036251B">
        <w:t>/</w:t>
      </w:r>
      <w:r w:rsidR="009511EE" w:rsidRPr="0036251B">
        <w:t>or endorsement.</w:t>
      </w:r>
    </w:p>
    <w:sectPr w:rsidR="00837B31" w:rsidRPr="0036251B" w:rsidSect="00655736">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330E" w14:textId="77777777" w:rsidR="002245EA" w:rsidRDefault="002245EA" w:rsidP="00655736">
      <w:r>
        <w:separator/>
      </w:r>
    </w:p>
  </w:endnote>
  <w:endnote w:type="continuationSeparator" w:id="0">
    <w:p w14:paraId="36D2CB2D" w14:textId="77777777" w:rsidR="002245EA" w:rsidRDefault="002245E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DE5B" w14:textId="77777777" w:rsidR="002245EA" w:rsidRDefault="002245EA" w:rsidP="00655736">
      <w:r>
        <w:separator/>
      </w:r>
    </w:p>
  </w:footnote>
  <w:footnote w:type="continuationSeparator" w:id="0">
    <w:p w14:paraId="475E6A53" w14:textId="77777777" w:rsidR="002245EA" w:rsidRDefault="002245EA" w:rsidP="00655736">
      <w:r>
        <w:continuationSeparator/>
      </w:r>
    </w:p>
  </w:footnote>
  <w:footnote w:id="1">
    <w:p w14:paraId="532742D5" w14:textId="5DC5A0E8" w:rsidR="00E3331B" w:rsidRPr="0036251B" w:rsidRDefault="00E3331B" w:rsidP="00E3331B">
      <w:pPr>
        <w:pStyle w:val="FootnoteText"/>
        <w:ind w:left="567" w:hanging="567"/>
        <w:rPr>
          <w:rFonts w:asciiTheme="minorBidi" w:hAnsiTheme="minorBidi" w:cstheme="minorBidi"/>
          <w:sz w:val="18"/>
          <w:szCs w:val="18"/>
          <w:lang w:val="en-GB"/>
        </w:rPr>
      </w:pPr>
      <w:r w:rsidRPr="0036251B">
        <w:rPr>
          <w:rStyle w:val="FootnoteReference"/>
          <w:rFonts w:asciiTheme="minorBidi" w:hAnsiTheme="minorBidi" w:cstheme="minorBidi"/>
          <w:sz w:val="18"/>
          <w:szCs w:val="18"/>
          <w:lang w:val="en-GB"/>
        </w:rPr>
        <w:footnoteRef/>
      </w:r>
      <w:r w:rsidRPr="0036251B">
        <w:rPr>
          <w:rFonts w:asciiTheme="minorBidi" w:hAnsiTheme="minorBidi" w:cstheme="minorBidi"/>
          <w:sz w:val="18"/>
          <w:szCs w:val="18"/>
          <w:lang w:val="en-GB"/>
        </w:rPr>
        <w:t xml:space="preserve"> </w:t>
      </w:r>
      <w:r w:rsidRPr="0036251B">
        <w:rPr>
          <w:rFonts w:asciiTheme="minorBidi" w:hAnsiTheme="minorBidi" w:cstheme="minorBidi"/>
          <w:sz w:val="18"/>
          <w:szCs w:val="18"/>
          <w:lang w:val="en-GB"/>
        </w:rPr>
        <w:tab/>
        <w:t xml:space="preserve">International Meeting of Experts, Intangible Cultural Heritage: Priority Domains for an International Convention: </w:t>
      </w:r>
      <w:hyperlink r:id="rId1" w:history="1">
        <w:r w:rsidR="006B54CD" w:rsidRPr="0036251B">
          <w:rPr>
            <w:rStyle w:val="Hyperlink"/>
            <w:rFonts w:asciiTheme="minorBidi" w:hAnsiTheme="minorBidi" w:cstheme="minorBidi"/>
            <w:sz w:val="18"/>
            <w:szCs w:val="18"/>
            <w:lang w:val="en-GB"/>
          </w:rPr>
          <w:t>Final Report</w:t>
        </w:r>
      </w:hyperlink>
      <w:r w:rsidR="00AF5123" w:rsidRPr="0036251B">
        <w:rPr>
          <w:rStyle w:val="Hyperlink"/>
          <w:rFonts w:asciiTheme="minorBidi" w:hAnsiTheme="minorBidi" w:cstheme="minorBidi"/>
          <w:sz w:val="18"/>
          <w:szCs w:val="18"/>
          <w:lang w:val="en-GB"/>
        </w:rPr>
        <w:t xml:space="preserve"> </w:t>
      </w:r>
      <w:r w:rsidRPr="0036251B">
        <w:rPr>
          <w:rFonts w:asciiTheme="minorBidi" w:hAnsiTheme="minorBidi" w:cstheme="minorBidi"/>
          <w:sz w:val="18"/>
          <w:szCs w:val="18"/>
          <w:lang w:val="en-GB"/>
        </w:rPr>
        <w:t>(22 to 24 January 2002).</w:t>
      </w:r>
    </w:p>
  </w:footnote>
  <w:footnote w:id="2">
    <w:p w14:paraId="3533101E" w14:textId="72C861AF" w:rsidR="0052464E" w:rsidRPr="0036251B" w:rsidRDefault="0052464E" w:rsidP="00C45AED">
      <w:pPr>
        <w:pStyle w:val="FootnoteText"/>
        <w:ind w:left="567" w:hanging="567"/>
        <w:jc w:val="both"/>
        <w:rPr>
          <w:lang w:val="en-US"/>
        </w:rPr>
      </w:pPr>
      <w:r w:rsidRPr="0036251B">
        <w:rPr>
          <w:rStyle w:val="FootnoteReference"/>
        </w:rPr>
        <w:footnoteRef/>
      </w:r>
      <w:r w:rsidRPr="0036251B">
        <w:rPr>
          <w:lang w:val="en-US"/>
        </w:rPr>
        <w:t xml:space="preserve"> </w:t>
      </w:r>
      <w:bookmarkStart w:id="2" w:name="_Hlk136966586"/>
      <w:r w:rsidRPr="0036251B">
        <w:rPr>
          <w:lang w:val="en-US"/>
        </w:rPr>
        <w:tab/>
      </w:r>
      <w:r w:rsidRPr="0036251B">
        <w:rPr>
          <w:rFonts w:asciiTheme="minorBidi" w:hAnsiTheme="minorBidi" w:cstheme="minorBidi"/>
          <w:sz w:val="18"/>
          <w:szCs w:val="18"/>
          <w:lang w:val="en-US"/>
        </w:rPr>
        <w:t xml:space="preserve">One selected </w:t>
      </w:r>
      <w:r w:rsidRPr="0036251B">
        <w:rPr>
          <w:rFonts w:asciiTheme="minorBidi" w:hAnsiTheme="minorBidi" w:cstheme="minorBidi"/>
          <w:sz w:val="18"/>
          <w:szCs w:val="18"/>
          <w:lang w:val="en-GB"/>
        </w:rPr>
        <w:t>programme</w:t>
      </w:r>
      <w:r w:rsidRPr="0036251B">
        <w:rPr>
          <w:rFonts w:asciiTheme="minorBidi" w:hAnsiTheme="minorBidi" w:cstheme="minorBidi"/>
          <w:sz w:val="18"/>
          <w:szCs w:val="18"/>
          <w:lang w:val="en-US"/>
        </w:rPr>
        <w:t xml:space="preserve"> concerns States from Electoral Groups I and II; for the purpose of this table, it is included under both Electoral Groups I and II.</w:t>
      </w:r>
      <w:r w:rsidRPr="0036251B">
        <w:rPr>
          <w:lang w:val="en-US"/>
        </w:rPr>
        <w:t xml:space="preserve"> </w:t>
      </w:r>
      <w:bookmarkEnd w:id="2"/>
    </w:p>
  </w:footnote>
  <w:footnote w:id="3">
    <w:p w14:paraId="2F289E6A" w14:textId="7AB82AD9" w:rsidR="001A0118" w:rsidRPr="0036251B" w:rsidRDefault="001A0118" w:rsidP="001A0118">
      <w:pPr>
        <w:pStyle w:val="FootnoteText"/>
        <w:ind w:left="567" w:hanging="567"/>
        <w:rPr>
          <w:rFonts w:asciiTheme="minorBidi" w:hAnsiTheme="minorBidi" w:cstheme="minorBidi"/>
          <w:sz w:val="18"/>
          <w:szCs w:val="18"/>
          <w:lang w:val="en-GB"/>
        </w:rPr>
      </w:pPr>
      <w:r w:rsidRPr="0036251B">
        <w:rPr>
          <w:rStyle w:val="FootnoteReference"/>
          <w:rFonts w:asciiTheme="minorBidi" w:hAnsiTheme="minorBidi" w:cstheme="minorBidi"/>
          <w:sz w:val="18"/>
          <w:szCs w:val="18"/>
        </w:rPr>
        <w:footnoteRef/>
      </w:r>
      <w:r w:rsidRPr="0036251B">
        <w:rPr>
          <w:rFonts w:asciiTheme="minorBidi" w:hAnsiTheme="minorBidi" w:cstheme="minorBidi"/>
          <w:sz w:val="18"/>
          <w:szCs w:val="18"/>
          <w:lang w:val="en-GB"/>
        </w:rPr>
        <w:tab/>
      </w:r>
      <w:r w:rsidRPr="0036251B">
        <w:rPr>
          <w:rFonts w:asciiTheme="minorBidi" w:hAnsiTheme="minorBidi" w:cstheme="minorBidi"/>
          <w:noProof/>
          <w:sz w:val="18"/>
          <w:szCs w:val="18"/>
          <w:lang w:val="en-GB"/>
        </w:rPr>
        <w:t>For</w:t>
      </w:r>
      <w:r w:rsidRPr="0036251B">
        <w:rPr>
          <w:rFonts w:asciiTheme="minorBidi" w:hAnsiTheme="minorBidi" w:cstheme="minorBidi"/>
          <w:sz w:val="18"/>
          <w:szCs w:val="18"/>
          <w:lang w:val="en-GB"/>
        </w:rPr>
        <w:t xml:space="preserve"> the executive summary and the report of the survey, see </w:t>
      </w:r>
      <w:r w:rsidR="0036251B" w:rsidRPr="0036251B">
        <w:fldChar w:fldCharType="begin"/>
      </w:r>
      <w:r w:rsidR="0036251B" w:rsidRPr="0036251B">
        <w:rPr>
          <w:lang w:val="en-US"/>
        </w:rPr>
        <w:instrText>HYPERLINK "https://ich.unesco.org/en</w:instrText>
      </w:r>
      <w:r w:rsidR="0036251B" w:rsidRPr="0036251B">
        <w:rPr>
          <w:lang w:val="en-US"/>
        </w:rPr>
        <w:instrText>/lighter-ways-of-sharing-ich-safeguarding-practices-00999"</w:instrText>
      </w:r>
      <w:r w:rsidR="0036251B" w:rsidRPr="0036251B">
        <w:fldChar w:fldCharType="separate"/>
      </w:r>
      <w:r w:rsidRPr="0036251B">
        <w:rPr>
          <w:rStyle w:val="Hyperlink"/>
          <w:rFonts w:asciiTheme="minorBidi" w:hAnsiTheme="minorBidi" w:cstheme="minorBidi"/>
          <w:sz w:val="18"/>
          <w:szCs w:val="18"/>
          <w:lang w:val="en-GB"/>
        </w:rPr>
        <w:t>here</w:t>
      </w:r>
      <w:r w:rsidR="0036251B" w:rsidRPr="0036251B">
        <w:rPr>
          <w:rStyle w:val="Hyperlink"/>
          <w:rFonts w:asciiTheme="minorBidi" w:hAnsiTheme="minorBidi" w:cstheme="minorBidi"/>
          <w:sz w:val="18"/>
          <w:szCs w:val="18"/>
          <w:lang w:val="en-GB"/>
        </w:rPr>
        <w:fldChar w:fldCharType="end"/>
      </w:r>
      <w:r w:rsidR="00DA494B" w:rsidRPr="0036251B">
        <w:rPr>
          <w:rStyle w:val="Hyperlink"/>
          <w:rFonts w:asciiTheme="minorBidi" w:hAnsiTheme="minorBidi" w:cstheme="minorBidi"/>
          <w:sz w:val="18"/>
          <w:szCs w:val="18"/>
          <w:u w:val="none"/>
          <w:lang w:val="en-GB"/>
        </w:rPr>
        <w:t>.</w:t>
      </w:r>
    </w:p>
  </w:footnote>
  <w:footnote w:id="4">
    <w:p w14:paraId="19D4F3AA" w14:textId="77777777" w:rsidR="008F13F1" w:rsidRPr="0036251B" w:rsidRDefault="008F13F1" w:rsidP="008F13F1">
      <w:pPr>
        <w:pStyle w:val="FootnoteText"/>
        <w:ind w:left="567" w:hanging="567"/>
        <w:rPr>
          <w:rFonts w:asciiTheme="minorBidi" w:hAnsiTheme="minorBidi" w:cstheme="minorBidi"/>
          <w:lang w:val="en-GB"/>
        </w:rPr>
      </w:pPr>
      <w:r w:rsidRPr="0036251B">
        <w:rPr>
          <w:rStyle w:val="FootnoteReference"/>
        </w:rPr>
        <w:footnoteRef/>
      </w:r>
      <w:r w:rsidRPr="0036251B">
        <w:rPr>
          <w:lang w:val="en-GB"/>
        </w:rPr>
        <w:tab/>
      </w:r>
      <w:r w:rsidRPr="0036251B">
        <w:rPr>
          <w:rFonts w:asciiTheme="minorBidi" w:hAnsiTheme="minorBidi" w:cstheme="minorBidi"/>
          <w:sz w:val="18"/>
          <w:szCs w:val="18"/>
          <w:lang w:val="en-GB"/>
        </w:rPr>
        <w:t xml:space="preserve">See </w:t>
      </w:r>
      <w:r w:rsidR="0036251B" w:rsidRPr="0036251B">
        <w:fldChar w:fldCharType="begin"/>
      </w:r>
      <w:r w:rsidR="0036251B" w:rsidRPr="0036251B">
        <w:rPr>
          <w:lang w:val="en-US"/>
        </w:rPr>
        <w:instrText>HYPERLINK "https://ich.unesco.org/en/global-reflection-on-the-listing-mechanisms-01164"</w:instrText>
      </w:r>
      <w:r w:rsidR="0036251B" w:rsidRPr="0036251B">
        <w:fldChar w:fldCharType="separate"/>
      </w:r>
      <w:r w:rsidRPr="0036251B">
        <w:rPr>
          <w:rStyle w:val="Hyperlink"/>
          <w:rFonts w:asciiTheme="minorBidi" w:hAnsiTheme="minorBidi" w:cstheme="minorBidi"/>
          <w:sz w:val="18"/>
          <w:szCs w:val="18"/>
          <w:lang w:val="en-GB"/>
        </w:rPr>
        <w:t>https://ich.unesco.org/en/global-reflection-on-the-listing-mechanisms-01164</w:t>
      </w:r>
      <w:r w:rsidR="0036251B" w:rsidRPr="0036251B">
        <w:rPr>
          <w:rStyle w:val="Hyperlink"/>
          <w:rFonts w:asciiTheme="minorBidi" w:hAnsiTheme="minorBidi" w:cstheme="minorBidi"/>
          <w:sz w:val="18"/>
          <w:szCs w:val="18"/>
          <w:lang w:val="en-GB"/>
        </w:rPr>
        <w:fldChar w:fldCharType="end"/>
      </w:r>
      <w:r w:rsidRPr="0036251B">
        <w:rPr>
          <w:rFonts w:asciiTheme="minorBidi" w:hAnsiTheme="minorBidi" w:cstheme="minorBidi"/>
          <w:sz w:val="18"/>
          <w:szCs w:val="18"/>
          <w:lang w:val="en-GB"/>
        </w:rPr>
        <w:t>.</w:t>
      </w:r>
    </w:p>
  </w:footnote>
  <w:footnote w:id="5">
    <w:p w14:paraId="63850A81" w14:textId="11E422F8" w:rsidR="008F13F1" w:rsidRPr="00AE7B9E" w:rsidRDefault="008F13F1" w:rsidP="008F13F1">
      <w:pPr>
        <w:pStyle w:val="FootnoteText"/>
        <w:ind w:left="567" w:hanging="567"/>
        <w:jc w:val="both"/>
        <w:rPr>
          <w:rFonts w:asciiTheme="minorBidi" w:hAnsiTheme="minorBidi" w:cstheme="minorBidi"/>
          <w:sz w:val="18"/>
          <w:szCs w:val="18"/>
          <w:lang w:val="en-GB"/>
        </w:rPr>
      </w:pPr>
      <w:r w:rsidRPr="0036251B">
        <w:rPr>
          <w:rStyle w:val="FootnoteReference"/>
          <w:rFonts w:asciiTheme="minorBidi" w:hAnsiTheme="minorBidi" w:cstheme="minorBidi"/>
          <w:sz w:val="18"/>
          <w:szCs w:val="18"/>
        </w:rPr>
        <w:footnoteRef/>
      </w:r>
      <w:r w:rsidRPr="0036251B">
        <w:rPr>
          <w:rFonts w:asciiTheme="minorBidi" w:hAnsiTheme="minorBidi" w:cstheme="minorBidi"/>
          <w:sz w:val="18"/>
          <w:szCs w:val="18"/>
          <w:lang w:val="en-GB"/>
        </w:rPr>
        <w:tab/>
        <w:t xml:space="preserve">Criterion P.9: ‘The programme, project or activity is primarily applicable to the particular needs of developing </w:t>
      </w:r>
      <w:proofErr w:type="gramStart"/>
      <w:r w:rsidRPr="0036251B">
        <w:rPr>
          <w:rFonts w:asciiTheme="minorBidi" w:hAnsiTheme="minorBidi" w:cstheme="minorBidi"/>
          <w:sz w:val="18"/>
          <w:szCs w:val="18"/>
          <w:lang w:val="en-GB"/>
        </w:rPr>
        <w:t>countries’</w:t>
      </w:r>
      <w:proofErr w:type="gramEnd"/>
      <w:r w:rsidRPr="0036251B">
        <w:rPr>
          <w:rFonts w:asciiTheme="minorBidi" w:hAnsiTheme="minorBidi" w:cstheme="minorBid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D84690A" w:rsidR="00D95C4C" w:rsidRPr="00C23A97" w:rsidRDefault="005326DB" w:rsidP="00C5776D">
    <w:pPr>
      <w:pStyle w:val="Header"/>
      <w:rPr>
        <w:rFonts w:ascii="Arial" w:hAnsi="Arial" w:cs="Arial"/>
        <w:lang w:val="en-GB"/>
      </w:rPr>
    </w:pPr>
    <w:r w:rsidRPr="005326DB">
      <w:rPr>
        <w:rFonts w:ascii="Arial" w:hAnsi="Arial" w:cs="Arial"/>
        <w:sz w:val="20"/>
        <w:szCs w:val="20"/>
        <w:lang w:val="en-GB"/>
      </w:rPr>
      <w:t>LHE/23/</w:t>
    </w:r>
    <w:r w:rsidR="00981B98" w:rsidRPr="00981B98">
      <w:rPr>
        <w:rFonts w:ascii="Arial" w:hAnsi="Arial" w:cs="Arial"/>
        <w:sz w:val="20"/>
        <w:szCs w:val="20"/>
        <w:lang w:val="en-GB"/>
      </w:rPr>
      <w:t>18.COM WG ART18</w:t>
    </w:r>
    <w:r w:rsidRPr="005326DB">
      <w:rPr>
        <w:rFonts w:ascii="Arial" w:hAnsi="Arial" w:cs="Arial"/>
        <w:sz w:val="20"/>
        <w:szCs w:val="20"/>
        <w:lang w:val="en-GB"/>
      </w:rPr>
      <w:t>/</w:t>
    </w:r>
    <w:r w:rsidR="00710D65">
      <w:rPr>
        <w:rFonts w:ascii="Arial" w:hAnsi="Arial" w:cs="Arial"/>
        <w:sz w:val="20"/>
        <w:szCs w:val="20"/>
        <w:lang w:val="en-GB"/>
      </w:rPr>
      <w:t>2</w:t>
    </w:r>
    <w:r>
      <w:rPr>
        <w:rFonts w:ascii="Arial" w:hAnsi="Arial" w:cs="Arial"/>
        <w:sz w:val="20"/>
        <w:szCs w:val="20"/>
        <w:lang w:val="en-GB"/>
      </w:rPr>
      <w:t xml:space="preserve">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6E81913" w:rsidR="00D95C4C" w:rsidRPr="0063300C" w:rsidRDefault="005326DB" w:rsidP="00C5776D">
    <w:pPr>
      <w:pStyle w:val="Header"/>
      <w:jc w:val="right"/>
      <w:rPr>
        <w:rFonts w:ascii="Arial" w:hAnsi="Arial" w:cs="Arial"/>
        <w:lang w:val="en-GB"/>
      </w:rPr>
    </w:pPr>
    <w:r w:rsidRPr="005326DB">
      <w:rPr>
        <w:rFonts w:ascii="Arial" w:hAnsi="Arial" w:cs="Arial"/>
        <w:sz w:val="20"/>
        <w:szCs w:val="20"/>
        <w:lang w:val="en-GB"/>
      </w:rPr>
      <w:t>LHE/23/</w:t>
    </w:r>
    <w:r w:rsidR="00981B98" w:rsidRPr="00981B98">
      <w:rPr>
        <w:rFonts w:ascii="Arial" w:hAnsi="Arial" w:cs="Arial"/>
        <w:sz w:val="20"/>
        <w:szCs w:val="20"/>
        <w:lang w:val="en-GB"/>
      </w:rPr>
      <w:t>18.COM WG ART18</w:t>
    </w:r>
    <w:r w:rsidRPr="005326DB">
      <w:rPr>
        <w:rFonts w:ascii="Arial" w:hAnsi="Arial" w:cs="Arial"/>
        <w:sz w:val="20"/>
        <w:szCs w:val="20"/>
        <w:lang w:val="en-GB"/>
      </w:rPr>
      <w:t>/</w:t>
    </w:r>
    <w:r w:rsidR="00710D65">
      <w:rPr>
        <w:rFonts w:ascii="Arial" w:hAnsi="Arial" w:cs="Arial"/>
        <w:sz w:val="20"/>
        <w:szCs w:val="20"/>
        <w:lang w:val="en-GB"/>
      </w:rPr>
      <w:t>2</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D2E2" w14:textId="61E19156" w:rsidR="0078767C" w:rsidRPr="00D7105A" w:rsidRDefault="002F33AC" w:rsidP="0078767C">
    <w:pPr>
      <w:pStyle w:val="Header"/>
      <w:spacing w:after="520"/>
      <w:jc w:val="right"/>
      <w:rPr>
        <w:rFonts w:ascii="Arial" w:hAnsi="Arial" w:cs="Arial"/>
        <w:b/>
        <w:sz w:val="44"/>
        <w:szCs w:val="44"/>
        <w:lang w:val="pt-PT"/>
      </w:rPr>
    </w:pPr>
    <w:bookmarkStart w:id="3" w:name="_Hlk133506479"/>
    <w:r>
      <w:rPr>
        <w:rFonts w:ascii="Arial" w:hAnsi="Arial" w:cs="Arial"/>
        <w:b/>
        <w:sz w:val="44"/>
        <w:szCs w:val="44"/>
        <w:lang w:val="pt-PT"/>
      </w:rPr>
      <w:t>18</w:t>
    </w:r>
    <w:r w:rsidR="00981B98">
      <w:rPr>
        <w:rFonts w:ascii="Arial" w:hAnsi="Arial" w:cs="Arial"/>
        <w:b/>
        <w:sz w:val="44"/>
        <w:szCs w:val="44"/>
        <w:lang w:val="pt-PT"/>
      </w:rPr>
      <w:t>.</w:t>
    </w:r>
    <w:r>
      <w:rPr>
        <w:rFonts w:ascii="Arial" w:hAnsi="Arial" w:cs="Arial"/>
        <w:b/>
        <w:sz w:val="44"/>
        <w:szCs w:val="44"/>
        <w:lang w:val="pt-PT"/>
      </w:rPr>
      <w:t xml:space="preserve">COM </w:t>
    </w:r>
    <w:r w:rsidR="0078767C">
      <w:rPr>
        <w:rFonts w:ascii="Arial" w:hAnsi="Arial" w:cs="Arial"/>
        <w:b/>
        <w:sz w:val="44"/>
        <w:szCs w:val="44"/>
        <w:lang w:val="pt-PT"/>
      </w:rPr>
      <w:t>WG ART18</w:t>
    </w:r>
  </w:p>
  <w:bookmarkEnd w:id="3"/>
  <w:p w14:paraId="306484B8" w14:textId="795116F9"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bookmarkStart w:id="4" w:name="_Hlk133506473"/>
    <w:r w:rsidR="002F33AC">
      <w:rPr>
        <w:rFonts w:ascii="Arial" w:hAnsi="Arial" w:cs="Arial"/>
        <w:b/>
        <w:sz w:val="22"/>
        <w:szCs w:val="22"/>
        <w:lang w:val="pt-PT"/>
      </w:rPr>
      <w:t xml:space="preserve">18.COM </w:t>
    </w:r>
    <w:r w:rsidR="0078767C">
      <w:rPr>
        <w:rFonts w:ascii="Arial" w:hAnsi="Arial" w:cs="Arial"/>
        <w:b/>
        <w:sz w:val="22"/>
        <w:szCs w:val="22"/>
        <w:lang w:val="pt-PT"/>
      </w:rPr>
      <w:t>WG ART18</w:t>
    </w:r>
    <w:bookmarkEnd w:id="4"/>
    <w:r w:rsidR="0078767C" w:rsidRPr="00D7105A">
      <w:rPr>
        <w:rFonts w:ascii="Arial" w:hAnsi="Arial" w:cs="Arial"/>
        <w:b/>
        <w:sz w:val="22"/>
        <w:szCs w:val="22"/>
        <w:lang w:val="pt-PT"/>
      </w:rPr>
      <w:t>/</w:t>
    </w:r>
    <w:r w:rsidR="00131BFA">
      <w:rPr>
        <w:rFonts w:ascii="Arial" w:hAnsi="Arial" w:cs="Arial"/>
        <w:b/>
        <w:sz w:val="22"/>
        <w:szCs w:val="22"/>
        <w:lang w:val="pt-PT"/>
      </w:rPr>
      <w:t>2</w:t>
    </w:r>
  </w:p>
  <w:p w14:paraId="1B4446C3" w14:textId="76A0CBE3"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E841C4" w:rsidRPr="00E841C4">
      <w:rPr>
        <w:rFonts w:ascii="Arial" w:hAnsi="Arial" w:cs="Arial"/>
        <w:b/>
        <w:sz w:val="22"/>
        <w:szCs w:val="22"/>
        <w:lang w:val="pt-PT"/>
      </w:rPr>
      <w:t>6</w:t>
    </w:r>
    <w:r w:rsidRPr="00E841C4">
      <w:rPr>
        <w:rFonts w:ascii="Arial" w:hAnsi="Arial" w:cs="Arial"/>
        <w:b/>
        <w:sz w:val="22"/>
        <w:szCs w:val="22"/>
        <w:lang w:val="pt-PT"/>
      </w:rPr>
      <w:t xml:space="preserve"> </w:t>
    </w:r>
    <w:r w:rsidR="0078767C" w:rsidRPr="00E841C4">
      <w:rPr>
        <w:rFonts w:ascii="Arial" w:hAnsi="Arial" w:cs="Arial"/>
        <w:b/>
        <w:sz w:val="22"/>
        <w:szCs w:val="22"/>
        <w:lang w:val="pt-PT"/>
      </w:rPr>
      <w:t>June</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45501">
      <w:rPr>
        <w:rFonts w:ascii="Arial" w:hAnsi="Arial" w:cs="Arial"/>
        <w:b/>
        <w:sz w:val="22"/>
        <w:szCs w:val="22"/>
        <w:lang w:val="pt-PT"/>
      </w:rPr>
      <w:t>3</w:t>
    </w:r>
  </w:p>
  <w:p w14:paraId="255B57FF" w14:textId="3D89E6EB"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E841C4">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64026C"/>
    <w:multiLevelType w:val="hybridMultilevel"/>
    <w:tmpl w:val="47C6F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E1D6D65"/>
    <w:multiLevelType w:val="hybridMultilevel"/>
    <w:tmpl w:val="F58C85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FCB6519"/>
    <w:multiLevelType w:val="hybridMultilevel"/>
    <w:tmpl w:val="8C54D918"/>
    <w:lvl w:ilvl="0" w:tplc="10ACF59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9497D4C"/>
    <w:multiLevelType w:val="hybridMultilevel"/>
    <w:tmpl w:val="42A63E7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C196BF0"/>
    <w:multiLevelType w:val="hybridMultilevel"/>
    <w:tmpl w:val="4F528278"/>
    <w:lvl w:ilvl="0" w:tplc="D480F024">
      <w:start w:val="1"/>
      <w:numFmt w:val="decimal"/>
      <w:pStyle w:val="1GAPara"/>
      <w:lvlText w:val="%1."/>
      <w:lvlJc w:val="left"/>
      <w:pPr>
        <w:ind w:left="153" w:hanging="360"/>
      </w:p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6270374">
    <w:abstractNumId w:val="0"/>
  </w:num>
  <w:num w:numId="2" w16cid:durableId="1533764642">
    <w:abstractNumId w:val="7"/>
  </w:num>
  <w:num w:numId="3" w16cid:durableId="1246129">
    <w:abstractNumId w:val="8"/>
  </w:num>
  <w:num w:numId="4" w16cid:durableId="1088770206">
    <w:abstractNumId w:val="9"/>
  </w:num>
  <w:num w:numId="5" w16cid:durableId="1263951029">
    <w:abstractNumId w:val="10"/>
  </w:num>
  <w:num w:numId="6" w16cid:durableId="540821319">
    <w:abstractNumId w:val="2"/>
  </w:num>
  <w:num w:numId="7" w16cid:durableId="44567868">
    <w:abstractNumId w:val="6"/>
  </w:num>
  <w:num w:numId="8" w16cid:durableId="1652631429">
    <w:abstractNumId w:val="1"/>
  </w:num>
  <w:num w:numId="9" w16cid:durableId="1054962475">
    <w:abstractNumId w:val="4"/>
  </w:num>
  <w:num w:numId="10" w16cid:durableId="1282223481">
    <w:abstractNumId w:val="5"/>
  </w:num>
  <w:num w:numId="11" w16cid:durableId="1682050477">
    <w:abstractNumId w:val="3"/>
  </w:num>
  <w:num w:numId="12" w16cid:durableId="983385547">
    <w:abstractNumId w:val="7"/>
  </w:num>
  <w:num w:numId="13" w16cid:durableId="1393387073">
    <w:abstractNumId w:val="7"/>
  </w:num>
  <w:num w:numId="14" w16cid:durableId="525337011">
    <w:abstractNumId w:val="7"/>
  </w:num>
  <w:num w:numId="15" w16cid:durableId="2036269913">
    <w:abstractNumId w:val="7"/>
  </w:num>
  <w:num w:numId="16" w16cid:durableId="1974366798">
    <w:abstractNumId w:val="7"/>
  </w:num>
  <w:num w:numId="17" w16cid:durableId="971709120">
    <w:abstractNumId w:val="7"/>
  </w:num>
  <w:num w:numId="18" w16cid:durableId="125051033">
    <w:abstractNumId w:val="7"/>
  </w:num>
  <w:num w:numId="19" w16cid:durableId="52167606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9FF"/>
    <w:rsid w:val="00006BAD"/>
    <w:rsid w:val="000114D9"/>
    <w:rsid w:val="000130DB"/>
    <w:rsid w:val="00013DE9"/>
    <w:rsid w:val="00014915"/>
    <w:rsid w:val="000200FC"/>
    <w:rsid w:val="00041A66"/>
    <w:rsid w:val="00041AFB"/>
    <w:rsid w:val="00042D88"/>
    <w:rsid w:val="0005176E"/>
    <w:rsid w:val="0006430F"/>
    <w:rsid w:val="000669CC"/>
    <w:rsid w:val="000739FC"/>
    <w:rsid w:val="00073DEA"/>
    <w:rsid w:val="00074EB4"/>
    <w:rsid w:val="000765F7"/>
    <w:rsid w:val="0007725F"/>
    <w:rsid w:val="00077AB7"/>
    <w:rsid w:val="00081CD8"/>
    <w:rsid w:val="00090884"/>
    <w:rsid w:val="000A1169"/>
    <w:rsid w:val="000A6587"/>
    <w:rsid w:val="000A7F0E"/>
    <w:rsid w:val="000B1C8F"/>
    <w:rsid w:val="000B301B"/>
    <w:rsid w:val="000C0D61"/>
    <w:rsid w:val="000C12F9"/>
    <w:rsid w:val="000C1BC9"/>
    <w:rsid w:val="000F1357"/>
    <w:rsid w:val="000F3A3F"/>
    <w:rsid w:val="00102557"/>
    <w:rsid w:val="00102FFA"/>
    <w:rsid w:val="00116C7E"/>
    <w:rsid w:val="00123B5F"/>
    <w:rsid w:val="00131BFA"/>
    <w:rsid w:val="00135CF6"/>
    <w:rsid w:val="00147A38"/>
    <w:rsid w:val="00151343"/>
    <w:rsid w:val="00154C87"/>
    <w:rsid w:val="00163EB0"/>
    <w:rsid w:val="00164D56"/>
    <w:rsid w:val="00167B10"/>
    <w:rsid w:val="0017402F"/>
    <w:rsid w:val="001867DD"/>
    <w:rsid w:val="00190205"/>
    <w:rsid w:val="00196C1B"/>
    <w:rsid w:val="00197C26"/>
    <w:rsid w:val="001A0118"/>
    <w:rsid w:val="001A2A16"/>
    <w:rsid w:val="001A7FC2"/>
    <w:rsid w:val="001B0F73"/>
    <w:rsid w:val="001B5321"/>
    <w:rsid w:val="001B623E"/>
    <w:rsid w:val="001C2DB7"/>
    <w:rsid w:val="001C5D68"/>
    <w:rsid w:val="001D14FE"/>
    <w:rsid w:val="001D5C04"/>
    <w:rsid w:val="001D6930"/>
    <w:rsid w:val="001E62D7"/>
    <w:rsid w:val="001F26CF"/>
    <w:rsid w:val="002053BB"/>
    <w:rsid w:val="00222A2D"/>
    <w:rsid w:val="00223029"/>
    <w:rsid w:val="002245EA"/>
    <w:rsid w:val="0022544E"/>
    <w:rsid w:val="00234745"/>
    <w:rsid w:val="00234A97"/>
    <w:rsid w:val="002351A6"/>
    <w:rsid w:val="002407AF"/>
    <w:rsid w:val="00245501"/>
    <w:rsid w:val="00247194"/>
    <w:rsid w:val="002471D8"/>
    <w:rsid w:val="0025150F"/>
    <w:rsid w:val="00254B26"/>
    <w:rsid w:val="002620DC"/>
    <w:rsid w:val="0026221A"/>
    <w:rsid w:val="0027466B"/>
    <w:rsid w:val="002814F6"/>
    <w:rsid w:val="002838A5"/>
    <w:rsid w:val="00284025"/>
    <w:rsid w:val="00285BB4"/>
    <w:rsid w:val="002900BB"/>
    <w:rsid w:val="0029039F"/>
    <w:rsid w:val="002B3B09"/>
    <w:rsid w:val="002B709F"/>
    <w:rsid w:val="002C09E3"/>
    <w:rsid w:val="002C6A2C"/>
    <w:rsid w:val="002C7022"/>
    <w:rsid w:val="002D1244"/>
    <w:rsid w:val="002D2CEC"/>
    <w:rsid w:val="002E21B2"/>
    <w:rsid w:val="002F33AC"/>
    <w:rsid w:val="003046FA"/>
    <w:rsid w:val="00311A66"/>
    <w:rsid w:val="0031706C"/>
    <w:rsid w:val="00324843"/>
    <w:rsid w:val="00337CEB"/>
    <w:rsid w:val="00344B58"/>
    <w:rsid w:val="0034539A"/>
    <w:rsid w:val="00345CB4"/>
    <w:rsid w:val="0034794D"/>
    <w:rsid w:val="0035176B"/>
    <w:rsid w:val="0036251B"/>
    <w:rsid w:val="00367087"/>
    <w:rsid w:val="003676DD"/>
    <w:rsid w:val="00375D42"/>
    <w:rsid w:val="003767E0"/>
    <w:rsid w:val="003767EF"/>
    <w:rsid w:val="0037790B"/>
    <w:rsid w:val="00392CD0"/>
    <w:rsid w:val="003944F1"/>
    <w:rsid w:val="003A1D26"/>
    <w:rsid w:val="003A7A4A"/>
    <w:rsid w:val="003B1D4E"/>
    <w:rsid w:val="003B3F9F"/>
    <w:rsid w:val="003B4416"/>
    <w:rsid w:val="003D069C"/>
    <w:rsid w:val="003D7646"/>
    <w:rsid w:val="003F113A"/>
    <w:rsid w:val="003F3E63"/>
    <w:rsid w:val="003F44AB"/>
    <w:rsid w:val="00407480"/>
    <w:rsid w:val="00414643"/>
    <w:rsid w:val="0041604B"/>
    <w:rsid w:val="004301B1"/>
    <w:rsid w:val="004313C4"/>
    <w:rsid w:val="00437B21"/>
    <w:rsid w:val="004421E5"/>
    <w:rsid w:val="00443412"/>
    <w:rsid w:val="00452284"/>
    <w:rsid w:val="0045488F"/>
    <w:rsid w:val="00455352"/>
    <w:rsid w:val="00457C8E"/>
    <w:rsid w:val="00480175"/>
    <w:rsid w:val="004856CA"/>
    <w:rsid w:val="00487E67"/>
    <w:rsid w:val="004906B7"/>
    <w:rsid w:val="00490D37"/>
    <w:rsid w:val="00492F27"/>
    <w:rsid w:val="00495D78"/>
    <w:rsid w:val="0049705E"/>
    <w:rsid w:val="004A2875"/>
    <w:rsid w:val="004A34A0"/>
    <w:rsid w:val="004B001D"/>
    <w:rsid w:val="004B0A34"/>
    <w:rsid w:val="004B580F"/>
    <w:rsid w:val="004C3A6C"/>
    <w:rsid w:val="004C7C82"/>
    <w:rsid w:val="004F4D72"/>
    <w:rsid w:val="005008A8"/>
    <w:rsid w:val="00503EC5"/>
    <w:rsid w:val="00515833"/>
    <w:rsid w:val="00517FD8"/>
    <w:rsid w:val="005202D7"/>
    <w:rsid w:val="0052464E"/>
    <w:rsid w:val="0052492C"/>
    <w:rsid w:val="00526B7B"/>
    <w:rsid w:val="005274D2"/>
    <w:rsid w:val="00527EDA"/>
    <w:rsid w:val="005308CE"/>
    <w:rsid w:val="005326DB"/>
    <w:rsid w:val="0053318C"/>
    <w:rsid w:val="00553FAE"/>
    <w:rsid w:val="00554BDD"/>
    <w:rsid w:val="00561AB9"/>
    <w:rsid w:val="00562D8B"/>
    <w:rsid w:val="00571178"/>
    <w:rsid w:val="0057439C"/>
    <w:rsid w:val="005765CE"/>
    <w:rsid w:val="005960FA"/>
    <w:rsid w:val="005A1C04"/>
    <w:rsid w:val="005B0127"/>
    <w:rsid w:val="005B7A35"/>
    <w:rsid w:val="005C4B73"/>
    <w:rsid w:val="005C4CC6"/>
    <w:rsid w:val="005E1D2B"/>
    <w:rsid w:val="005E1D62"/>
    <w:rsid w:val="005E3F9E"/>
    <w:rsid w:val="005E7074"/>
    <w:rsid w:val="005F2BAF"/>
    <w:rsid w:val="00600D93"/>
    <w:rsid w:val="006247B3"/>
    <w:rsid w:val="00626BEA"/>
    <w:rsid w:val="0063300C"/>
    <w:rsid w:val="0063346B"/>
    <w:rsid w:val="006350CF"/>
    <w:rsid w:val="00637991"/>
    <w:rsid w:val="00646B3C"/>
    <w:rsid w:val="00651A5B"/>
    <w:rsid w:val="00655736"/>
    <w:rsid w:val="006566F7"/>
    <w:rsid w:val="00663B8D"/>
    <w:rsid w:val="00671521"/>
    <w:rsid w:val="0067208B"/>
    <w:rsid w:val="00677BD0"/>
    <w:rsid w:val="006944E0"/>
    <w:rsid w:val="00696C8D"/>
    <w:rsid w:val="006A2AC2"/>
    <w:rsid w:val="006A3617"/>
    <w:rsid w:val="006B2BAA"/>
    <w:rsid w:val="006B4452"/>
    <w:rsid w:val="006B54CD"/>
    <w:rsid w:val="006B739D"/>
    <w:rsid w:val="006E3426"/>
    <w:rsid w:val="006E46E4"/>
    <w:rsid w:val="006E497E"/>
    <w:rsid w:val="006E6D0F"/>
    <w:rsid w:val="006E75EB"/>
    <w:rsid w:val="006F0D1B"/>
    <w:rsid w:val="0070689B"/>
    <w:rsid w:val="00710D65"/>
    <w:rsid w:val="00717288"/>
    <w:rsid w:val="00717DA5"/>
    <w:rsid w:val="00721CBB"/>
    <w:rsid w:val="0072280B"/>
    <w:rsid w:val="007333D0"/>
    <w:rsid w:val="00734421"/>
    <w:rsid w:val="00737253"/>
    <w:rsid w:val="00743CE1"/>
    <w:rsid w:val="00744484"/>
    <w:rsid w:val="00746BCA"/>
    <w:rsid w:val="00747566"/>
    <w:rsid w:val="00747CEF"/>
    <w:rsid w:val="0075065A"/>
    <w:rsid w:val="00761A9B"/>
    <w:rsid w:val="00773188"/>
    <w:rsid w:val="00773A6C"/>
    <w:rsid w:val="00777D09"/>
    <w:rsid w:val="00782E9D"/>
    <w:rsid w:val="00783782"/>
    <w:rsid w:val="00784B8C"/>
    <w:rsid w:val="00784C6A"/>
    <w:rsid w:val="0078767C"/>
    <w:rsid w:val="007879E1"/>
    <w:rsid w:val="0079102C"/>
    <w:rsid w:val="007970D2"/>
    <w:rsid w:val="007A40D2"/>
    <w:rsid w:val="007B389E"/>
    <w:rsid w:val="007B3D37"/>
    <w:rsid w:val="007B518E"/>
    <w:rsid w:val="007B561A"/>
    <w:rsid w:val="007E57AA"/>
    <w:rsid w:val="007E6CDF"/>
    <w:rsid w:val="00807902"/>
    <w:rsid w:val="008128C3"/>
    <w:rsid w:val="0081482C"/>
    <w:rsid w:val="00823A11"/>
    <w:rsid w:val="00823B8D"/>
    <w:rsid w:val="008314E8"/>
    <w:rsid w:val="008374EF"/>
    <w:rsid w:val="00837B31"/>
    <w:rsid w:val="0085405E"/>
    <w:rsid w:val="0085414A"/>
    <w:rsid w:val="00857EB9"/>
    <w:rsid w:val="0086269D"/>
    <w:rsid w:val="0086543A"/>
    <w:rsid w:val="00865630"/>
    <w:rsid w:val="0086584C"/>
    <w:rsid w:val="008724E5"/>
    <w:rsid w:val="008751F0"/>
    <w:rsid w:val="008765C9"/>
    <w:rsid w:val="00876DCA"/>
    <w:rsid w:val="00884A9D"/>
    <w:rsid w:val="0088512B"/>
    <w:rsid w:val="008879AD"/>
    <w:rsid w:val="008A2B2D"/>
    <w:rsid w:val="008A4E1E"/>
    <w:rsid w:val="008A5249"/>
    <w:rsid w:val="008A6458"/>
    <w:rsid w:val="008C296C"/>
    <w:rsid w:val="008D4305"/>
    <w:rsid w:val="008D62DC"/>
    <w:rsid w:val="008E0E34"/>
    <w:rsid w:val="008E1775"/>
    <w:rsid w:val="008E1A85"/>
    <w:rsid w:val="008E344F"/>
    <w:rsid w:val="008F13F1"/>
    <w:rsid w:val="008F167A"/>
    <w:rsid w:val="008F2CCC"/>
    <w:rsid w:val="00900024"/>
    <w:rsid w:val="009136F6"/>
    <w:rsid w:val="009163A7"/>
    <w:rsid w:val="00937D53"/>
    <w:rsid w:val="00937D89"/>
    <w:rsid w:val="009407CE"/>
    <w:rsid w:val="00946D0B"/>
    <w:rsid w:val="009511EE"/>
    <w:rsid w:val="00955877"/>
    <w:rsid w:val="00962034"/>
    <w:rsid w:val="00972E0E"/>
    <w:rsid w:val="00977182"/>
    <w:rsid w:val="00981B98"/>
    <w:rsid w:val="00985016"/>
    <w:rsid w:val="009A18CD"/>
    <w:rsid w:val="009A202C"/>
    <w:rsid w:val="009B34B0"/>
    <w:rsid w:val="009B798E"/>
    <w:rsid w:val="009C2E63"/>
    <w:rsid w:val="009D40E5"/>
    <w:rsid w:val="009D5428"/>
    <w:rsid w:val="009F0DF7"/>
    <w:rsid w:val="009F0E56"/>
    <w:rsid w:val="00A002E8"/>
    <w:rsid w:val="00A1096B"/>
    <w:rsid w:val="00A10CD1"/>
    <w:rsid w:val="00A12054"/>
    <w:rsid w:val="00A12558"/>
    <w:rsid w:val="00A13903"/>
    <w:rsid w:val="00A200C1"/>
    <w:rsid w:val="00A27D73"/>
    <w:rsid w:val="00A32996"/>
    <w:rsid w:val="00A330E0"/>
    <w:rsid w:val="00A34ED5"/>
    <w:rsid w:val="00A449A1"/>
    <w:rsid w:val="00A45537"/>
    <w:rsid w:val="00A45DBF"/>
    <w:rsid w:val="00A52CE1"/>
    <w:rsid w:val="00A556DD"/>
    <w:rsid w:val="00A725CF"/>
    <w:rsid w:val="00A755A2"/>
    <w:rsid w:val="00A91430"/>
    <w:rsid w:val="00A933E0"/>
    <w:rsid w:val="00A94DE5"/>
    <w:rsid w:val="00AA1B82"/>
    <w:rsid w:val="00AA590D"/>
    <w:rsid w:val="00AA6660"/>
    <w:rsid w:val="00AB1AC2"/>
    <w:rsid w:val="00AB2C36"/>
    <w:rsid w:val="00AB6DDE"/>
    <w:rsid w:val="00AB70B6"/>
    <w:rsid w:val="00AC18C1"/>
    <w:rsid w:val="00AC5363"/>
    <w:rsid w:val="00AC6BDB"/>
    <w:rsid w:val="00AD1A86"/>
    <w:rsid w:val="00AD5C46"/>
    <w:rsid w:val="00AE103E"/>
    <w:rsid w:val="00AE7A17"/>
    <w:rsid w:val="00AF0A07"/>
    <w:rsid w:val="00AF4AEC"/>
    <w:rsid w:val="00AF5123"/>
    <w:rsid w:val="00AF625E"/>
    <w:rsid w:val="00B109C5"/>
    <w:rsid w:val="00B11027"/>
    <w:rsid w:val="00B139BE"/>
    <w:rsid w:val="00B2172B"/>
    <w:rsid w:val="00B34428"/>
    <w:rsid w:val="00B459BA"/>
    <w:rsid w:val="00B532B0"/>
    <w:rsid w:val="00B550F9"/>
    <w:rsid w:val="00B57CAB"/>
    <w:rsid w:val="00B67CF4"/>
    <w:rsid w:val="00B917D2"/>
    <w:rsid w:val="00B97EB3"/>
    <w:rsid w:val="00BA241A"/>
    <w:rsid w:val="00BA6498"/>
    <w:rsid w:val="00BA74A2"/>
    <w:rsid w:val="00BB04AF"/>
    <w:rsid w:val="00BB6EEC"/>
    <w:rsid w:val="00BB75E4"/>
    <w:rsid w:val="00BC0A28"/>
    <w:rsid w:val="00BC6ACA"/>
    <w:rsid w:val="00BD4B5B"/>
    <w:rsid w:val="00BD52C9"/>
    <w:rsid w:val="00BD7335"/>
    <w:rsid w:val="00BE15CC"/>
    <w:rsid w:val="00BE6354"/>
    <w:rsid w:val="00C005C7"/>
    <w:rsid w:val="00C07DD2"/>
    <w:rsid w:val="00C138D1"/>
    <w:rsid w:val="00C23A97"/>
    <w:rsid w:val="00C336E8"/>
    <w:rsid w:val="00C42D34"/>
    <w:rsid w:val="00C43931"/>
    <w:rsid w:val="00C45AED"/>
    <w:rsid w:val="00C52EBE"/>
    <w:rsid w:val="00C538F8"/>
    <w:rsid w:val="00C54480"/>
    <w:rsid w:val="00C56406"/>
    <w:rsid w:val="00C5776D"/>
    <w:rsid w:val="00C64855"/>
    <w:rsid w:val="00C65A9C"/>
    <w:rsid w:val="00C663F7"/>
    <w:rsid w:val="00C664B8"/>
    <w:rsid w:val="00C70EA7"/>
    <w:rsid w:val="00C731E4"/>
    <w:rsid w:val="00C7433F"/>
    <w:rsid w:val="00C7516E"/>
    <w:rsid w:val="00C75770"/>
    <w:rsid w:val="00C96D81"/>
    <w:rsid w:val="00CA166A"/>
    <w:rsid w:val="00CA56BB"/>
    <w:rsid w:val="00CB0542"/>
    <w:rsid w:val="00CC3A56"/>
    <w:rsid w:val="00CC4A1F"/>
    <w:rsid w:val="00CC6970"/>
    <w:rsid w:val="00CF404B"/>
    <w:rsid w:val="00CF5E1C"/>
    <w:rsid w:val="00D00B2B"/>
    <w:rsid w:val="00D24877"/>
    <w:rsid w:val="00D43464"/>
    <w:rsid w:val="00D47AAD"/>
    <w:rsid w:val="00D5384B"/>
    <w:rsid w:val="00D56ED1"/>
    <w:rsid w:val="00D63318"/>
    <w:rsid w:val="00D7105A"/>
    <w:rsid w:val="00D74FF0"/>
    <w:rsid w:val="00D75685"/>
    <w:rsid w:val="00D8250F"/>
    <w:rsid w:val="00D86BB3"/>
    <w:rsid w:val="00D95C4C"/>
    <w:rsid w:val="00DA29FF"/>
    <w:rsid w:val="00DA36ED"/>
    <w:rsid w:val="00DA494B"/>
    <w:rsid w:val="00DB5276"/>
    <w:rsid w:val="00DB79B9"/>
    <w:rsid w:val="00DC6476"/>
    <w:rsid w:val="00DE1A75"/>
    <w:rsid w:val="00DE34F1"/>
    <w:rsid w:val="00DE4DE2"/>
    <w:rsid w:val="00DE6160"/>
    <w:rsid w:val="00DF4942"/>
    <w:rsid w:val="00E02711"/>
    <w:rsid w:val="00E06423"/>
    <w:rsid w:val="00E1746D"/>
    <w:rsid w:val="00E2125F"/>
    <w:rsid w:val="00E244E1"/>
    <w:rsid w:val="00E31AB2"/>
    <w:rsid w:val="00E3331B"/>
    <w:rsid w:val="00E41185"/>
    <w:rsid w:val="00E4150C"/>
    <w:rsid w:val="00E417E5"/>
    <w:rsid w:val="00E42B8A"/>
    <w:rsid w:val="00E47C0A"/>
    <w:rsid w:val="00E6235D"/>
    <w:rsid w:val="00E627B1"/>
    <w:rsid w:val="00E65744"/>
    <w:rsid w:val="00E70169"/>
    <w:rsid w:val="00E765BA"/>
    <w:rsid w:val="00E815E0"/>
    <w:rsid w:val="00E841C4"/>
    <w:rsid w:val="00E9376C"/>
    <w:rsid w:val="00E95AE2"/>
    <w:rsid w:val="00EA335E"/>
    <w:rsid w:val="00EA3AC7"/>
    <w:rsid w:val="00EA528C"/>
    <w:rsid w:val="00EA580C"/>
    <w:rsid w:val="00EC6F8D"/>
    <w:rsid w:val="00ED39B2"/>
    <w:rsid w:val="00EE49F4"/>
    <w:rsid w:val="00EF34E2"/>
    <w:rsid w:val="00F01224"/>
    <w:rsid w:val="00F07031"/>
    <w:rsid w:val="00F14411"/>
    <w:rsid w:val="00F176B9"/>
    <w:rsid w:val="00F30DC6"/>
    <w:rsid w:val="00F31F96"/>
    <w:rsid w:val="00F32573"/>
    <w:rsid w:val="00F32C23"/>
    <w:rsid w:val="00F500D4"/>
    <w:rsid w:val="00F53DE9"/>
    <w:rsid w:val="00F576CB"/>
    <w:rsid w:val="00F7035D"/>
    <w:rsid w:val="00F70CC5"/>
    <w:rsid w:val="00F71016"/>
    <w:rsid w:val="00F716CA"/>
    <w:rsid w:val="00F71A02"/>
    <w:rsid w:val="00F74A16"/>
    <w:rsid w:val="00F8683A"/>
    <w:rsid w:val="00F87F27"/>
    <w:rsid w:val="00FA0D63"/>
    <w:rsid w:val="00FA1C2E"/>
    <w:rsid w:val="00FA35A9"/>
    <w:rsid w:val="00FB4546"/>
    <w:rsid w:val="00FC2531"/>
    <w:rsid w:val="00FC3477"/>
    <w:rsid w:val="00FD1226"/>
    <w:rsid w:val="00FD4BC8"/>
    <w:rsid w:val="00FF390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unhideWhenUsed/>
    <w:rsid w:val="00807902"/>
    <w:rPr>
      <w:color w:val="0000FF" w:themeColor="hyperlink"/>
      <w:u w:val="single"/>
    </w:rPr>
  </w:style>
  <w:style w:type="character" w:styleId="UnresolvedMention">
    <w:name w:val="Unresolved Mention"/>
    <w:basedOn w:val="DefaultParagraphFont"/>
    <w:uiPriority w:val="99"/>
    <w:semiHidden/>
    <w:unhideWhenUsed/>
    <w:rsid w:val="00807902"/>
    <w:rPr>
      <w:color w:val="605E5C"/>
      <w:shd w:val="clear" w:color="auto" w:fill="E1DFDD"/>
    </w:rPr>
  </w:style>
  <w:style w:type="paragraph" w:customStyle="1" w:styleId="1GAPara">
    <w:name w:val="1. GA Para"/>
    <w:qFormat/>
    <w:rsid w:val="009136F6"/>
    <w:pPr>
      <w:numPr>
        <w:numId w:val="7"/>
      </w:numPr>
      <w:spacing w:after="120"/>
      <w:jc w:val="both"/>
    </w:pPr>
    <w:rPr>
      <w:rFonts w:ascii="Arial" w:eastAsia="DengXian" w:hAnsi="Arial" w:cs="Arial"/>
      <w:snapToGrid w:val="0"/>
      <w:sz w:val="22"/>
      <w:szCs w:val="22"/>
      <w:lang w:val="en-US" w:eastAsia="zh-CN"/>
    </w:rPr>
  </w:style>
  <w:style w:type="table" w:styleId="GridTable4-Accent1">
    <w:name w:val="Grid Table 4 Accent 1"/>
    <w:basedOn w:val="TableNormal"/>
    <w:uiPriority w:val="49"/>
    <w:rsid w:val="009136F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ps">
    <w:name w:val="hps"/>
    <w:rsid w:val="001A0118"/>
  </w:style>
  <w:style w:type="character" w:customStyle="1" w:styleId="MargeChar">
    <w:name w:val="Marge Char"/>
    <w:link w:val="Marge"/>
    <w:rsid w:val="0067208B"/>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F87F27"/>
    <w:rPr>
      <w:color w:val="800080" w:themeColor="followedHyperlink"/>
      <w:u w:val="single"/>
    </w:rPr>
  </w:style>
  <w:style w:type="paragraph" w:styleId="Revision">
    <w:name w:val="Revision"/>
    <w:hidden/>
    <w:uiPriority w:val="99"/>
    <w:semiHidden/>
    <w:rsid w:val="008374EF"/>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F4D72"/>
    <w:rPr>
      <w:sz w:val="16"/>
      <w:szCs w:val="16"/>
    </w:rPr>
  </w:style>
  <w:style w:type="paragraph" w:styleId="CommentText">
    <w:name w:val="annotation text"/>
    <w:basedOn w:val="Normal"/>
    <w:link w:val="CommentTextChar"/>
    <w:uiPriority w:val="99"/>
    <w:unhideWhenUsed/>
    <w:rsid w:val="004F4D72"/>
    <w:rPr>
      <w:sz w:val="20"/>
      <w:szCs w:val="20"/>
    </w:rPr>
  </w:style>
  <w:style w:type="character" w:customStyle="1" w:styleId="CommentTextChar">
    <w:name w:val="Comment Text Char"/>
    <w:basedOn w:val="DefaultParagraphFont"/>
    <w:link w:val="CommentText"/>
    <w:uiPriority w:val="99"/>
    <w:rsid w:val="004F4D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4D72"/>
    <w:rPr>
      <w:b/>
      <w:bCs/>
    </w:rPr>
  </w:style>
  <w:style w:type="character" w:customStyle="1" w:styleId="CommentSubjectChar">
    <w:name w:val="Comment Subject Char"/>
    <w:basedOn w:val="CommentTextChar"/>
    <w:link w:val="CommentSubject"/>
    <w:uiPriority w:val="99"/>
    <w:semiHidden/>
    <w:rsid w:val="004F4D7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4" TargetMode="External"/><Relationship Id="rId13" Type="http://schemas.openxmlformats.org/officeDocument/2006/relationships/hyperlink" Target="https://ich.unesco.org/en/Decisions/10.COM/10" TargetMode="External"/><Relationship Id="rId18" Type="http://schemas.openxmlformats.org/officeDocument/2006/relationships/hyperlink" Target="https://ich.unesco.org/en/Decisions/9.GA/9" TargetMode="External"/><Relationship Id="rId26" Type="http://schemas.openxmlformats.org/officeDocument/2006/relationships/hyperlink" Target="https://ich.unesco.org/en/Decisions/9.GA/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reflection-on-a-broader-implementation-of-article-18-01302" TargetMode="External"/><Relationship Id="rId34" Type="http://schemas.openxmlformats.org/officeDocument/2006/relationships/hyperlink" Target="https://ich.unesco.org/doc/src/LHE-23-18.COM_WG_ART18-3_EN.docx" TargetMode="External"/><Relationship Id="rId7" Type="http://schemas.openxmlformats.org/officeDocument/2006/relationships/endnotes" Target="endnotes.xml"/><Relationship Id="rId12" Type="http://schemas.openxmlformats.org/officeDocument/2006/relationships/hyperlink" Target="https://ich.unesco.org/en/Decisions/9.COM/9.b" TargetMode="External"/><Relationship Id="rId17" Type="http://schemas.openxmlformats.org/officeDocument/2006/relationships/hyperlink" Target="https://ich.unesco.org/en/Decisions/14.COM/5.b" TargetMode="External"/><Relationship Id="rId25" Type="http://schemas.openxmlformats.org/officeDocument/2006/relationships/hyperlink" Target="https://ich.unesco.org/en/Decisions/5.EXT.COM/4" TargetMode="External"/><Relationship Id="rId33" Type="http://schemas.openxmlformats.org/officeDocument/2006/relationships/hyperlink" Target="https://ich.unesco.org/en/article-18-open-ended-intergovernmental-working-group-0130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LHE-19-14.COM-5.b-EN.docx" TargetMode="External"/><Relationship Id="rId20" Type="http://schemas.openxmlformats.org/officeDocument/2006/relationships/hyperlink" Target="https://ich.unesco.org/doc/src/LHE-22-17.COM-12-FR.docxhttps:/ich.unesco.org/doc/src/LHE-22-17.COM-12-FR.docx" TargetMode="External"/><Relationship Id="rId29" Type="http://schemas.openxmlformats.org/officeDocument/2006/relationships/hyperlink" Target="https://ich.unesco.org/en/meeting-of-experts-category-vi-01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8.COM/5.c.1" TargetMode="External"/><Relationship Id="rId24" Type="http://schemas.openxmlformats.org/officeDocument/2006/relationships/hyperlink" Target="https://ich.unesco.org/en/Decisions/16.COM/14" TargetMode="External"/><Relationship Id="rId32" Type="http://schemas.openxmlformats.org/officeDocument/2006/relationships/hyperlink" Target="https://ich.unesco.org/en/preliminary-list-of-participants-01309"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Decisions/13.COM/5" TargetMode="External"/><Relationship Id="rId23" Type="http://schemas.openxmlformats.org/officeDocument/2006/relationships/hyperlink" Target="https://ich.unesco.org/doc/src/LHE-22-17.COM-10-EN.docx" TargetMode="External"/><Relationship Id="rId28" Type="http://schemas.openxmlformats.org/officeDocument/2006/relationships/hyperlink" Target="https://ich.unesco.org/en/Decisions/17.COM/10" TargetMode="External"/><Relationship Id="rId36" Type="http://schemas.openxmlformats.org/officeDocument/2006/relationships/header" Target="header1.xml"/><Relationship Id="rId10" Type="http://schemas.openxmlformats.org/officeDocument/2006/relationships/hyperlink" Target="https://ich.unesco.org/en/lists" TargetMode="External"/><Relationship Id="rId19" Type="http://schemas.openxmlformats.org/officeDocument/2006/relationships/hyperlink" Target="https://ich.unesco.org/en/Decisions/16.COM/14" TargetMode="External"/><Relationship Id="rId31" Type="http://schemas.openxmlformats.org/officeDocument/2006/relationships/hyperlink" Target="https://ich.unesco.org/doc/src/LHE-23-18.COM_WG_ART18-1.docx" TargetMode="External"/><Relationship Id="rId4" Type="http://schemas.openxmlformats.org/officeDocument/2006/relationships/settings" Target="settings.xml"/><Relationship Id="rId9" Type="http://schemas.openxmlformats.org/officeDocument/2006/relationships/hyperlink" Target="https://ich.unesco.org/en/Decisions/16.COM/14" TargetMode="External"/><Relationship Id="rId14" Type="http://schemas.openxmlformats.org/officeDocument/2006/relationships/hyperlink" Target="https://ich.unesco.org/en/lighter-ways-of-sharing-ich-safeguarding-practices-00999" TargetMode="External"/><Relationship Id="rId22" Type="http://schemas.openxmlformats.org/officeDocument/2006/relationships/hyperlink" Target="https://ich.unesco.org/en/Decisions/17.COM/10" TargetMode="External"/><Relationship Id="rId27" Type="http://schemas.openxmlformats.org/officeDocument/2006/relationships/hyperlink" Target="https://ich.unesco.org/en/Decisions/17.COM/10" TargetMode="External"/><Relationship Id="rId30" Type="http://schemas.openxmlformats.org/officeDocument/2006/relationships/hyperlink" Target="https://ich.unesco.org/doc/src/LHE-23-EXP_ART18-4_EN.docx" TargetMode="External"/><Relationship Id="rId35" Type="http://schemas.openxmlformats.org/officeDocument/2006/relationships/hyperlink" Target="https://ich.unesco.org/doc/src/LHE-23-18.COM_WG_ART18-4_E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00074-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322</TotalTime>
  <Pages>7</Pages>
  <Words>3848</Words>
  <Characters>21164</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69</cp:revision>
  <cp:lastPrinted>2023-05-15T09:15:00Z</cp:lastPrinted>
  <dcterms:created xsi:type="dcterms:W3CDTF">2023-05-17T09:37:00Z</dcterms:created>
  <dcterms:modified xsi:type="dcterms:W3CDTF">2023-06-06T17:51:00Z</dcterms:modified>
</cp:coreProperties>
</file>