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FC72ED" w:rsidRDefault="00EC6F8D" w:rsidP="00EC6F8D">
      <w:pPr>
        <w:spacing w:before="1440"/>
        <w:jc w:val="center"/>
        <w:rPr>
          <w:rFonts w:ascii="Arial" w:hAnsi="Arial" w:cs="Arial"/>
          <w:b/>
          <w:sz w:val="22"/>
          <w:szCs w:val="22"/>
          <w:lang w:val="en-GB"/>
        </w:rPr>
      </w:pPr>
      <w:r w:rsidRPr="00FC72ED">
        <w:rPr>
          <w:rFonts w:ascii="Arial" w:hAnsi="Arial" w:cs="Arial"/>
          <w:b/>
          <w:sz w:val="22"/>
          <w:szCs w:val="22"/>
          <w:lang w:val="en-GB"/>
        </w:rPr>
        <w:t>CONVENTION FOR THE SAFEGUARDING OF THE</w:t>
      </w:r>
      <w:r w:rsidRPr="00FC72ED">
        <w:rPr>
          <w:rFonts w:ascii="Arial" w:hAnsi="Arial" w:cs="Arial"/>
          <w:b/>
          <w:sz w:val="22"/>
          <w:szCs w:val="22"/>
          <w:lang w:val="en-GB"/>
        </w:rPr>
        <w:br/>
        <w:t>INTANGIBLE CULTURAL HERITAGE</w:t>
      </w:r>
    </w:p>
    <w:p w14:paraId="3F72B1D3" w14:textId="77777777" w:rsidR="00EC6F8D" w:rsidRPr="00FC72ED" w:rsidRDefault="00EC6F8D" w:rsidP="00EC6F8D">
      <w:pPr>
        <w:spacing w:before="1200"/>
        <w:jc w:val="center"/>
        <w:rPr>
          <w:rFonts w:ascii="Arial" w:hAnsi="Arial" w:cs="Arial"/>
          <w:b/>
          <w:sz w:val="22"/>
          <w:szCs w:val="22"/>
          <w:lang w:val="en-GB"/>
        </w:rPr>
      </w:pPr>
      <w:r w:rsidRPr="00FC72ED">
        <w:rPr>
          <w:rFonts w:ascii="Arial" w:hAnsi="Arial" w:cs="Arial"/>
          <w:b/>
          <w:sz w:val="22"/>
          <w:szCs w:val="22"/>
          <w:lang w:val="en-GB"/>
        </w:rPr>
        <w:t>INTERGOVERNMENTAL COMMITTEE FOR THE</w:t>
      </w:r>
      <w:r w:rsidRPr="00FC72ED">
        <w:rPr>
          <w:rFonts w:ascii="Arial" w:hAnsi="Arial" w:cs="Arial"/>
          <w:b/>
          <w:sz w:val="22"/>
          <w:szCs w:val="22"/>
          <w:lang w:val="en-GB"/>
        </w:rPr>
        <w:br/>
        <w:t>SAFEGUARDING OF THE INTANGIBLE CULTURAL HERITAGE</w:t>
      </w:r>
    </w:p>
    <w:p w14:paraId="2E1CD4B4" w14:textId="0D8D1D3D" w:rsidR="00EC6F8D" w:rsidRPr="00FC72ED" w:rsidRDefault="00B2172B" w:rsidP="001D14FE">
      <w:pPr>
        <w:spacing w:before="840"/>
        <w:jc w:val="center"/>
        <w:rPr>
          <w:rFonts w:ascii="Arial" w:hAnsi="Arial" w:cs="Arial"/>
          <w:b/>
          <w:sz w:val="22"/>
          <w:szCs w:val="22"/>
          <w:lang w:val="en-GB"/>
        </w:rPr>
      </w:pPr>
      <w:r w:rsidRPr="00FC72ED">
        <w:rPr>
          <w:rFonts w:ascii="Arial" w:eastAsiaTheme="minorEastAsia" w:hAnsi="Arial" w:cs="Arial"/>
          <w:b/>
          <w:sz w:val="22"/>
          <w:szCs w:val="22"/>
          <w:lang w:val="en-GB" w:eastAsia="ko-KR"/>
        </w:rPr>
        <w:t xml:space="preserve">Sixteenth </w:t>
      </w:r>
      <w:r w:rsidR="00EC6F8D" w:rsidRPr="00FC72ED">
        <w:rPr>
          <w:rFonts w:ascii="Arial" w:hAnsi="Arial" w:cs="Arial"/>
          <w:b/>
          <w:sz w:val="22"/>
          <w:szCs w:val="22"/>
          <w:lang w:val="en-GB"/>
        </w:rPr>
        <w:t>session</w:t>
      </w:r>
    </w:p>
    <w:p w14:paraId="1FD89575" w14:textId="618EB2C8" w:rsidR="00B2172B" w:rsidRPr="00FC72ED" w:rsidRDefault="00624EB6"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FC72ED" w:rsidRDefault="00B2172B" w:rsidP="00B2172B">
      <w:pPr>
        <w:jc w:val="center"/>
        <w:rPr>
          <w:rFonts w:ascii="Arial" w:hAnsi="Arial" w:cs="Arial"/>
          <w:b/>
          <w:sz w:val="22"/>
          <w:szCs w:val="22"/>
          <w:lang w:val="en-GB"/>
        </w:rPr>
      </w:pPr>
      <w:r w:rsidRPr="00FC72ED">
        <w:rPr>
          <w:rFonts w:ascii="Arial" w:hAnsi="Arial" w:cs="Arial"/>
          <w:b/>
          <w:sz w:val="22"/>
          <w:szCs w:val="22"/>
          <w:lang w:val="en-GB"/>
        </w:rPr>
        <w:t>13 to 18 December 2021</w:t>
      </w:r>
    </w:p>
    <w:p w14:paraId="0365203A" w14:textId="3A2FFBE1" w:rsidR="00EC6F8D" w:rsidRPr="00FC72ED" w:rsidRDefault="00EC6F8D" w:rsidP="00EC6F8D">
      <w:pPr>
        <w:pStyle w:val="Sansinterligne2"/>
        <w:spacing w:before="1200"/>
        <w:jc w:val="center"/>
        <w:rPr>
          <w:rFonts w:ascii="Arial" w:hAnsi="Arial" w:cs="Arial"/>
          <w:b/>
          <w:sz w:val="22"/>
          <w:szCs w:val="22"/>
          <w:lang w:val="en-GB"/>
        </w:rPr>
      </w:pPr>
      <w:r w:rsidRPr="00FC72ED">
        <w:rPr>
          <w:rFonts w:ascii="Arial" w:hAnsi="Arial" w:cs="Arial"/>
          <w:b/>
          <w:sz w:val="22"/>
          <w:szCs w:val="22"/>
          <w:u w:val="single"/>
          <w:lang w:val="en-GB"/>
        </w:rPr>
        <w:t xml:space="preserve">Item </w:t>
      </w:r>
      <w:r w:rsidR="007A6C62" w:rsidRPr="00FC72ED">
        <w:rPr>
          <w:rFonts w:ascii="Arial" w:hAnsi="Arial" w:cs="Arial"/>
          <w:b/>
          <w:sz w:val="22"/>
          <w:szCs w:val="22"/>
          <w:u w:val="single"/>
          <w:lang w:val="en-GB"/>
        </w:rPr>
        <w:t>7</w:t>
      </w:r>
      <w:r w:rsidR="00095FA3" w:rsidRPr="00FC72ED">
        <w:rPr>
          <w:rFonts w:ascii="Arial" w:hAnsi="Arial" w:cs="Arial"/>
          <w:b/>
          <w:sz w:val="22"/>
          <w:szCs w:val="22"/>
          <w:u w:val="single"/>
          <w:lang w:val="en-GB"/>
        </w:rPr>
        <w:t>.c</w:t>
      </w:r>
      <w:r w:rsidR="00651A5B" w:rsidRPr="00FC72ED">
        <w:rPr>
          <w:rFonts w:ascii="Arial" w:hAnsi="Arial" w:cs="Arial"/>
          <w:b/>
          <w:sz w:val="22"/>
          <w:szCs w:val="22"/>
          <w:u w:val="single"/>
          <w:lang w:val="en-GB"/>
        </w:rPr>
        <w:t xml:space="preserve"> </w:t>
      </w:r>
      <w:r w:rsidRPr="00FC72ED">
        <w:rPr>
          <w:rFonts w:ascii="Arial" w:hAnsi="Arial" w:cs="Arial"/>
          <w:b/>
          <w:sz w:val="22"/>
          <w:szCs w:val="22"/>
          <w:u w:val="single"/>
          <w:lang w:val="en-GB"/>
        </w:rPr>
        <w:t>of the Provisional Agenda</w:t>
      </w:r>
      <w:r w:rsidRPr="00FC72ED">
        <w:rPr>
          <w:rFonts w:ascii="Arial" w:hAnsi="Arial" w:cs="Arial"/>
          <w:b/>
          <w:sz w:val="22"/>
          <w:szCs w:val="22"/>
          <w:lang w:val="en-GB"/>
        </w:rPr>
        <w:t>:</w:t>
      </w:r>
    </w:p>
    <w:p w14:paraId="59920478" w14:textId="7F5151A1" w:rsidR="004A2875" w:rsidRPr="00FC72ED" w:rsidRDefault="00095FA3" w:rsidP="004A2875">
      <w:pPr>
        <w:pStyle w:val="Sansinterligne2"/>
        <w:spacing w:after="960"/>
        <w:jc w:val="center"/>
        <w:rPr>
          <w:rFonts w:ascii="Arial" w:hAnsi="Arial" w:cs="Arial"/>
          <w:b/>
          <w:sz w:val="22"/>
          <w:szCs w:val="22"/>
          <w:lang w:val="en-GB"/>
        </w:rPr>
      </w:pPr>
      <w:r w:rsidRPr="00FC72ED">
        <w:rPr>
          <w:rFonts w:ascii="Arial" w:hAnsi="Arial" w:cs="Arial"/>
          <w:b/>
          <w:sz w:val="22"/>
          <w:szCs w:val="22"/>
          <w:lang w:val="en-GB"/>
        </w:rPr>
        <w:t xml:space="preserve">Examination of the reports </w:t>
      </w:r>
      <w:r w:rsidR="00126A44">
        <w:rPr>
          <w:rFonts w:ascii="Arial" w:hAnsi="Arial" w:cs="Arial"/>
          <w:b/>
          <w:sz w:val="22"/>
          <w:szCs w:val="22"/>
          <w:lang w:val="en-GB"/>
        </w:rPr>
        <w:t>by</w:t>
      </w:r>
      <w:r w:rsidRPr="00FC72ED">
        <w:rPr>
          <w:rFonts w:ascii="Arial" w:hAnsi="Arial" w:cs="Arial"/>
          <w:b/>
          <w:sz w:val="22"/>
          <w:szCs w:val="22"/>
          <w:lang w:val="en-GB"/>
        </w:rPr>
        <w:t xml:space="preserve"> State</w:t>
      </w:r>
      <w:r w:rsidR="007A6C62" w:rsidRPr="00FC72ED">
        <w:rPr>
          <w:rFonts w:ascii="Arial" w:hAnsi="Arial" w:cs="Arial"/>
          <w:b/>
          <w:sz w:val="22"/>
          <w:szCs w:val="22"/>
          <w:lang w:val="en-GB"/>
        </w:rPr>
        <w:t>s</w:t>
      </w:r>
      <w:r w:rsidRPr="00FC72ED">
        <w:rPr>
          <w:rFonts w:ascii="Arial" w:hAnsi="Arial" w:cs="Arial"/>
          <w:b/>
          <w:sz w:val="22"/>
          <w:szCs w:val="22"/>
          <w:lang w:val="en-GB"/>
        </w:rPr>
        <w:t xml:space="preserve"> non party on the current status of elements inscribed on the 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FC72ED" w14:paraId="75AC6221" w14:textId="77777777" w:rsidTr="00EC6F8D">
        <w:trPr>
          <w:jc w:val="center"/>
        </w:trPr>
        <w:tc>
          <w:tcPr>
            <w:tcW w:w="5670" w:type="dxa"/>
            <w:vAlign w:val="center"/>
          </w:tcPr>
          <w:p w14:paraId="51C260A9" w14:textId="77777777" w:rsidR="00EC6F8D" w:rsidRPr="00FC72ED" w:rsidRDefault="00EC6F8D" w:rsidP="00CA56BB">
            <w:pPr>
              <w:pStyle w:val="Sansinterligne1"/>
              <w:spacing w:before="200" w:after="200"/>
              <w:jc w:val="center"/>
              <w:rPr>
                <w:rFonts w:ascii="Arial" w:hAnsi="Arial" w:cs="Arial"/>
                <w:b/>
                <w:sz w:val="22"/>
                <w:szCs w:val="22"/>
                <w:lang w:val="en-GB"/>
              </w:rPr>
            </w:pPr>
            <w:bookmarkStart w:id="0" w:name="_Hlk87693123"/>
            <w:r w:rsidRPr="00FC72ED">
              <w:rPr>
                <w:rFonts w:ascii="Arial" w:hAnsi="Arial" w:cs="Arial"/>
                <w:b/>
                <w:sz w:val="22"/>
                <w:szCs w:val="22"/>
                <w:lang w:val="en-GB"/>
              </w:rPr>
              <w:t>Summary</w:t>
            </w:r>
          </w:p>
          <w:p w14:paraId="4670BABD" w14:textId="341A576A" w:rsidR="001A27A7" w:rsidRPr="00FC72ED" w:rsidRDefault="00AD554C" w:rsidP="003A1CA1">
            <w:pPr>
              <w:pStyle w:val="Sansinterligne2"/>
              <w:spacing w:before="200" w:after="200"/>
              <w:jc w:val="both"/>
              <w:rPr>
                <w:rFonts w:ascii="Arial" w:hAnsi="Arial" w:cs="Arial"/>
                <w:sz w:val="22"/>
                <w:szCs w:val="22"/>
                <w:lang w:val="en-GB"/>
              </w:rPr>
            </w:pPr>
            <w:r w:rsidRPr="00FC72ED">
              <w:rPr>
                <w:rFonts w:ascii="Arial" w:hAnsi="Arial" w:cs="Arial"/>
                <w:sz w:val="22"/>
                <w:szCs w:val="22"/>
                <w:lang w:val="en-GB"/>
              </w:rPr>
              <w:t>This document co</w:t>
            </w:r>
            <w:r w:rsidR="00D96833" w:rsidRPr="00FC72ED">
              <w:rPr>
                <w:rFonts w:ascii="Arial" w:hAnsi="Arial" w:cs="Arial"/>
                <w:sz w:val="22"/>
                <w:szCs w:val="22"/>
                <w:lang w:val="en-GB"/>
              </w:rPr>
              <w:t>ncerns</w:t>
            </w:r>
            <w:r w:rsidRPr="00FC72ED">
              <w:rPr>
                <w:rFonts w:ascii="Arial" w:hAnsi="Arial" w:cs="Arial"/>
                <w:sz w:val="22"/>
                <w:szCs w:val="22"/>
                <w:lang w:val="en-GB"/>
              </w:rPr>
              <w:t xml:space="preserve"> the second report on the current status of two elements, originally proclaimed Masterpieces and incorporated in the Representative List, submitted by the Russian Federation, as State non party. </w:t>
            </w:r>
            <w:r w:rsidR="001A27A7" w:rsidRPr="00FC72ED">
              <w:rPr>
                <w:rFonts w:ascii="Arial" w:hAnsi="Arial" w:cs="Arial"/>
                <w:sz w:val="22"/>
                <w:szCs w:val="22"/>
                <w:lang w:val="en-GB"/>
              </w:rPr>
              <w:t xml:space="preserve">Paragraph 169 of the Operational Directives stipulates that ‘Such </w:t>
            </w:r>
            <w:r w:rsidR="00692C7B" w:rsidRPr="00FC72ED">
              <w:rPr>
                <w:rFonts w:ascii="Arial" w:hAnsi="Arial" w:cs="Arial"/>
                <w:sz w:val="22"/>
                <w:szCs w:val="22"/>
                <w:lang w:val="en-GB"/>
              </w:rPr>
              <w:t xml:space="preserve">(periodic) </w:t>
            </w:r>
            <w:r w:rsidR="001A27A7" w:rsidRPr="00FC72ED">
              <w:rPr>
                <w:rFonts w:ascii="Arial" w:hAnsi="Arial" w:cs="Arial"/>
                <w:sz w:val="22"/>
                <w:szCs w:val="22"/>
                <w:lang w:val="en-GB"/>
              </w:rPr>
              <w:t>reports shall be submitted to the Committee by States non party by 15 December 2014, and every sixth year thereafter’.</w:t>
            </w:r>
          </w:p>
          <w:p w14:paraId="290310E8" w14:textId="5230A12A" w:rsidR="00EC6F8D" w:rsidRPr="00FC72ED" w:rsidRDefault="00EC6F8D" w:rsidP="00CA56BB">
            <w:pPr>
              <w:pStyle w:val="Sansinterligne2"/>
              <w:spacing w:before="200" w:after="200"/>
              <w:jc w:val="both"/>
              <w:rPr>
                <w:rFonts w:ascii="Arial" w:hAnsi="Arial" w:cs="Arial"/>
                <w:b/>
                <w:sz w:val="22"/>
                <w:szCs w:val="22"/>
                <w:lang w:val="en-GB"/>
              </w:rPr>
            </w:pPr>
            <w:r w:rsidRPr="00FC72ED">
              <w:rPr>
                <w:rFonts w:ascii="Arial" w:hAnsi="Arial" w:cs="Arial"/>
                <w:b/>
                <w:sz w:val="22"/>
                <w:szCs w:val="22"/>
                <w:lang w:val="en-GB"/>
              </w:rPr>
              <w:t xml:space="preserve">Decision required: </w:t>
            </w:r>
            <w:r w:rsidRPr="00FC72ED">
              <w:rPr>
                <w:rFonts w:ascii="Arial" w:hAnsi="Arial" w:cs="Arial"/>
                <w:bCs/>
                <w:sz w:val="22"/>
                <w:szCs w:val="22"/>
                <w:lang w:val="en-GB"/>
              </w:rPr>
              <w:t xml:space="preserve">paragraph </w:t>
            </w:r>
            <w:r w:rsidR="00BD063C" w:rsidRPr="00FC72ED">
              <w:rPr>
                <w:rFonts w:ascii="Arial" w:hAnsi="Arial" w:cs="Arial"/>
                <w:bCs/>
                <w:sz w:val="22"/>
                <w:szCs w:val="22"/>
                <w:lang w:val="en-GB"/>
              </w:rPr>
              <w:t>5</w:t>
            </w:r>
          </w:p>
        </w:tc>
      </w:tr>
      <w:bookmarkEnd w:id="0"/>
    </w:tbl>
    <w:p w14:paraId="055795EF" w14:textId="77777777" w:rsidR="001E0793" w:rsidRPr="00FC72ED" w:rsidRDefault="001E0793" w:rsidP="001E0793">
      <w:pPr>
        <w:pStyle w:val="Marge"/>
        <w:spacing w:after="120"/>
        <w:ind w:left="567"/>
        <w:rPr>
          <w:lang w:val="en-GB"/>
        </w:rPr>
      </w:pPr>
    </w:p>
    <w:p w14:paraId="325DABF1" w14:textId="77777777" w:rsidR="001E0793" w:rsidRPr="00FC72ED" w:rsidRDefault="001E0793" w:rsidP="001E0793">
      <w:pPr>
        <w:pStyle w:val="Marge"/>
        <w:spacing w:after="120"/>
        <w:ind w:left="567"/>
        <w:rPr>
          <w:lang w:val="en-GB"/>
        </w:rPr>
      </w:pPr>
    </w:p>
    <w:p w14:paraId="0842CD0A" w14:textId="77777777" w:rsidR="001E0793" w:rsidRPr="00FC72ED" w:rsidRDefault="001E0793" w:rsidP="001E0793">
      <w:pPr>
        <w:pStyle w:val="Marge"/>
        <w:spacing w:after="120"/>
        <w:ind w:left="567"/>
        <w:rPr>
          <w:lang w:val="en-GB"/>
        </w:rPr>
      </w:pPr>
    </w:p>
    <w:p w14:paraId="709B2A8E" w14:textId="4E9A15CA" w:rsidR="001A27A7" w:rsidRPr="00FC72ED" w:rsidRDefault="005D3B8D" w:rsidP="001B0432">
      <w:pPr>
        <w:pStyle w:val="Marge"/>
        <w:numPr>
          <w:ilvl w:val="0"/>
          <w:numId w:val="9"/>
        </w:numPr>
        <w:spacing w:after="120"/>
        <w:ind w:left="567" w:hanging="567"/>
        <w:rPr>
          <w:lang w:val="en-GB"/>
        </w:rPr>
      </w:pPr>
      <w:r w:rsidRPr="00FC72ED">
        <w:rPr>
          <w:lang w:val="en-GB"/>
        </w:rPr>
        <w:lastRenderedPageBreak/>
        <w:t xml:space="preserve">In conformity with Article 31.1 of the Convention and </w:t>
      </w:r>
      <w:r w:rsidR="00F1238F" w:rsidRPr="00FC72ED">
        <w:rPr>
          <w:lang w:val="en-GB"/>
        </w:rPr>
        <w:t>upon establishment of the Representative List of the Intangible Cultural Heritage of Humanity (hereafter, ‘the Representative List’) in 2008</w:t>
      </w:r>
      <w:r w:rsidRPr="00FC72ED">
        <w:rPr>
          <w:lang w:val="en-GB"/>
        </w:rPr>
        <w:t xml:space="preserve">, items that had been proclaimed ‘Masterpieces of the Oral and Intangible Heritage of Humanity’ </w:t>
      </w:r>
      <w:r w:rsidR="002634E4" w:rsidRPr="00FC72ED">
        <w:rPr>
          <w:lang w:val="en-GB"/>
        </w:rPr>
        <w:t xml:space="preserve">(hereafter ‘Masterpieces’) </w:t>
      </w:r>
      <w:r w:rsidR="00EE092F" w:rsidRPr="00FC72ED">
        <w:rPr>
          <w:lang w:val="en-GB"/>
        </w:rPr>
        <w:t xml:space="preserve">were incorporated </w:t>
      </w:r>
      <w:r w:rsidRPr="00FC72ED">
        <w:rPr>
          <w:lang w:val="en-GB"/>
        </w:rPr>
        <w:t>into the</w:t>
      </w:r>
      <w:r w:rsidR="00F1238F" w:rsidRPr="00FC72ED">
        <w:rPr>
          <w:lang w:val="en-GB"/>
        </w:rPr>
        <w:t xml:space="preserve"> Representative List</w:t>
      </w:r>
      <w:r w:rsidRPr="00FC72ED">
        <w:rPr>
          <w:lang w:val="en-GB"/>
        </w:rPr>
        <w:t>.</w:t>
      </w:r>
      <w:r w:rsidR="00D745EF" w:rsidRPr="00FC72ED">
        <w:rPr>
          <w:lang w:val="en-GB"/>
        </w:rPr>
        <w:t xml:space="preserve"> </w:t>
      </w:r>
      <w:r w:rsidRPr="00FC72ED">
        <w:rPr>
          <w:lang w:val="en-GB"/>
        </w:rPr>
        <w:t xml:space="preserve">This incorporation </w:t>
      </w:r>
      <w:r w:rsidR="00D745EF" w:rsidRPr="00FC72ED">
        <w:rPr>
          <w:lang w:val="en-GB"/>
        </w:rPr>
        <w:t>wa</w:t>
      </w:r>
      <w:r w:rsidRPr="00FC72ED">
        <w:rPr>
          <w:lang w:val="en-GB"/>
        </w:rPr>
        <w:t xml:space="preserve">s </w:t>
      </w:r>
      <w:r w:rsidR="00D745EF" w:rsidRPr="00FC72ED">
        <w:rPr>
          <w:lang w:val="en-GB"/>
        </w:rPr>
        <w:t xml:space="preserve">applied </w:t>
      </w:r>
      <w:r w:rsidRPr="00FC72ED">
        <w:rPr>
          <w:lang w:val="en-GB"/>
        </w:rPr>
        <w:t>upon all States having present on their territories one or several items proclaimed Masterpieces, whether or not they are party to the Convention</w:t>
      </w:r>
      <w:r w:rsidR="00D745EF" w:rsidRPr="00FC72ED">
        <w:rPr>
          <w:lang w:val="en-GB"/>
        </w:rPr>
        <w:t>.</w:t>
      </w:r>
    </w:p>
    <w:p w14:paraId="281372F8" w14:textId="5090E331" w:rsidR="001A27A7" w:rsidRPr="00FC72ED" w:rsidRDefault="001A27A7" w:rsidP="001B0432">
      <w:pPr>
        <w:pStyle w:val="Marge"/>
        <w:numPr>
          <w:ilvl w:val="0"/>
          <w:numId w:val="9"/>
        </w:numPr>
        <w:spacing w:after="120"/>
        <w:ind w:left="567" w:hanging="567"/>
        <w:rPr>
          <w:lang w:val="en-GB"/>
        </w:rPr>
      </w:pPr>
      <w:r w:rsidRPr="00FC72ED">
        <w:rPr>
          <w:rFonts w:cs="Arial"/>
          <w:szCs w:val="22"/>
          <w:lang w:val="en-GB"/>
        </w:rPr>
        <w:t>In compliance with the relevant guidelines for the submission of periodic reports</w:t>
      </w:r>
      <w:r w:rsidRPr="00FC72ED">
        <w:rPr>
          <w:lang w:val="en-GB"/>
        </w:rPr>
        <w:t>, Chapter V.4 of the Operational Directives (‘Reports by States non party to the Convention on elements inscribed on the Representative List’) stipulates that ‘Paragraphs 157–159 and 165–166 of these directives shall apply fully to States non party to the Convention that have in their territories items proclaimed as Masterpieces incorporated on the Representative List</w:t>
      </w:r>
      <w:r w:rsidR="0056234B" w:rsidRPr="00FC72ED">
        <w:rPr>
          <w:lang w:val="en-GB"/>
        </w:rPr>
        <w:t>,</w:t>
      </w:r>
      <w:r w:rsidRPr="00FC72ED">
        <w:rPr>
          <w:lang w:val="en-GB"/>
        </w:rPr>
        <w:t xml:space="preserve"> and </w:t>
      </w:r>
      <w:r w:rsidR="0056234B" w:rsidRPr="00F95F28">
        <w:rPr>
          <w:lang w:val="en-GB"/>
        </w:rPr>
        <w:t xml:space="preserve">that have consented to accept the rights and </w:t>
      </w:r>
      <w:r w:rsidRPr="00FC72ED">
        <w:rPr>
          <w:lang w:val="en-GB"/>
        </w:rPr>
        <w:t>obligations attendant thereon’.</w:t>
      </w:r>
    </w:p>
    <w:p w14:paraId="2EC5630D" w14:textId="2EA39D27" w:rsidR="00BD6438" w:rsidRPr="00FC72ED" w:rsidRDefault="00083C84" w:rsidP="00083C84">
      <w:pPr>
        <w:pStyle w:val="Marge"/>
        <w:numPr>
          <w:ilvl w:val="0"/>
          <w:numId w:val="9"/>
        </w:numPr>
        <w:spacing w:after="120"/>
        <w:ind w:left="567" w:hanging="567"/>
        <w:rPr>
          <w:lang w:val="en-GB"/>
        </w:rPr>
      </w:pPr>
      <w:r w:rsidRPr="00FC72ED">
        <w:rPr>
          <w:lang w:val="en-GB"/>
        </w:rPr>
        <w:t>In the current context of a near universal ratification of the 2003 Convention with currently 180</w:t>
      </w:r>
      <w:r w:rsidR="007F4A92" w:rsidRPr="00FC72ED">
        <w:rPr>
          <w:lang w:val="en-GB"/>
        </w:rPr>
        <w:t> </w:t>
      </w:r>
      <w:r w:rsidRPr="00FC72ED">
        <w:rPr>
          <w:lang w:val="en-GB"/>
        </w:rPr>
        <w:t xml:space="preserve">States Parties, </w:t>
      </w:r>
      <w:r w:rsidR="00517FA4" w:rsidRPr="00FC72ED">
        <w:rPr>
          <w:lang w:val="en-GB"/>
        </w:rPr>
        <w:t xml:space="preserve">the Russian Federation is the only State non party that </w:t>
      </w:r>
      <w:r w:rsidRPr="00FC72ED">
        <w:rPr>
          <w:lang w:val="en-GB"/>
        </w:rPr>
        <w:t xml:space="preserve">has </w:t>
      </w:r>
      <w:r w:rsidR="009A5912" w:rsidRPr="00FC72ED">
        <w:rPr>
          <w:lang w:val="en-GB"/>
        </w:rPr>
        <w:t xml:space="preserve">the following two </w:t>
      </w:r>
      <w:r w:rsidR="00517FA4" w:rsidRPr="00FC72ED">
        <w:rPr>
          <w:lang w:val="en-GB"/>
        </w:rPr>
        <w:t xml:space="preserve">elements inscribed on the </w:t>
      </w:r>
      <w:r w:rsidRPr="00FC72ED">
        <w:rPr>
          <w:lang w:val="en-GB"/>
        </w:rPr>
        <w:t>Representative List</w:t>
      </w:r>
      <w:r w:rsidR="00BD6438" w:rsidRPr="00FC72ED">
        <w:rPr>
          <w:lang w:val="en-GB"/>
        </w:rPr>
        <w:t>:</w:t>
      </w:r>
    </w:p>
    <w:p w14:paraId="6ABD99F8" w14:textId="55D0B34A" w:rsidR="00BD6438" w:rsidRPr="00FC72ED" w:rsidRDefault="00BD6438" w:rsidP="00767A5B">
      <w:pPr>
        <w:pStyle w:val="Marge"/>
        <w:numPr>
          <w:ilvl w:val="0"/>
          <w:numId w:val="24"/>
        </w:numPr>
        <w:spacing w:after="120"/>
        <w:rPr>
          <w:lang w:val="en-GB"/>
        </w:rPr>
      </w:pPr>
      <w:r w:rsidRPr="00FC72ED">
        <w:rPr>
          <w:lang w:val="en-GB"/>
        </w:rPr>
        <w:t>Cultural space and oral culture of the Semeiskie</w:t>
      </w:r>
      <w:r w:rsidR="001E6B02" w:rsidRPr="00FC72ED">
        <w:rPr>
          <w:lang w:val="en-GB"/>
        </w:rPr>
        <w:t xml:space="preserve"> </w:t>
      </w:r>
      <w:r w:rsidR="001E6B02" w:rsidRPr="00FC72ED">
        <w:rPr>
          <w:rFonts w:eastAsia="Calibri" w:cs="Arial"/>
          <w:szCs w:val="22"/>
          <w:lang w:val="en-GB"/>
        </w:rPr>
        <w:t>(initially proclaimed Masterpiece of the Oral and Intangible Heritage of Humanity in 2001</w:t>
      </w:r>
      <w:r w:rsidR="00E10964" w:rsidRPr="00FC72ED">
        <w:rPr>
          <w:rFonts w:eastAsia="Calibri" w:cs="Arial"/>
          <w:szCs w:val="22"/>
          <w:lang w:val="en-GB"/>
        </w:rPr>
        <w:t>)</w:t>
      </w:r>
      <w:r w:rsidR="0074728F" w:rsidRPr="00FC72ED">
        <w:rPr>
          <w:lang w:val="en-GB"/>
        </w:rPr>
        <w:t>;</w:t>
      </w:r>
    </w:p>
    <w:p w14:paraId="6BA9E106" w14:textId="400CC595" w:rsidR="00D745EF" w:rsidRPr="00FC72ED" w:rsidRDefault="00BD6438" w:rsidP="00BD6438">
      <w:pPr>
        <w:pStyle w:val="Marge"/>
        <w:numPr>
          <w:ilvl w:val="0"/>
          <w:numId w:val="24"/>
        </w:numPr>
        <w:spacing w:after="120"/>
        <w:rPr>
          <w:lang w:val="en-GB"/>
        </w:rPr>
      </w:pPr>
      <w:r w:rsidRPr="00FC72ED">
        <w:rPr>
          <w:lang w:val="en-GB"/>
        </w:rPr>
        <w:t>Olonkho, Yakut heroic epos</w:t>
      </w:r>
      <w:r w:rsidR="001E6B02" w:rsidRPr="00FC72ED">
        <w:rPr>
          <w:lang w:val="en-GB"/>
        </w:rPr>
        <w:t xml:space="preserve"> </w:t>
      </w:r>
      <w:r w:rsidR="001E6B02" w:rsidRPr="00FC72ED">
        <w:rPr>
          <w:rFonts w:eastAsia="Calibri" w:cs="Arial"/>
          <w:szCs w:val="22"/>
          <w:lang w:val="en-GB"/>
        </w:rPr>
        <w:t>(initially proclaimed Masterpiece of the Oral and Intangible Heritage of Humanity in 200</w:t>
      </w:r>
      <w:r w:rsidR="007C5507" w:rsidRPr="00FC72ED">
        <w:rPr>
          <w:rFonts w:eastAsia="Calibri" w:cs="Arial"/>
          <w:szCs w:val="22"/>
          <w:lang w:val="en-GB"/>
        </w:rPr>
        <w:t>5</w:t>
      </w:r>
      <w:r w:rsidR="001E6B02" w:rsidRPr="00FC72ED">
        <w:rPr>
          <w:rFonts w:eastAsia="Calibri" w:cs="Arial"/>
          <w:szCs w:val="22"/>
          <w:lang w:val="en-GB"/>
        </w:rPr>
        <w:t>)</w:t>
      </w:r>
      <w:r w:rsidR="0035761A" w:rsidRPr="00FC72ED">
        <w:rPr>
          <w:rFonts w:cs="Arial"/>
          <w:szCs w:val="22"/>
          <w:lang w:val="en-GB"/>
        </w:rPr>
        <w:t>.</w:t>
      </w:r>
    </w:p>
    <w:p w14:paraId="6F5A21BA" w14:textId="21F748B0" w:rsidR="004E7A90" w:rsidRPr="00FC72ED" w:rsidRDefault="00137AD2" w:rsidP="0027455E">
      <w:pPr>
        <w:pStyle w:val="Marge"/>
        <w:numPr>
          <w:ilvl w:val="0"/>
          <w:numId w:val="9"/>
        </w:numPr>
        <w:spacing w:after="120"/>
        <w:ind w:left="567" w:hanging="567"/>
        <w:rPr>
          <w:lang w:val="en-GB"/>
        </w:rPr>
      </w:pPr>
      <w:r w:rsidRPr="00FC72ED">
        <w:rPr>
          <w:rFonts w:cs="Arial"/>
          <w:szCs w:val="22"/>
          <w:lang w:val="en-GB"/>
        </w:rPr>
        <w:t xml:space="preserve">The Russian Federation has duly submitted </w:t>
      </w:r>
      <w:r w:rsidR="009A4DF8" w:rsidRPr="00FC72ED">
        <w:rPr>
          <w:rFonts w:cs="Arial"/>
          <w:szCs w:val="22"/>
          <w:lang w:val="en-GB"/>
        </w:rPr>
        <w:t xml:space="preserve">by the deadline of 15 December 2020 </w:t>
      </w:r>
      <w:r w:rsidRPr="00FC72ED">
        <w:rPr>
          <w:rFonts w:cs="Arial"/>
          <w:szCs w:val="22"/>
          <w:lang w:val="en-GB"/>
        </w:rPr>
        <w:t xml:space="preserve">its </w:t>
      </w:r>
      <w:r w:rsidR="00120CF5" w:rsidRPr="00FC72ED">
        <w:rPr>
          <w:rFonts w:cs="Arial"/>
          <w:szCs w:val="22"/>
          <w:lang w:val="en-GB"/>
        </w:rPr>
        <w:t xml:space="preserve">second </w:t>
      </w:r>
      <w:r w:rsidRPr="00FC72ED">
        <w:rPr>
          <w:rFonts w:cs="Arial"/>
          <w:szCs w:val="22"/>
          <w:lang w:val="en-GB"/>
        </w:rPr>
        <w:t>report on these two element</w:t>
      </w:r>
      <w:r w:rsidR="004F1898" w:rsidRPr="00FC72ED">
        <w:rPr>
          <w:rFonts w:cs="Arial"/>
          <w:szCs w:val="22"/>
          <w:lang w:val="en-GB"/>
        </w:rPr>
        <w:t>s</w:t>
      </w:r>
      <w:r w:rsidR="00F11405" w:rsidRPr="00FC72ED">
        <w:rPr>
          <w:rFonts w:cs="Arial"/>
          <w:szCs w:val="22"/>
          <w:lang w:val="en-GB"/>
        </w:rPr>
        <w:t>,</w:t>
      </w:r>
      <w:r w:rsidRPr="00FC72ED">
        <w:rPr>
          <w:rFonts w:cs="Arial"/>
          <w:szCs w:val="22"/>
          <w:lang w:val="en-GB"/>
        </w:rPr>
        <w:t xml:space="preserve"> in </w:t>
      </w:r>
      <w:r w:rsidR="00C052DA" w:rsidRPr="00FC72ED">
        <w:rPr>
          <w:rFonts w:cs="Arial"/>
          <w:szCs w:val="22"/>
          <w:lang w:val="en-GB"/>
        </w:rPr>
        <w:t xml:space="preserve">accordance with </w:t>
      </w:r>
      <w:r w:rsidR="004F1898" w:rsidRPr="00FC72ED">
        <w:rPr>
          <w:rFonts w:cs="Arial"/>
          <w:szCs w:val="22"/>
          <w:lang w:val="en-GB"/>
        </w:rPr>
        <w:t>the</w:t>
      </w:r>
      <w:r w:rsidR="00A132B2" w:rsidRPr="00FC72ED">
        <w:rPr>
          <w:rFonts w:cs="Arial"/>
          <w:szCs w:val="22"/>
          <w:lang w:val="en-GB"/>
        </w:rPr>
        <w:t xml:space="preserve"> time</w:t>
      </w:r>
      <w:r w:rsidR="004F1898" w:rsidRPr="00FC72ED">
        <w:rPr>
          <w:rFonts w:cs="Arial"/>
          <w:szCs w:val="22"/>
          <w:lang w:val="en-GB"/>
        </w:rPr>
        <w:t xml:space="preserve"> </w:t>
      </w:r>
      <w:r w:rsidR="00ED48DD" w:rsidRPr="00FC72ED">
        <w:rPr>
          <w:rFonts w:cs="Arial"/>
          <w:szCs w:val="22"/>
          <w:lang w:val="en-GB"/>
        </w:rPr>
        <w:t>schedule</w:t>
      </w:r>
      <w:r w:rsidR="004F1898" w:rsidRPr="00FC72ED">
        <w:rPr>
          <w:rFonts w:cs="Arial"/>
          <w:szCs w:val="22"/>
          <w:lang w:val="en-GB"/>
        </w:rPr>
        <w:t xml:space="preserve"> of submission set out in paragraph 169</w:t>
      </w:r>
      <w:r w:rsidR="001339A9" w:rsidRPr="00FC72ED">
        <w:rPr>
          <w:rFonts w:cs="Arial"/>
          <w:szCs w:val="22"/>
          <w:lang w:val="en-GB"/>
        </w:rPr>
        <w:t xml:space="preserve"> of Chapter V.4</w:t>
      </w:r>
      <w:r w:rsidR="004F1898" w:rsidRPr="00FC72ED">
        <w:rPr>
          <w:rFonts w:cs="Arial"/>
          <w:szCs w:val="22"/>
          <w:lang w:val="en-GB"/>
        </w:rPr>
        <w:t>:</w:t>
      </w:r>
      <w:r w:rsidR="001339A9" w:rsidRPr="00FC72ED">
        <w:rPr>
          <w:rFonts w:cs="Arial"/>
          <w:szCs w:val="22"/>
          <w:lang w:val="en-GB"/>
        </w:rPr>
        <w:t xml:space="preserve"> ‘</w:t>
      </w:r>
      <w:r w:rsidR="001339A9" w:rsidRPr="00FC72ED">
        <w:rPr>
          <w:lang w:val="en-GB"/>
        </w:rPr>
        <w:t>Such reports shall be submitted to the Committee by States non party by 15 December 2014, and every sixth year thereafter’</w:t>
      </w:r>
      <w:r w:rsidR="0027455E" w:rsidRPr="00FC72ED">
        <w:rPr>
          <w:rFonts w:cs="Arial"/>
          <w:szCs w:val="22"/>
          <w:lang w:val="en-GB"/>
        </w:rPr>
        <w:t xml:space="preserve">. </w:t>
      </w:r>
      <w:r w:rsidR="009D4FF8" w:rsidRPr="00FC72ED">
        <w:rPr>
          <w:lang w:val="en-GB"/>
        </w:rPr>
        <w:t xml:space="preserve">Following </w:t>
      </w:r>
      <w:r w:rsidR="00820FFD" w:rsidRPr="00FC72ED">
        <w:rPr>
          <w:lang w:val="en-GB"/>
        </w:rPr>
        <w:t>its</w:t>
      </w:r>
      <w:r w:rsidR="009D4FF8" w:rsidRPr="00FC72ED">
        <w:rPr>
          <w:lang w:val="en-GB"/>
        </w:rPr>
        <w:t xml:space="preserve"> </w:t>
      </w:r>
      <w:r w:rsidR="00120CF5" w:rsidRPr="00FC72ED">
        <w:rPr>
          <w:lang w:val="en-GB"/>
        </w:rPr>
        <w:t xml:space="preserve">examination of </w:t>
      </w:r>
      <w:r w:rsidR="00820FFD" w:rsidRPr="00FC72ED">
        <w:rPr>
          <w:lang w:val="en-GB"/>
        </w:rPr>
        <w:t>the</w:t>
      </w:r>
      <w:r w:rsidR="00120CF5" w:rsidRPr="00FC72ED">
        <w:rPr>
          <w:lang w:val="en-GB"/>
        </w:rPr>
        <w:t xml:space="preserve"> </w:t>
      </w:r>
      <w:hyperlink r:id="rId8" w:history="1">
        <w:r w:rsidR="00820FFD" w:rsidRPr="00FC72ED">
          <w:rPr>
            <w:rStyle w:val="Hyperlink"/>
            <w:rFonts w:cs="Arial"/>
            <w:bCs/>
            <w:szCs w:val="22"/>
            <w:lang w:val="en-GB"/>
          </w:rPr>
          <w:t>first report</w:t>
        </w:r>
      </w:hyperlink>
      <w:r w:rsidR="00820FFD" w:rsidRPr="00FC72ED">
        <w:rPr>
          <w:rStyle w:val="Hyperlink"/>
          <w:rFonts w:cs="Arial"/>
          <w:bCs/>
          <w:szCs w:val="22"/>
          <w:u w:val="none"/>
          <w:lang w:val="en-GB"/>
        </w:rPr>
        <w:t xml:space="preserve"> </w:t>
      </w:r>
      <w:r w:rsidR="00820FFD" w:rsidRPr="00FC72ED">
        <w:rPr>
          <w:lang w:val="en-GB"/>
        </w:rPr>
        <w:t xml:space="preserve">at </w:t>
      </w:r>
      <w:r w:rsidR="009E36CB" w:rsidRPr="00FC72ED">
        <w:rPr>
          <w:lang w:val="en-GB"/>
        </w:rPr>
        <w:t xml:space="preserve">its </w:t>
      </w:r>
      <w:r w:rsidR="00820FFD" w:rsidRPr="00FC72ED">
        <w:rPr>
          <w:lang w:val="en-GB"/>
        </w:rPr>
        <w:t xml:space="preserve">tenth session </w:t>
      </w:r>
      <w:r w:rsidR="00F164AF" w:rsidRPr="00FC72ED">
        <w:rPr>
          <w:lang w:val="en-GB"/>
        </w:rPr>
        <w:t xml:space="preserve">in </w:t>
      </w:r>
      <w:r w:rsidR="00820FFD" w:rsidRPr="00FC72ED">
        <w:rPr>
          <w:lang w:val="en-GB"/>
        </w:rPr>
        <w:t>2015 (</w:t>
      </w:r>
      <w:r w:rsidR="00FC72ED" w:rsidRPr="00F95F28">
        <w:rPr>
          <w:lang w:val="en-GB"/>
        </w:rPr>
        <w:t xml:space="preserve">Decision </w:t>
      </w:r>
      <w:hyperlink r:id="rId9" w:history="1">
        <w:r w:rsidR="00FC72ED" w:rsidRPr="00FC72ED">
          <w:rPr>
            <w:rStyle w:val="Hyperlink"/>
            <w:lang w:val="en-GB"/>
          </w:rPr>
          <w:t>10.COM 6.a</w:t>
        </w:r>
      </w:hyperlink>
      <w:r w:rsidR="00820FFD" w:rsidRPr="00FC72ED">
        <w:rPr>
          <w:lang w:val="en-GB"/>
        </w:rPr>
        <w:t xml:space="preserve">), the Committee is therefore asked to examine at the current session </w:t>
      </w:r>
      <w:r w:rsidR="00704919" w:rsidRPr="00FC72ED">
        <w:rPr>
          <w:lang w:val="en-GB"/>
        </w:rPr>
        <w:t xml:space="preserve">the second cycle of </w:t>
      </w:r>
      <w:r w:rsidR="00704919" w:rsidRPr="00FC72ED">
        <w:rPr>
          <w:rFonts w:cs="Arial"/>
          <w:szCs w:val="22"/>
          <w:lang w:val="en-GB"/>
        </w:rPr>
        <w:t xml:space="preserve">reporting </w:t>
      </w:r>
      <w:r w:rsidR="002156C5" w:rsidRPr="00FC72ED">
        <w:rPr>
          <w:rFonts w:cs="Arial"/>
          <w:szCs w:val="22"/>
          <w:lang w:val="en-GB"/>
        </w:rPr>
        <w:t xml:space="preserve">on these two elements </w:t>
      </w:r>
      <w:r w:rsidR="00704919" w:rsidRPr="00FC72ED">
        <w:rPr>
          <w:rFonts w:cs="Arial"/>
          <w:szCs w:val="22"/>
          <w:lang w:val="en-GB"/>
        </w:rPr>
        <w:t xml:space="preserve">by the Russian Federation, as State non party to the Convention. </w:t>
      </w:r>
      <w:r w:rsidR="002E1C14" w:rsidRPr="00FC72ED">
        <w:rPr>
          <w:lang w:val="en-GB"/>
        </w:rPr>
        <w:t>T</w:t>
      </w:r>
      <w:r w:rsidR="004E7A90" w:rsidRPr="00FC72ED">
        <w:rPr>
          <w:lang w:val="en-GB"/>
        </w:rPr>
        <w:t xml:space="preserve">he overview of the report on the elements are included </w:t>
      </w:r>
      <w:r w:rsidR="004E7A90" w:rsidRPr="00FC72ED">
        <w:rPr>
          <w:rFonts w:cs="Arial"/>
          <w:szCs w:val="22"/>
          <w:lang w:val="en-GB"/>
        </w:rPr>
        <w:t>in the Annex of this document</w:t>
      </w:r>
      <w:r w:rsidR="00882D5D" w:rsidRPr="00FC72ED">
        <w:rPr>
          <w:rFonts w:cs="Arial"/>
          <w:szCs w:val="22"/>
          <w:lang w:val="en-GB"/>
        </w:rPr>
        <w:t xml:space="preserve">, </w:t>
      </w:r>
      <w:r w:rsidR="003C04DD" w:rsidRPr="00FC72ED">
        <w:rPr>
          <w:rFonts w:cs="Arial"/>
          <w:szCs w:val="22"/>
          <w:lang w:val="en-GB"/>
        </w:rPr>
        <w:t xml:space="preserve">whereas </w:t>
      </w:r>
      <w:r w:rsidR="00882D5D" w:rsidRPr="00FC72ED">
        <w:rPr>
          <w:rFonts w:cs="Arial"/>
          <w:szCs w:val="22"/>
          <w:lang w:val="en-GB"/>
        </w:rPr>
        <w:t>t</w:t>
      </w:r>
      <w:r w:rsidR="004E7A90" w:rsidRPr="00FC72ED">
        <w:rPr>
          <w:rFonts w:cs="Arial"/>
          <w:szCs w:val="22"/>
          <w:lang w:val="en-GB"/>
        </w:rPr>
        <w:t xml:space="preserve">he complete report </w:t>
      </w:r>
      <w:r w:rsidR="009E36CB" w:rsidRPr="00FC72ED">
        <w:rPr>
          <w:rFonts w:cs="Arial"/>
          <w:szCs w:val="22"/>
          <w:lang w:val="en-GB"/>
        </w:rPr>
        <w:t xml:space="preserve">as submitted by the State concerned </w:t>
      </w:r>
      <w:r w:rsidR="004E7A90" w:rsidRPr="00FC72ED">
        <w:rPr>
          <w:rFonts w:cs="Arial"/>
          <w:szCs w:val="22"/>
          <w:lang w:val="en-GB"/>
        </w:rPr>
        <w:t>is available in English on the website of the Convention at:</w:t>
      </w:r>
      <w:r w:rsidR="00DE7F10" w:rsidRPr="00FC72ED">
        <w:rPr>
          <w:rFonts w:cs="Arial"/>
          <w:szCs w:val="22"/>
          <w:lang w:val="en-GB"/>
        </w:rPr>
        <w:t xml:space="preserve"> </w:t>
      </w:r>
      <w:hyperlink r:id="rId10" w:history="1">
        <w:r w:rsidR="00DE7F10" w:rsidRPr="00FC72ED">
          <w:rPr>
            <w:rStyle w:val="Hyperlink"/>
            <w:rFonts w:cs="Arial"/>
            <w:szCs w:val="22"/>
            <w:lang w:val="en-GB"/>
          </w:rPr>
          <w:t>https://ich.unesco.org/en/7c-periodic-reporting-rl-01206</w:t>
        </w:r>
      </w:hyperlink>
      <w:r w:rsidR="00DE7F10" w:rsidRPr="00FC72ED">
        <w:rPr>
          <w:rFonts w:cs="Arial"/>
          <w:szCs w:val="22"/>
          <w:lang w:val="en-GB"/>
        </w:rPr>
        <w:t>.</w:t>
      </w:r>
    </w:p>
    <w:p w14:paraId="4B9D3FE6" w14:textId="77777777" w:rsidR="007A1E39" w:rsidRPr="00FC72ED" w:rsidRDefault="007A1E39" w:rsidP="007A1E39">
      <w:pPr>
        <w:pStyle w:val="Marge"/>
        <w:keepNext/>
        <w:numPr>
          <w:ilvl w:val="0"/>
          <w:numId w:val="9"/>
        </w:numPr>
        <w:spacing w:after="120"/>
        <w:ind w:left="567" w:hanging="567"/>
        <w:rPr>
          <w:lang w:val="en-GB"/>
        </w:rPr>
      </w:pPr>
      <w:r w:rsidRPr="00FC72ED">
        <w:rPr>
          <w:lang w:val="en-GB"/>
        </w:rPr>
        <w:t>The Committee may wish to adopt the following decision:</w:t>
      </w:r>
    </w:p>
    <w:p w14:paraId="6AA94267" w14:textId="533266D9" w:rsidR="007A1E39" w:rsidRPr="00FC72ED" w:rsidRDefault="007A1E39" w:rsidP="007A1E39">
      <w:pPr>
        <w:pStyle w:val="COMTitleDecision"/>
        <w:rPr>
          <w:rFonts w:eastAsia="SimSun"/>
        </w:rPr>
      </w:pPr>
      <w:r w:rsidRPr="00FC72ED">
        <w:t>DRAFT DECISION 16.COM 7.c</w:t>
      </w:r>
    </w:p>
    <w:p w14:paraId="7A65602D" w14:textId="77777777" w:rsidR="007A1E39" w:rsidRPr="00FC72ED" w:rsidRDefault="007A1E39" w:rsidP="007A1E39">
      <w:pPr>
        <w:pStyle w:val="COMPreambulaDecisions"/>
        <w:rPr>
          <w:rFonts w:eastAsia="SimSun"/>
        </w:rPr>
      </w:pPr>
      <w:r w:rsidRPr="00FC72ED">
        <w:t>The Committee,</w:t>
      </w:r>
    </w:p>
    <w:p w14:paraId="1E279ABB" w14:textId="53012CE9" w:rsidR="007A1E39" w:rsidRPr="00FC72ED" w:rsidRDefault="007A1E39" w:rsidP="007A1E39">
      <w:pPr>
        <w:pStyle w:val="COMParaDecision"/>
      </w:pPr>
      <w:r w:rsidRPr="00FC72ED">
        <w:t>Having examined</w:t>
      </w:r>
      <w:r w:rsidRPr="00FC72ED">
        <w:rPr>
          <w:u w:val="none"/>
        </w:rPr>
        <w:t xml:space="preserve"> document LHE/21/16.COM/7.c,</w:t>
      </w:r>
    </w:p>
    <w:p w14:paraId="7067BF7D" w14:textId="1C11B1EB" w:rsidR="007A1E39" w:rsidRPr="00FC72ED" w:rsidRDefault="007A1E39" w:rsidP="007A1E39">
      <w:pPr>
        <w:pStyle w:val="COMParaDecision"/>
      </w:pPr>
      <w:r w:rsidRPr="00FC72ED">
        <w:t>Recalling</w:t>
      </w:r>
      <w:r w:rsidRPr="00FC72ED">
        <w:rPr>
          <w:u w:val="none"/>
        </w:rPr>
        <w:t xml:space="preserve"> Articles 3</w:t>
      </w:r>
      <w:r w:rsidR="005A5766" w:rsidRPr="00FC72ED">
        <w:rPr>
          <w:u w:val="none"/>
        </w:rPr>
        <w:t>1.1</w:t>
      </w:r>
      <w:r w:rsidRPr="00FC72ED">
        <w:rPr>
          <w:u w:val="none"/>
        </w:rPr>
        <w:t xml:space="preserve"> of the Convention and Chapter V</w:t>
      </w:r>
      <w:r w:rsidR="001A27A7" w:rsidRPr="00FC72ED">
        <w:rPr>
          <w:u w:val="none"/>
        </w:rPr>
        <w:t>.4</w:t>
      </w:r>
      <w:r w:rsidRPr="00FC72ED">
        <w:rPr>
          <w:u w:val="none"/>
        </w:rPr>
        <w:t xml:space="preserve"> of the Operational Directives, as well as its Decision </w:t>
      </w:r>
      <w:hyperlink r:id="rId11" w:history="1">
        <w:r w:rsidRPr="00FC72ED">
          <w:rPr>
            <w:rStyle w:val="Hyperlink"/>
          </w:rPr>
          <w:t>10.COM 6.a</w:t>
        </w:r>
      </w:hyperlink>
      <w:r w:rsidRPr="00FC72ED">
        <w:rPr>
          <w:rStyle w:val="Hyperlink"/>
          <w:u w:val="none"/>
        </w:rPr>
        <w:t>,</w:t>
      </w:r>
    </w:p>
    <w:p w14:paraId="572A0A28" w14:textId="4BA578DB" w:rsidR="007A1E39" w:rsidRPr="00FC72ED" w:rsidRDefault="007A1E39" w:rsidP="007A1E39">
      <w:pPr>
        <w:pStyle w:val="COMParaDecision"/>
        <w:rPr>
          <w:u w:val="none"/>
        </w:rPr>
      </w:pPr>
      <w:r w:rsidRPr="00FC72ED">
        <w:t>Expresses its appreciation</w:t>
      </w:r>
      <w:r w:rsidRPr="00FC72ED">
        <w:rPr>
          <w:u w:val="none"/>
        </w:rPr>
        <w:t xml:space="preserve"> to the Russian Federation, a State non party to the 2003 Convention, for submitting on time its second report on the status of two elements inscribed on the Representative List of the Intangible Cultural Heritage of Humanity – the </w:t>
      </w:r>
      <w:r w:rsidR="004B5F36" w:rsidRPr="00FC72ED">
        <w:rPr>
          <w:u w:val="none"/>
        </w:rPr>
        <w:t>‘</w:t>
      </w:r>
      <w:r w:rsidRPr="00FC72ED">
        <w:rPr>
          <w:rFonts w:eastAsia="Calibri"/>
          <w:u w:val="none"/>
        </w:rPr>
        <w:t>Cultural space and oral culture of the Semeiskie</w:t>
      </w:r>
      <w:r w:rsidR="004B5F36" w:rsidRPr="00FC72ED">
        <w:rPr>
          <w:rFonts w:eastAsia="Calibri"/>
          <w:u w:val="none"/>
        </w:rPr>
        <w:t>’</w:t>
      </w:r>
      <w:r w:rsidRPr="00FC72ED">
        <w:rPr>
          <w:u w:val="none"/>
        </w:rPr>
        <w:t xml:space="preserve"> and the </w:t>
      </w:r>
      <w:r w:rsidR="004B5F36" w:rsidRPr="00FC72ED">
        <w:rPr>
          <w:u w:val="none"/>
        </w:rPr>
        <w:t>‘</w:t>
      </w:r>
      <w:r w:rsidRPr="00FC72ED">
        <w:rPr>
          <w:rFonts w:eastAsia="Calibri"/>
          <w:u w:val="none"/>
        </w:rPr>
        <w:t>Olonkho, Yakut heroic epos</w:t>
      </w:r>
      <w:r w:rsidR="004B5F36" w:rsidRPr="00FC72ED">
        <w:rPr>
          <w:rFonts w:eastAsia="Calibri"/>
          <w:u w:val="none"/>
        </w:rPr>
        <w:t>’</w:t>
      </w:r>
      <w:r w:rsidRPr="00FC72ED">
        <w:rPr>
          <w:rFonts w:eastAsia="Calibri"/>
          <w:u w:val="none"/>
        </w:rPr>
        <w:t>;</w:t>
      </w:r>
    </w:p>
    <w:p w14:paraId="02D4822B" w14:textId="09B8B1BD" w:rsidR="007A1E39" w:rsidRPr="00FC72ED" w:rsidRDefault="007A1E39" w:rsidP="007A1E39">
      <w:pPr>
        <w:pStyle w:val="COMParaDecision"/>
      </w:pPr>
      <w:r w:rsidRPr="00FC72ED">
        <w:t>Takes note</w:t>
      </w:r>
      <w:r w:rsidRPr="00FC72ED">
        <w:rPr>
          <w:u w:val="none"/>
        </w:rPr>
        <w:t xml:space="preserve"> of the continued efforts undertaken by the </w:t>
      </w:r>
      <w:r w:rsidR="004B5F36" w:rsidRPr="00FC72ED">
        <w:rPr>
          <w:u w:val="none"/>
        </w:rPr>
        <w:t>Russian Federation</w:t>
      </w:r>
      <w:r w:rsidRPr="00FC72ED">
        <w:rPr>
          <w:u w:val="none"/>
        </w:rPr>
        <w:t xml:space="preserve"> to safeguard </w:t>
      </w:r>
      <w:r w:rsidR="0033388C" w:rsidRPr="00FC72ED">
        <w:rPr>
          <w:u w:val="none"/>
        </w:rPr>
        <w:t xml:space="preserve">and promote </w:t>
      </w:r>
      <w:r w:rsidRPr="00FC72ED">
        <w:rPr>
          <w:u w:val="none"/>
        </w:rPr>
        <w:t xml:space="preserve">these elements, as presented in </w:t>
      </w:r>
      <w:r w:rsidR="0033388C" w:rsidRPr="00FC72ED">
        <w:rPr>
          <w:u w:val="none"/>
        </w:rPr>
        <w:t xml:space="preserve">the </w:t>
      </w:r>
      <w:r w:rsidRPr="00FC72ED">
        <w:rPr>
          <w:u w:val="none"/>
        </w:rPr>
        <w:t xml:space="preserve">Annex, in particular through governmental cultural policies, </w:t>
      </w:r>
      <w:r w:rsidR="00F5052D" w:rsidRPr="00FC72ED">
        <w:rPr>
          <w:u w:val="none"/>
        </w:rPr>
        <w:t>a</w:t>
      </w:r>
      <w:r w:rsidRPr="00FC72ED">
        <w:rPr>
          <w:u w:val="none"/>
        </w:rPr>
        <w:t xml:space="preserve">wareness-raising </w:t>
      </w:r>
      <w:r w:rsidR="0033388C" w:rsidRPr="00FC72ED">
        <w:rPr>
          <w:u w:val="none"/>
        </w:rPr>
        <w:t xml:space="preserve">and research </w:t>
      </w:r>
      <w:r w:rsidRPr="00FC72ED">
        <w:rPr>
          <w:u w:val="none"/>
        </w:rPr>
        <w:t xml:space="preserve">activities, </w:t>
      </w:r>
      <w:r w:rsidR="0033388C" w:rsidRPr="00FC72ED">
        <w:rPr>
          <w:u w:val="none"/>
        </w:rPr>
        <w:t xml:space="preserve">the </w:t>
      </w:r>
      <w:r w:rsidRPr="00FC72ED">
        <w:rPr>
          <w:u w:val="none"/>
        </w:rPr>
        <w:t>integration of the elements in formal and non-formal education</w:t>
      </w:r>
      <w:r w:rsidR="00DA3925" w:rsidRPr="00FC72ED">
        <w:rPr>
          <w:u w:val="none"/>
        </w:rPr>
        <w:t xml:space="preserve"> and their</w:t>
      </w:r>
      <w:r w:rsidRPr="00FC72ED">
        <w:rPr>
          <w:u w:val="none"/>
        </w:rPr>
        <w:t xml:space="preserve"> </w:t>
      </w:r>
      <w:r w:rsidR="00F5052D" w:rsidRPr="00FC72ED">
        <w:rPr>
          <w:u w:val="none"/>
        </w:rPr>
        <w:t>enhanced transmission</w:t>
      </w:r>
      <w:r w:rsidRPr="00FC72ED">
        <w:rPr>
          <w:u w:val="none"/>
        </w:rPr>
        <w:t>;</w:t>
      </w:r>
    </w:p>
    <w:p w14:paraId="2D9252BC" w14:textId="6B96E4E6" w:rsidR="007A1E39" w:rsidRPr="00FC72ED" w:rsidRDefault="007A1E39" w:rsidP="007A1E39">
      <w:pPr>
        <w:pStyle w:val="COMParaDecision"/>
      </w:pPr>
      <w:r w:rsidRPr="00FC72ED">
        <w:t>Encourages</w:t>
      </w:r>
      <w:r w:rsidRPr="00FC72ED">
        <w:rPr>
          <w:u w:val="none"/>
        </w:rPr>
        <w:t xml:space="preserve"> the </w:t>
      </w:r>
      <w:r w:rsidR="00226920" w:rsidRPr="00FC72ED">
        <w:rPr>
          <w:u w:val="none"/>
        </w:rPr>
        <w:t>Russian Federation</w:t>
      </w:r>
      <w:r w:rsidRPr="00FC72ED">
        <w:rPr>
          <w:u w:val="none"/>
        </w:rPr>
        <w:t xml:space="preserve"> to address the reported threats to the safeguarding of these elements and develop measures that would contribute to their viability;</w:t>
      </w:r>
    </w:p>
    <w:p w14:paraId="7EB58987" w14:textId="04AFE528" w:rsidR="00310681" w:rsidRPr="00FC72ED" w:rsidRDefault="0001672A" w:rsidP="002E1C14">
      <w:pPr>
        <w:pStyle w:val="COMParaDecision"/>
      </w:pPr>
      <w:r w:rsidRPr="00FC72ED">
        <w:rPr>
          <w:lang w:eastAsia="zh-CN"/>
        </w:rPr>
        <w:t>Requests</w:t>
      </w:r>
      <w:r w:rsidRPr="00FC72ED">
        <w:rPr>
          <w:u w:val="none"/>
          <w:lang w:eastAsia="zh-CN"/>
        </w:rPr>
        <w:t> that the Secretariat inform the Russian Federation at least nine months prior to the deadline of 15 December 2026 about the required submission of its next report on the status of these elements.</w:t>
      </w:r>
      <w:r w:rsidR="00310681" w:rsidRPr="00FC72ED">
        <w:br w:type="page"/>
      </w:r>
    </w:p>
    <w:p w14:paraId="55A14E34" w14:textId="77777777" w:rsidR="00310681" w:rsidRPr="00FC72ED" w:rsidRDefault="00310681" w:rsidP="00310681">
      <w:pPr>
        <w:pageBreakBefore/>
        <w:autoSpaceDE w:val="0"/>
        <w:autoSpaceDN w:val="0"/>
        <w:adjustRightInd w:val="0"/>
        <w:spacing w:after="120"/>
        <w:ind w:left="567"/>
        <w:jc w:val="center"/>
        <w:rPr>
          <w:rFonts w:ascii="Arial" w:hAnsi="Arial" w:cs="Arial"/>
          <w:b/>
          <w:sz w:val="22"/>
          <w:szCs w:val="22"/>
          <w:lang w:val="en-GB"/>
        </w:rPr>
      </w:pPr>
      <w:r w:rsidRPr="00FC72ED">
        <w:rPr>
          <w:rFonts w:ascii="Arial" w:hAnsi="Arial" w:cs="Arial"/>
          <w:b/>
          <w:sz w:val="22"/>
          <w:szCs w:val="22"/>
          <w:lang w:val="en-GB"/>
        </w:rPr>
        <w:lastRenderedPageBreak/>
        <w:t>ANNEX</w:t>
      </w:r>
    </w:p>
    <w:p w14:paraId="28420752" w14:textId="6257B068" w:rsidR="00310681" w:rsidRPr="00FC72ED" w:rsidRDefault="00310681" w:rsidP="00310681">
      <w:pPr>
        <w:autoSpaceDE w:val="0"/>
        <w:autoSpaceDN w:val="0"/>
        <w:adjustRightInd w:val="0"/>
        <w:spacing w:before="120" w:after="120"/>
        <w:ind w:left="567"/>
        <w:jc w:val="center"/>
        <w:rPr>
          <w:rFonts w:ascii="Arial" w:hAnsi="Arial" w:cs="Arial"/>
          <w:b/>
          <w:sz w:val="22"/>
          <w:szCs w:val="22"/>
          <w:lang w:val="en-GB"/>
        </w:rPr>
      </w:pPr>
      <w:r w:rsidRPr="00FC72ED">
        <w:rPr>
          <w:rFonts w:ascii="Arial" w:hAnsi="Arial" w:cs="Arial"/>
          <w:b/>
          <w:sz w:val="22"/>
          <w:szCs w:val="22"/>
          <w:lang w:val="en-GB"/>
        </w:rPr>
        <w:t>Overview of the report submitted by the Russian Federation, a State non party</w:t>
      </w:r>
      <w:r w:rsidRPr="00FC72ED">
        <w:rPr>
          <w:rFonts w:ascii="Arial" w:hAnsi="Arial" w:cs="Arial"/>
          <w:b/>
          <w:sz w:val="22"/>
          <w:szCs w:val="22"/>
          <w:lang w:val="en-GB"/>
        </w:rPr>
        <w:br/>
        <w:t>to the 2003 Convention, on the current status of two elements</w:t>
      </w:r>
      <w:r w:rsidRPr="00FC72ED">
        <w:rPr>
          <w:rFonts w:ascii="Arial" w:hAnsi="Arial" w:cs="Arial"/>
          <w:b/>
          <w:sz w:val="22"/>
          <w:szCs w:val="22"/>
          <w:lang w:val="en-GB"/>
        </w:rPr>
        <w:br/>
        <w:t>inscribed on the Representative List</w:t>
      </w:r>
    </w:p>
    <w:p w14:paraId="59175EB8" w14:textId="77777777" w:rsidR="0028412F" w:rsidRPr="00FC72ED" w:rsidRDefault="0028412F" w:rsidP="00310681">
      <w:pPr>
        <w:autoSpaceDE w:val="0"/>
        <w:autoSpaceDN w:val="0"/>
        <w:adjustRightInd w:val="0"/>
        <w:spacing w:before="120" w:after="120"/>
        <w:ind w:left="567"/>
        <w:jc w:val="center"/>
        <w:rPr>
          <w:rFonts w:ascii="Arial" w:hAnsi="Arial" w:cs="Arial"/>
          <w:b/>
          <w:sz w:val="22"/>
          <w:szCs w:val="22"/>
          <w:lang w:val="en-GB"/>
        </w:rPr>
      </w:pPr>
    </w:p>
    <w:p w14:paraId="1682EEE8" w14:textId="427AFAB8" w:rsidR="00310681" w:rsidRPr="00FC72ED" w:rsidRDefault="00310681" w:rsidP="00BF43B8">
      <w:pPr>
        <w:keepNext/>
        <w:spacing w:before="360" w:after="240" w:line="240" w:lineRule="exact"/>
        <w:rPr>
          <w:rFonts w:ascii="Arial" w:hAnsi="Arial" w:cs="Arial"/>
          <w:b/>
          <w:bCs/>
          <w:sz w:val="22"/>
          <w:szCs w:val="22"/>
          <w:lang w:val="en-GB"/>
        </w:rPr>
      </w:pPr>
      <w:r w:rsidRPr="00FC72ED">
        <w:rPr>
          <w:rFonts w:ascii="Arial" w:eastAsia="Calibri" w:hAnsi="Arial" w:cs="Arial"/>
          <w:b/>
          <w:bCs/>
          <w:sz w:val="22"/>
          <w:szCs w:val="22"/>
          <w:lang w:val="en-GB"/>
        </w:rPr>
        <w:t xml:space="preserve">Cultural space and oral culture of the Semeiskie </w:t>
      </w:r>
      <w:r w:rsidR="00AE6297" w:rsidRPr="00FC72ED">
        <w:rPr>
          <w:rFonts w:ascii="Arial" w:eastAsia="Calibri" w:hAnsi="Arial" w:cs="Arial"/>
          <w:sz w:val="22"/>
          <w:szCs w:val="22"/>
          <w:lang w:val="en-GB"/>
        </w:rPr>
        <w:t>(2008)</w:t>
      </w:r>
    </w:p>
    <w:p w14:paraId="3813E9F0" w14:textId="65FCA961" w:rsidR="00310681" w:rsidRPr="00FC72ED" w:rsidRDefault="00310681" w:rsidP="00310681">
      <w:pPr>
        <w:pStyle w:val="Marge"/>
        <w:numPr>
          <w:ilvl w:val="0"/>
          <w:numId w:val="17"/>
        </w:numPr>
        <w:tabs>
          <w:tab w:val="clear" w:pos="567"/>
        </w:tabs>
        <w:autoSpaceDE w:val="0"/>
        <w:autoSpaceDN w:val="0"/>
        <w:adjustRightInd w:val="0"/>
        <w:spacing w:after="120"/>
        <w:ind w:left="567" w:hanging="567"/>
        <w:rPr>
          <w:rFonts w:cs="Arial"/>
          <w:bCs/>
          <w:szCs w:val="22"/>
          <w:lang w:val="en-GB"/>
        </w:rPr>
      </w:pPr>
      <w:r w:rsidRPr="00FC72ED">
        <w:rPr>
          <w:rFonts w:cs="Arial"/>
          <w:szCs w:val="22"/>
          <w:lang w:val="en-GB"/>
        </w:rPr>
        <w:t xml:space="preserve">The </w:t>
      </w:r>
      <w:r w:rsidRPr="00FC72ED">
        <w:rPr>
          <w:rFonts w:eastAsia="Calibri" w:cs="Arial"/>
          <w:szCs w:val="22"/>
          <w:lang w:val="en-GB"/>
        </w:rPr>
        <w:t>Cultural space and oral culture of the Semeiskie</w:t>
      </w:r>
      <w:r w:rsidRPr="00FC72ED">
        <w:rPr>
          <w:rFonts w:cs="Arial"/>
          <w:szCs w:val="22"/>
          <w:lang w:val="en-GB"/>
        </w:rPr>
        <w:t xml:space="preserve"> provides a sense of identity for an ethno-confessional group of Transbaikalian Old-Believers in the Republic of Buryatia. They settled down in families (semeia means family in Russian) and kept old rites and ancient cultural expressions. The identity of the Semeiskie is </w:t>
      </w:r>
      <w:r w:rsidR="00CE1FBA" w:rsidRPr="00FC72ED">
        <w:rPr>
          <w:rFonts w:cs="Arial"/>
          <w:szCs w:val="22"/>
          <w:lang w:val="en-GB"/>
        </w:rPr>
        <w:t>closely associated with</w:t>
      </w:r>
      <w:r w:rsidRPr="00FC72ED">
        <w:rPr>
          <w:rFonts w:cs="Arial"/>
          <w:szCs w:val="22"/>
          <w:lang w:val="en-GB"/>
        </w:rPr>
        <w:t xml:space="preserve"> </w:t>
      </w:r>
      <w:r w:rsidR="00CE1FBA" w:rsidRPr="00FC72ED">
        <w:rPr>
          <w:rFonts w:cs="Arial"/>
          <w:szCs w:val="22"/>
          <w:lang w:val="en-GB"/>
        </w:rPr>
        <w:t xml:space="preserve">the </w:t>
      </w:r>
      <w:r w:rsidRPr="00FC72ED">
        <w:rPr>
          <w:rFonts w:cs="Arial"/>
          <w:szCs w:val="22"/>
          <w:lang w:val="en-GB"/>
        </w:rPr>
        <w:t>language,</w:t>
      </w:r>
      <w:r w:rsidR="00CA6629" w:rsidRPr="00FC72ED">
        <w:rPr>
          <w:rFonts w:cs="Arial"/>
          <w:szCs w:val="22"/>
          <w:lang w:val="en-GB"/>
        </w:rPr>
        <w:t xml:space="preserve"> the</w:t>
      </w:r>
      <w:r w:rsidRPr="00FC72ED">
        <w:rPr>
          <w:rFonts w:cs="Arial"/>
          <w:szCs w:val="22"/>
          <w:lang w:val="en-GB"/>
        </w:rPr>
        <w:t xml:space="preserve"> Old-Believers religion, spiritual and moral values, crafts, clothing, architecture, ritual poetry and singing. Its musical traditions feature polyphonic singing, </w:t>
      </w:r>
      <w:r w:rsidR="00CA6629" w:rsidRPr="00FC72ED">
        <w:rPr>
          <w:rFonts w:cs="Arial"/>
          <w:szCs w:val="22"/>
          <w:lang w:val="en-GB"/>
        </w:rPr>
        <w:t xml:space="preserve">the </w:t>
      </w:r>
      <w:r w:rsidRPr="00FC72ED">
        <w:rPr>
          <w:rFonts w:cs="Arial"/>
          <w:szCs w:val="22"/>
          <w:lang w:val="en-GB"/>
        </w:rPr>
        <w:t>art of improvisation and a diversity of genres.</w:t>
      </w:r>
    </w:p>
    <w:p w14:paraId="6F0263BE" w14:textId="223A7165" w:rsidR="00310681" w:rsidRPr="00FC72ED" w:rsidRDefault="00310681" w:rsidP="00310681">
      <w:pPr>
        <w:pStyle w:val="Marge"/>
        <w:numPr>
          <w:ilvl w:val="0"/>
          <w:numId w:val="17"/>
        </w:numPr>
        <w:tabs>
          <w:tab w:val="clear" w:pos="567"/>
        </w:tabs>
        <w:autoSpaceDE w:val="0"/>
        <w:autoSpaceDN w:val="0"/>
        <w:adjustRightInd w:val="0"/>
        <w:spacing w:after="120"/>
        <w:ind w:left="567" w:hanging="567"/>
        <w:rPr>
          <w:szCs w:val="22"/>
          <w:lang w:val="en-GB"/>
        </w:rPr>
      </w:pPr>
      <w:r w:rsidRPr="00FC72ED">
        <w:rPr>
          <w:b/>
          <w:bCs/>
          <w:szCs w:val="22"/>
          <w:lang w:val="en-GB"/>
        </w:rPr>
        <w:t>Efforts to promote or reinforce the element</w:t>
      </w:r>
      <w:r w:rsidR="002313F1" w:rsidRPr="00FC72ED">
        <w:rPr>
          <w:b/>
          <w:bCs/>
          <w:szCs w:val="22"/>
          <w:lang w:val="en-GB"/>
        </w:rPr>
        <w:t>.</w:t>
      </w:r>
      <w:r w:rsidRPr="00FC72ED">
        <w:rPr>
          <w:szCs w:val="22"/>
          <w:lang w:val="en-GB"/>
        </w:rPr>
        <w:t xml:space="preserve"> </w:t>
      </w:r>
      <w:r w:rsidRPr="00FC72ED">
        <w:rPr>
          <w:rFonts w:cs="Arial"/>
          <w:szCs w:val="22"/>
          <w:lang w:val="en-GB"/>
        </w:rPr>
        <w:t xml:space="preserve">The support for the Old-Believers’ culture is integrated in the cultural policy of the Republic of Buryatia, and </w:t>
      </w:r>
      <w:r w:rsidR="00772125" w:rsidRPr="00FC72ED">
        <w:rPr>
          <w:rFonts w:cs="Arial"/>
          <w:szCs w:val="22"/>
          <w:lang w:val="en-GB"/>
        </w:rPr>
        <w:t xml:space="preserve">the important </w:t>
      </w:r>
      <w:r w:rsidRPr="00FC72ED">
        <w:rPr>
          <w:szCs w:val="22"/>
          <w:lang w:val="en-GB"/>
        </w:rPr>
        <w:t xml:space="preserve">events and celebrations of </w:t>
      </w:r>
      <w:r w:rsidRPr="00FC72ED">
        <w:rPr>
          <w:rFonts w:cs="Arial"/>
          <w:szCs w:val="22"/>
          <w:lang w:val="en-GB"/>
        </w:rPr>
        <w:t xml:space="preserve">Transbaikalian Old-Believers are given an official status, their celebration being financed </w:t>
      </w:r>
      <w:r w:rsidR="00CA6629" w:rsidRPr="00FC72ED">
        <w:rPr>
          <w:rFonts w:cs="Arial"/>
          <w:szCs w:val="22"/>
          <w:lang w:val="en-GB"/>
        </w:rPr>
        <w:t xml:space="preserve">by </w:t>
      </w:r>
      <w:r w:rsidRPr="00FC72ED">
        <w:rPr>
          <w:rFonts w:cs="Arial"/>
          <w:szCs w:val="22"/>
          <w:lang w:val="en-GB"/>
        </w:rPr>
        <w:t>the national budget. Several governmental and municipal institutions are engaged in the safeguarding of the element. For example, the Republic Center of Folk Arts provides methodological consultations for the heads of folklore groups and organizes creative workshops and exhibitions of folk arts and crafts. New publications are issued on the Semeiskie culture, and methodical materials developed for preschool education. Opportunities to learn local crafts are provided to children, as part of non-formal education.</w:t>
      </w:r>
      <w:r w:rsidRPr="00FC72ED">
        <w:rPr>
          <w:szCs w:val="22"/>
          <w:lang w:val="en-GB"/>
        </w:rPr>
        <w:t xml:space="preserve"> </w:t>
      </w:r>
      <w:r w:rsidRPr="00FC72ED">
        <w:rPr>
          <w:rFonts w:cs="Arial"/>
          <w:szCs w:val="22"/>
          <w:lang w:val="en-GB"/>
        </w:rPr>
        <w:t xml:space="preserve">Collections of Old-Believers’ icons, manuscripts and ethnographic items are </w:t>
      </w:r>
      <w:r w:rsidR="00B6492E" w:rsidRPr="00FC72ED">
        <w:rPr>
          <w:rFonts w:cs="Arial"/>
          <w:szCs w:val="22"/>
          <w:lang w:val="en-GB"/>
        </w:rPr>
        <w:t>well preserved</w:t>
      </w:r>
      <w:r w:rsidRPr="00FC72ED">
        <w:rPr>
          <w:rFonts w:cs="Arial"/>
          <w:szCs w:val="22"/>
          <w:lang w:val="en-GB"/>
        </w:rPr>
        <w:t xml:space="preserve">, and </w:t>
      </w:r>
      <w:r w:rsidR="004B2A8B" w:rsidRPr="00FC72ED">
        <w:rPr>
          <w:rFonts w:cs="Arial"/>
          <w:szCs w:val="22"/>
          <w:lang w:val="en-GB"/>
        </w:rPr>
        <w:t xml:space="preserve">the </w:t>
      </w:r>
      <w:r w:rsidRPr="00FC72ED">
        <w:rPr>
          <w:rFonts w:cs="Arial"/>
          <w:szCs w:val="22"/>
          <w:lang w:val="en-GB"/>
        </w:rPr>
        <w:t xml:space="preserve">traditional dwelling recreated in the National Museum of the Republic of Buryatia and other municipal and manor museums, while the collection of Old-Believers’ book culture is being enriched in the rare books </w:t>
      </w:r>
      <w:r w:rsidR="00F6745C" w:rsidRPr="00FC72ED">
        <w:rPr>
          <w:rFonts w:cs="Arial"/>
          <w:szCs w:val="22"/>
          <w:lang w:val="en-GB"/>
        </w:rPr>
        <w:t>section</w:t>
      </w:r>
      <w:r w:rsidRPr="00FC72ED">
        <w:rPr>
          <w:rFonts w:cs="Arial"/>
          <w:szCs w:val="22"/>
          <w:lang w:val="en-GB"/>
        </w:rPr>
        <w:t xml:space="preserve"> of the National Library of the Republic of Buryatia. Reparation and restoration works are also undertaken in the temples, public gardens and the Russian Old-Believers’ Ethnographic Museum Complex of Transbaikalian Peoples, while tourist routes are being developed</w:t>
      </w:r>
      <w:r w:rsidR="00F6745C" w:rsidRPr="00FC72ED">
        <w:rPr>
          <w:rFonts w:cs="Arial"/>
          <w:szCs w:val="22"/>
          <w:lang w:val="en-GB"/>
        </w:rPr>
        <w:t xml:space="preserve"> for pilgrims</w:t>
      </w:r>
      <w:r w:rsidRPr="00FC72ED">
        <w:rPr>
          <w:rFonts w:cs="Arial"/>
          <w:szCs w:val="22"/>
          <w:lang w:val="en-GB"/>
        </w:rPr>
        <w:t>.</w:t>
      </w:r>
    </w:p>
    <w:p w14:paraId="49B95BC5" w14:textId="7A2AA910" w:rsidR="00310681" w:rsidRPr="00FC72ED" w:rsidRDefault="00310681" w:rsidP="00310681">
      <w:pPr>
        <w:pStyle w:val="Marge"/>
        <w:numPr>
          <w:ilvl w:val="0"/>
          <w:numId w:val="17"/>
        </w:numPr>
        <w:tabs>
          <w:tab w:val="clear" w:pos="567"/>
        </w:tabs>
        <w:autoSpaceDE w:val="0"/>
        <w:autoSpaceDN w:val="0"/>
        <w:adjustRightInd w:val="0"/>
        <w:spacing w:after="120"/>
        <w:ind w:left="567" w:hanging="567"/>
        <w:rPr>
          <w:bCs/>
          <w:szCs w:val="22"/>
          <w:lang w:val="en-GB"/>
        </w:rPr>
      </w:pPr>
      <w:r w:rsidRPr="00FC72ED">
        <w:rPr>
          <w:b/>
          <w:bCs/>
          <w:szCs w:val="22"/>
          <w:lang w:val="en-GB"/>
        </w:rPr>
        <w:t>Community participation</w:t>
      </w:r>
      <w:r w:rsidRPr="00FC72ED">
        <w:rPr>
          <w:bCs/>
          <w:szCs w:val="22"/>
          <w:lang w:val="en-GB"/>
        </w:rPr>
        <w:t xml:space="preserve">. There are about 200,000 people who identify as belonging to Semeiskie living in the territory of Buryatia, which is more than 20% of its population. Communities of Old-Believers are also present outside the Republic </w:t>
      </w:r>
      <w:r w:rsidRPr="00FC72ED">
        <w:rPr>
          <w:rFonts w:cs="Arial"/>
          <w:szCs w:val="22"/>
          <w:lang w:val="en-GB"/>
        </w:rPr>
        <w:t>of Buryatia</w:t>
      </w:r>
      <w:r w:rsidRPr="00FC72ED">
        <w:rPr>
          <w:bCs/>
          <w:szCs w:val="22"/>
          <w:lang w:val="en-GB"/>
        </w:rPr>
        <w:t xml:space="preserve"> in the Russian Federation, as well as in Europe and other regions. As reported, Semeiskie folklore groups, masters of arts and crafts, public activists and scientists are making considerate contribution</w:t>
      </w:r>
      <w:r w:rsidR="00CA6629" w:rsidRPr="00FC72ED">
        <w:rPr>
          <w:bCs/>
          <w:szCs w:val="22"/>
          <w:lang w:val="en-GB"/>
        </w:rPr>
        <w:t>s</w:t>
      </w:r>
      <w:r w:rsidRPr="00FC72ED">
        <w:rPr>
          <w:bCs/>
          <w:szCs w:val="22"/>
          <w:lang w:val="en-GB"/>
        </w:rPr>
        <w:t xml:space="preserve"> to the safeguarding of the element. Altogether, there are </w:t>
      </w:r>
      <w:r w:rsidR="00CA6629" w:rsidRPr="00FC72ED">
        <w:rPr>
          <w:bCs/>
          <w:szCs w:val="22"/>
          <w:lang w:val="en-GB"/>
        </w:rPr>
        <w:t xml:space="preserve">forty-three </w:t>
      </w:r>
      <w:r w:rsidRPr="00FC72ED">
        <w:rPr>
          <w:bCs/>
          <w:szCs w:val="22"/>
          <w:lang w:val="en-GB"/>
        </w:rPr>
        <w:t xml:space="preserve">creative groups, including </w:t>
      </w:r>
      <w:r w:rsidR="00CA6629" w:rsidRPr="00FC72ED">
        <w:rPr>
          <w:bCs/>
          <w:szCs w:val="22"/>
          <w:lang w:val="en-GB"/>
        </w:rPr>
        <w:t xml:space="preserve">sixteen </w:t>
      </w:r>
      <w:r w:rsidRPr="00FC72ED">
        <w:rPr>
          <w:bCs/>
          <w:szCs w:val="22"/>
          <w:lang w:val="en-GB"/>
        </w:rPr>
        <w:t>children</w:t>
      </w:r>
      <w:r w:rsidR="00CA6629" w:rsidRPr="00FC72ED">
        <w:rPr>
          <w:bCs/>
          <w:szCs w:val="22"/>
          <w:lang w:val="en-GB"/>
        </w:rPr>
        <w:t>’s</w:t>
      </w:r>
      <w:r w:rsidRPr="00FC72ED">
        <w:rPr>
          <w:bCs/>
          <w:szCs w:val="22"/>
          <w:lang w:val="en-GB"/>
        </w:rPr>
        <w:t xml:space="preserve"> groups, safeguard</w:t>
      </w:r>
      <w:r w:rsidR="00CA6629" w:rsidRPr="00FC72ED">
        <w:rPr>
          <w:bCs/>
          <w:szCs w:val="22"/>
          <w:lang w:val="en-GB"/>
        </w:rPr>
        <w:t>ing</w:t>
      </w:r>
      <w:r w:rsidRPr="00FC72ED">
        <w:rPr>
          <w:bCs/>
          <w:szCs w:val="22"/>
          <w:lang w:val="en-GB"/>
        </w:rPr>
        <w:t xml:space="preserve"> Semeiskie culture in Buryatia. </w:t>
      </w:r>
      <w:r w:rsidR="00CA6629" w:rsidRPr="00FC72ED">
        <w:rPr>
          <w:bCs/>
          <w:szCs w:val="22"/>
          <w:lang w:val="en-GB"/>
        </w:rPr>
        <w:t>Furthermore, s</w:t>
      </w:r>
      <w:r w:rsidRPr="00FC72ED">
        <w:rPr>
          <w:bCs/>
          <w:szCs w:val="22"/>
          <w:lang w:val="en-GB"/>
        </w:rPr>
        <w:t>everal culture societies</w:t>
      </w:r>
      <w:r w:rsidR="00CA6629" w:rsidRPr="00FC72ED">
        <w:rPr>
          <w:bCs/>
          <w:szCs w:val="22"/>
          <w:lang w:val="en-GB"/>
        </w:rPr>
        <w:t xml:space="preserve"> and</w:t>
      </w:r>
      <w:r w:rsidRPr="00FC72ED">
        <w:rPr>
          <w:bCs/>
          <w:szCs w:val="22"/>
          <w:lang w:val="en-GB"/>
        </w:rPr>
        <w:t xml:space="preserve"> educational and research institutions operate to safeguard the element. Representatives of cultural institutions of municipalities and public organizations also participated in the preparation of the report.</w:t>
      </w:r>
    </w:p>
    <w:p w14:paraId="67027632" w14:textId="02F140B6" w:rsidR="00310681" w:rsidRPr="00FC72ED" w:rsidRDefault="00310681" w:rsidP="00F95F28">
      <w:pPr>
        <w:pStyle w:val="formtext"/>
        <w:numPr>
          <w:ilvl w:val="0"/>
          <w:numId w:val="17"/>
        </w:numPr>
        <w:spacing w:before="0" w:after="120" w:line="240" w:lineRule="auto"/>
        <w:ind w:left="567" w:hanging="567"/>
        <w:jc w:val="both"/>
        <w:rPr>
          <w:rFonts w:eastAsiaTheme="minorHAnsi" w:cs="Arial"/>
          <w:lang w:val="en-GB" w:eastAsia="en-US"/>
        </w:rPr>
      </w:pPr>
      <w:r w:rsidRPr="00FC72ED">
        <w:rPr>
          <w:b/>
          <w:bCs/>
          <w:lang w:val="en-GB"/>
        </w:rPr>
        <w:t>Viability of the element</w:t>
      </w:r>
      <w:r w:rsidRPr="00FC72ED">
        <w:rPr>
          <w:bCs/>
          <w:lang w:val="en-GB"/>
        </w:rPr>
        <w:t>.</w:t>
      </w:r>
      <w:r w:rsidRPr="00FC72ED">
        <w:rPr>
          <w:lang w:val="en-GB"/>
        </w:rPr>
        <w:t xml:space="preserve"> The government</w:t>
      </w:r>
      <w:r w:rsidRPr="00FC72ED">
        <w:rPr>
          <w:rFonts w:cs="Arial"/>
          <w:lang w:val="en-GB"/>
        </w:rPr>
        <w:t xml:space="preserve"> supports activities aimed at safeguarding the element </w:t>
      </w:r>
      <w:r w:rsidR="00CA6629" w:rsidRPr="00FC72ED">
        <w:rPr>
          <w:rFonts w:cs="Arial"/>
          <w:lang w:val="en-GB"/>
        </w:rPr>
        <w:t xml:space="preserve">and </w:t>
      </w:r>
      <w:r w:rsidRPr="00FC72ED">
        <w:rPr>
          <w:rFonts w:cs="Arial"/>
          <w:lang w:val="en-GB"/>
        </w:rPr>
        <w:t xml:space="preserve">ensuring its viability. Semeiskie singing has gained wide popularity and recognition throughout the country, including through local and international </w:t>
      </w:r>
      <w:r w:rsidR="00CA6629" w:rsidRPr="00FC72ED">
        <w:rPr>
          <w:rFonts w:cs="Arial"/>
          <w:lang w:val="en-GB"/>
        </w:rPr>
        <w:t xml:space="preserve">folklore </w:t>
      </w:r>
      <w:r w:rsidRPr="00FC72ED">
        <w:rPr>
          <w:rFonts w:cs="Arial"/>
          <w:lang w:val="en-GB"/>
        </w:rPr>
        <w:t>festivals. However,</w:t>
      </w:r>
      <w:r w:rsidRPr="00FC72ED">
        <w:rPr>
          <w:lang w:val="en-GB"/>
        </w:rPr>
        <w:t xml:space="preserve"> continuous risks to the viability of the element persist, as </w:t>
      </w:r>
      <w:r w:rsidR="00CA6629" w:rsidRPr="00FC72ED">
        <w:rPr>
          <w:lang w:val="en-GB"/>
        </w:rPr>
        <w:t>indicated</w:t>
      </w:r>
      <w:r w:rsidRPr="00FC72ED">
        <w:rPr>
          <w:lang w:val="en-GB"/>
        </w:rPr>
        <w:t xml:space="preserve"> in the first report on the element, such as urbanization</w:t>
      </w:r>
      <w:r w:rsidR="00CA6629" w:rsidRPr="00FC72ED">
        <w:rPr>
          <w:lang w:val="en-GB"/>
        </w:rPr>
        <w:t>,</w:t>
      </w:r>
      <w:r w:rsidRPr="00FC72ED">
        <w:rPr>
          <w:lang w:val="en-GB"/>
        </w:rPr>
        <w:t xml:space="preserve"> globalization, the gradual disappearance of traditional way</w:t>
      </w:r>
      <w:r w:rsidR="00CA6629" w:rsidRPr="00FC72ED">
        <w:rPr>
          <w:lang w:val="en-GB"/>
        </w:rPr>
        <w:t>s</w:t>
      </w:r>
      <w:r w:rsidRPr="00FC72ED">
        <w:rPr>
          <w:lang w:val="en-GB"/>
        </w:rPr>
        <w:t xml:space="preserve"> of life, values and modes of transmitting the Semeiskie culture, the aging of bearers, the lack of knowledge </w:t>
      </w:r>
      <w:r w:rsidR="00CA6629" w:rsidRPr="00FC72ED">
        <w:rPr>
          <w:lang w:val="en-GB"/>
        </w:rPr>
        <w:t xml:space="preserve">of the Semeiskie traditions </w:t>
      </w:r>
      <w:r w:rsidRPr="00FC72ED">
        <w:rPr>
          <w:lang w:val="en-GB"/>
        </w:rPr>
        <w:t>among young people and children</w:t>
      </w:r>
      <w:r w:rsidR="00873BE7" w:rsidRPr="00FC72ED">
        <w:rPr>
          <w:lang w:val="en-GB"/>
        </w:rPr>
        <w:t xml:space="preserve">, </w:t>
      </w:r>
      <w:r w:rsidR="00CA6629" w:rsidRPr="00FC72ED">
        <w:rPr>
          <w:lang w:val="en-GB"/>
        </w:rPr>
        <w:t>and</w:t>
      </w:r>
      <w:r w:rsidR="00873BE7" w:rsidRPr="00FC72ED">
        <w:rPr>
          <w:lang w:val="en-GB"/>
        </w:rPr>
        <w:t xml:space="preserve"> the use of modern construction technologies that may lead to losing the particularities of Semeiskie architecture</w:t>
      </w:r>
      <w:r w:rsidRPr="00FC72ED">
        <w:rPr>
          <w:lang w:val="en-GB"/>
        </w:rPr>
        <w:t>. In response to these</w:t>
      </w:r>
      <w:r w:rsidR="00BD4AA7" w:rsidRPr="00FC72ED">
        <w:rPr>
          <w:lang w:val="en-GB"/>
        </w:rPr>
        <w:t xml:space="preserve"> challenges</w:t>
      </w:r>
      <w:r w:rsidRPr="00FC72ED">
        <w:rPr>
          <w:lang w:val="en-GB"/>
        </w:rPr>
        <w:t xml:space="preserve">, new approaches and measures are being considered for safeguarding the </w:t>
      </w:r>
      <w:r w:rsidR="00BD4AA7" w:rsidRPr="00FC72ED">
        <w:rPr>
          <w:lang w:val="en-GB"/>
        </w:rPr>
        <w:t>c</w:t>
      </w:r>
      <w:r w:rsidR="00BD4AA7" w:rsidRPr="00FC72ED">
        <w:rPr>
          <w:rFonts w:eastAsia="Calibri" w:cs="Arial"/>
          <w:lang w:val="en-GB"/>
        </w:rPr>
        <w:t>ultural space and oral culture of the Semeiskie</w:t>
      </w:r>
      <w:r w:rsidRPr="00FC72ED">
        <w:rPr>
          <w:lang w:val="en-GB"/>
        </w:rPr>
        <w:t>.</w:t>
      </w:r>
    </w:p>
    <w:p w14:paraId="647D5000" w14:textId="7C4C2DC0" w:rsidR="00310681" w:rsidRPr="00FC72ED" w:rsidRDefault="00310681" w:rsidP="00BF43B8">
      <w:pPr>
        <w:keepNext/>
        <w:spacing w:before="360" w:after="240" w:line="240" w:lineRule="exact"/>
        <w:rPr>
          <w:rFonts w:ascii="Arial" w:eastAsia="Calibri" w:hAnsi="Arial" w:cs="Arial"/>
          <w:b/>
          <w:bCs/>
          <w:sz w:val="22"/>
          <w:szCs w:val="22"/>
          <w:lang w:val="en-GB"/>
        </w:rPr>
      </w:pPr>
      <w:r w:rsidRPr="00FC72ED">
        <w:rPr>
          <w:rFonts w:ascii="Arial" w:eastAsia="Calibri" w:hAnsi="Arial" w:cs="Arial"/>
          <w:b/>
          <w:bCs/>
          <w:sz w:val="22"/>
          <w:szCs w:val="22"/>
          <w:lang w:val="en-GB"/>
        </w:rPr>
        <w:lastRenderedPageBreak/>
        <w:t>Olonkho, Yakut heroic epos</w:t>
      </w:r>
      <w:r w:rsidR="004E4A78" w:rsidRPr="00FC72ED">
        <w:rPr>
          <w:rFonts w:ascii="Arial" w:eastAsia="Calibri" w:hAnsi="Arial" w:cs="Arial"/>
          <w:b/>
          <w:bCs/>
          <w:sz w:val="22"/>
          <w:szCs w:val="22"/>
          <w:lang w:val="en-GB"/>
        </w:rPr>
        <w:t xml:space="preserve"> </w:t>
      </w:r>
      <w:r w:rsidR="00AE6297" w:rsidRPr="00FC72ED">
        <w:rPr>
          <w:rFonts w:ascii="Arial" w:eastAsia="Calibri" w:hAnsi="Arial" w:cs="Arial"/>
          <w:sz w:val="22"/>
          <w:szCs w:val="22"/>
          <w:lang w:val="en-GB"/>
        </w:rPr>
        <w:t>(2008)</w:t>
      </w:r>
    </w:p>
    <w:p w14:paraId="36730929" w14:textId="11842254" w:rsidR="00310681" w:rsidRPr="00FC72ED" w:rsidRDefault="00310681" w:rsidP="00310681">
      <w:pPr>
        <w:pStyle w:val="Marge"/>
        <w:numPr>
          <w:ilvl w:val="0"/>
          <w:numId w:val="17"/>
        </w:numPr>
        <w:tabs>
          <w:tab w:val="clear" w:pos="567"/>
        </w:tabs>
        <w:autoSpaceDE w:val="0"/>
        <w:autoSpaceDN w:val="0"/>
        <w:adjustRightInd w:val="0"/>
        <w:spacing w:after="120"/>
        <w:ind w:left="567" w:hanging="567"/>
        <w:rPr>
          <w:rFonts w:cs="Arial"/>
          <w:szCs w:val="22"/>
          <w:lang w:val="en-GB"/>
        </w:rPr>
      </w:pPr>
      <w:r w:rsidRPr="00FC72ED">
        <w:rPr>
          <w:rFonts w:cs="Arial"/>
          <w:szCs w:val="22"/>
          <w:lang w:val="en-GB"/>
        </w:rPr>
        <w:t xml:space="preserve">The </w:t>
      </w:r>
      <w:r w:rsidRPr="00FC72ED">
        <w:rPr>
          <w:rFonts w:eastAsia="Calibri" w:cs="Arial"/>
          <w:szCs w:val="22"/>
          <w:lang w:val="en-GB"/>
        </w:rPr>
        <w:t xml:space="preserve">Olonkho, Yakut heroic epos is an expression of intangible cultural heritage of the Turkic-Mongolian people in the </w:t>
      </w:r>
      <w:r w:rsidRPr="00FC72ED">
        <w:rPr>
          <w:szCs w:val="22"/>
          <w:lang w:val="en-GB"/>
        </w:rPr>
        <w:t>Republic of Sakha. It reflects oral chronicles and serves as the repository of historical memory.</w:t>
      </w:r>
      <w:r w:rsidRPr="00FC72ED">
        <w:rPr>
          <w:rFonts w:eastAsia="Calibri" w:cs="Arial"/>
          <w:szCs w:val="22"/>
          <w:lang w:val="en-GB"/>
        </w:rPr>
        <w:t xml:space="preserve"> The Olonkho is an ancient tradition of performing poetic tales that </w:t>
      </w:r>
      <w:r w:rsidR="00A553EA" w:rsidRPr="00FC72ED">
        <w:rPr>
          <w:rFonts w:eastAsia="Calibri" w:cs="Arial"/>
          <w:szCs w:val="22"/>
          <w:lang w:val="en-GB"/>
        </w:rPr>
        <w:t xml:space="preserve">range </w:t>
      </w:r>
      <w:r w:rsidRPr="00FC72ED">
        <w:rPr>
          <w:rFonts w:eastAsia="Calibri" w:cs="Arial"/>
          <w:szCs w:val="22"/>
          <w:lang w:val="en-GB"/>
        </w:rPr>
        <w:t xml:space="preserve">from </w:t>
      </w:r>
      <w:r w:rsidR="00A553EA" w:rsidRPr="00FC72ED">
        <w:rPr>
          <w:rFonts w:eastAsia="Calibri" w:cs="Arial"/>
          <w:szCs w:val="22"/>
          <w:lang w:val="en-GB"/>
        </w:rPr>
        <w:t xml:space="preserve">ten </w:t>
      </w:r>
      <w:r w:rsidRPr="00FC72ED">
        <w:rPr>
          <w:rFonts w:eastAsia="Calibri" w:cs="Arial"/>
          <w:szCs w:val="22"/>
          <w:lang w:val="en-GB"/>
        </w:rPr>
        <w:t>to 15,000 verses in length. It is performed by a</w:t>
      </w:r>
      <w:r w:rsidR="00A553EA" w:rsidRPr="00FC72ED">
        <w:rPr>
          <w:rFonts w:eastAsia="Calibri" w:cs="Arial"/>
          <w:szCs w:val="22"/>
          <w:lang w:val="en-GB"/>
        </w:rPr>
        <w:t>n</w:t>
      </w:r>
      <w:r w:rsidRPr="00FC72ED">
        <w:rPr>
          <w:rFonts w:eastAsia="Calibri" w:cs="Arial"/>
          <w:szCs w:val="22"/>
          <w:lang w:val="en-GB"/>
        </w:rPr>
        <w:t xml:space="preserve"> Olonkho singer and </w:t>
      </w:r>
      <w:r w:rsidR="00C0593F" w:rsidRPr="00FC72ED">
        <w:rPr>
          <w:rFonts w:eastAsia="Calibri" w:cs="Arial"/>
          <w:szCs w:val="22"/>
          <w:lang w:val="en-GB"/>
        </w:rPr>
        <w:t>storyteller</w:t>
      </w:r>
      <w:r w:rsidRPr="00FC72ED">
        <w:rPr>
          <w:rFonts w:eastAsia="Calibri" w:cs="Arial"/>
          <w:szCs w:val="22"/>
          <w:lang w:val="en-GB"/>
        </w:rPr>
        <w:t xml:space="preserve"> who is master of eloquence and poetic improvisation, and encompasses numerous versions, traditionally transmitted in the family context for entertainment and education.</w:t>
      </w:r>
    </w:p>
    <w:p w14:paraId="763338B7" w14:textId="0E52AD72" w:rsidR="00310681" w:rsidRPr="00FC72ED" w:rsidRDefault="00310681" w:rsidP="00CE3205">
      <w:pPr>
        <w:pStyle w:val="Marge"/>
        <w:numPr>
          <w:ilvl w:val="0"/>
          <w:numId w:val="17"/>
        </w:numPr>
        <w:tabs>
          <w:tab w:val="clear" w:pos="567"/>
        </w:tabs>
        <w:autoSpaceDE w:val="0"/>
        <w:autoSpaceDN w:val="0"/>
        <w:adjustRightInd w:val="0"/>
        <w:spacing w:after="120"/>
        <w:ind w:left="567" w:hanging="567"/>
        <w:rPr>
          <w:szCs w:val="22"/>
          <w:lang w:val="en-GB"/>
        </w:rPr>
      </w:pPr>
      <w:r w:rsidRPr="00FC72ED">
        <w:rPr>
          <w:b/>
          <w:bCs/>
          <w:szCs w:val="22"/>
          <w:lang w:val="en-GB"/>
        </w:rPr>
        <w:t>Efforts to promote or reinforce the element</w:t>
      </w:r>
      <w:r w:rsidRPr="00FC72ED">
        <w:rPr>
          <w:bCs/>
          <w:szCs w:val="22"/>
          <w:lang w:val="en-GB"/>
        </w:rPr>
        <w:t>.</w:t>
      </w:r>
      <w:r w:rsidRPr="00FC72ED">
        <w:rPr>
          <w:szCs w:val="22"/>
          <w:lang w:val="en-GB"/>
        </w:rPr>
        <w:t xml:space="preserve"> While certain state programmes for the safeguarding of the element, which have been implemented since the previous reporting period, have </w:t>
      </w:r>
      <w:r w:rsidR="00CE3205" w:rsidRPr="00FC72ED">
        <w:rPr>
          <w:szCs w:val="22"/>
          <w:lang w:val="en-GB"/>
        </w:rPr>
        <w:t>been stopped</w:t>
      </w:r>
      <w:r w:rsidRPr="00FC72ED">
        <w:rPr>
          <w:szCs w:val="22"/>
          <w:lang w:val="en-GB"/>
        </w:rPr>
        <w:t>, the Day of Olonkho is celebrated annually and the second Republican Decade of Olonkho (2016</w:t>
      </w:r>
      <w:r w:rsidRPr="00FC72ED">
        <w:rPr>
          <w:bCs/>
          <w:szCs w:val="22"/>
          <w:lang w:val="en-GB"/>
        </w:rPr>
        <w:t>–</w:t>
      </w:r>
      <w:r w:rsidRPr="00FC72ED">
        <w:rPr>
          <w:szCs w:val="22"/>
          <w:lang w:val="en-GB"/>
        </w:rPr>
        <w:t xml:space="preserve">25) is </w:t>
      </w:r>
      <w:r w:rsidR="00CE3205" w:rsidRPr="00FC72ED">
        <w:rPr>
          <w:szCs w:val="22"/>
          <w:lang w:val="en-GB"/>
        </w:rPr>
        <w:t xml:space="preserve">currently </w:t>
      </w:r>
      <w:r w:rsidRPr="00FC72ED">
        <w:rPr>
          <w:szCs w:val="22"/>
          <w:lang w:val="en-GB"/>
        </w:rPr>
        <w:t xml:space="preserve">being implemented. The element has been popularized at </w:t>
      </w:r>
      <w:r w:rsidR="00A553EA" w:rsidRPr="00FC72ED">
        <w:rPr>
          <w:szCs w:val="22"/>
          <w:lang w:val="en-GB"/>
        </w:rPr>
        <w:t xml:space="preserve">traditional </w:t>
      </w:r>
      <w:r w:rsidRPr="00FC72ED">
        <w:rPr>
          <w:szCs w:val="22"/>
          <w:lang w:val="en-GB"/>
        </w:rPr>
        <w:t>annual festivals, at the national and international levels</w:t>
      </w:r>
      <w:r w:rsidR="00A553EA" w:rsidRPr="00FC72ED">
        <w:rPr>
          <w:szCs w:val="22"/>
          <w:lang w:val="en-GB"/>
        </w:rPr>
        <w:t>.</w:t>
      </w:r>
      <w:r w:rsidRPr="00FC72ED">
        <w:rPr>
          <w:szCs w:val="22"/>
          <w:lang w:val="en-GB"/>
        </w:rPr>
        <w:t xml:space="preserve"> </w:t>
      </w:r>
      <w:r w:rsidR="00A553EA" w:rsidRPr="00FC72ED">
        <w:rPr>
          <w:szCs w:val="22"/>
          <w:lang w:val="en-GB"/>
        </w:rPr>
        <w:t>Every year,</w:t>
      </w:r>
      <w:r w:rsidRPr="00FC72ED">
        <w:rPr>
          <w:szCs w:val="22"/>
          <w:lang w:val="en-GB"/>
        </w:rPr>
        <w:t xml:space="preserve"> competitions f</w:t>
      </w:r>
      <w:r w:rsidR="00CE3205" w:rsidRPr="00FC72ED">
        <w:rPr>
          <w:szCs w:val="22"/>
          <w:lang w:val="en-GB"/>
        </w:rPr>
        <w:t>or</w:t>
      </w:r>
      <w:r w:rsidRPr="00FC72ED">
        <w:rPr>
          <w:szCs w:val="22"/>
          <w:lang w:val="en-GB"/>
        </w:rPr>
        <w:t xml:space="preserve"> storytellers and performers of various age</w:t>
      </w:r>
      <w:r w:rsidR="00A553EA" w:rsidRPr="00FC72ED">
        <w:rPr>
          <w:szCs w:val="22"/>
          <w:lang w:val="en-GB"/>
        </w:rPr>
        <w:t>s</w:t>
      </w:r>
      <w:r w:rsidRPr="00FC72ED">
        <w:rPr>
          <w:szCs w:val="22"/>
          <w:lang w:val="en-GB"/>
        </w:rPr>
        <w:t xml:space="preserve"> are held, </w:t>
      </w:r>
      <w:r w:rsidR="00A553EA" w:rsidRPr="00FC72ED">
        <w:rPr>
          <w:szCs w:val="22"/>
          <w:lang w:val="en-GB"/>
        </w:rPr>
        <w:t xml:space="preserve">recognition </w:t>
      </w:r>
      <w:r w:rsidRPr="00FC72ED">
        <w:rPr>
          <w:szCs w:val="22"/>
          <w:lang w:val="en-GB"/>
        </w:rPr>
        <w:t xml:space="preserve">titles </w:t>
      </w:r>
      <w:r w:rsidR="00A553EA" w:rsidRPr="00FC72ED">
        <w:rPr>
          <w:szCs w:val="22"/>
          <w:lang w:val="en-GB"/>
        </w:rPr>
        <w:t>are</w:t>
      </w:r>
      <w:r w:rsidRPr="00FC72ED">
        <w:rPr>
          <w:szCs w:val="22"/>
          <w:lang w:val="en-GB"/>
        </w:rPr>
        <w:t xml:space="preserve"> granted to renowned Storytellers-Olonkhosuts, and awards</w:t>
      </w:r>
      <w:r w:rsidR="00A553EA" w:rsidRPr="00FC72ED">
        <w:rPr>
          <w:szCs w:val="22"/>
          <w:lang w:val="en-GB"/>
        </w:rPr>
        <w:t xml:space="preserve"> are given to the</w:t>
      </w:r>
      <w:r w:rsidRPr="00FC72ED">
        <w:rPr>
          <w:szCs w:val="22"/>
          <w:lang w:val="en-GB"/>
        </w:rPr>
        <w:t xml:space="preserve"> best performers, popularizers and </w:t>
      </w:r>
      <w:r w:rsidR="00854DD5" w:rsidRPr="00FC72ED">
        <w:rPr>
          <w:szCs w:val="22"/>
          <w:lang w:val="en-GB"/>
        </w:rPr>
        <w:t>masters-</w:t>
      </w:r>
      <w:r w:rsidRPr="00FC72ED">
        <w:rPr>
          <w:szCs w:val="22"/>
          <w:lang w:val="en-GB"/>
        </w:rPr>
        <w:t>educators. The traditional material aspects of the element for stage design, such as costumes and character masks, are maintained as part of Olonkho performances. The revival of traditional oral storytelling of Olonkho was enhanced through oral performance</w:t>
      </w:r>
      <w:r w:rsidR="00A553EA" w:rsidRPr="00FC72ED">
        <w:rPr>
          <w:szCs w:val="22"/>
          <w:lang w:val="en-GB"/>
        </w:rPr>
        <w:t xml:space="preserve"> schools</w:t>
      </w:r>
      <w:r w:rsidRPr="00FC72ED">
        <w:rPr>
          <w:szCs w:val="22"/>
          <w:lang w:val="en-GB"/>
        </w:rPr>
        <w:t xml:space="preserve">, children’s camps and individual and studio-based apprenticeships for adults and young people. Educational and methodological kits on Olonkho texts have been created and the element </w:t>
      </w:r>
      <w:r w:rsidR="00A553EA" w:rsidRPr="00FC72ED">
        <w:rPr>
          <w:szCs w:val="22"/>
          <w:lang w:val="en-GB"/>
        </w:rPr>
        <w:t xml:space="preserve">has been </w:t>
      </w:r>
      <w:r w:rsidRPr="00FC72ED">
        <w:rPr>
          <w:szCs w:val="22"/>
          <w:lang w:val="en-GB"/>
        </w:rPr>
        <w:t>integrated in education at various levels, from kindergarten to university. The texts of the epos have been published for the general public and translated for foreign audience</w:t>
      </w:r>
      <w:r w:rsidR="00A553EA" w:rsidRPr="00FC72ED">
        <w:rPr>
          <w:szCs w:val="22"/>
          <w:lang w:val="en-GB"/>
        </w:rPr>
        <w:t>s</w:t>
      </w:r>
      <w:r w:rsidRPr="00FC72ED">
        <w:rPr>
          <w:szCs w:val="22"/>
          <w:lang w:val="en-GB"/>
        </w:rPr>
        <w:t xml:space="preserve">. Seminars, training courses, master classes, forums and conferences have been systematically organized. Non-traditional ways for transmitting the epos have also continued, as mentioned in the first report, </w:t>
      </w:r>
      <w:r w:rsidR="00CE3205" w:rsidRPr="00FC72ED">
        <w:rPr>
          <w:szCs w:val="22"/>
          <w:lang w:val="en-GB"/>
        </w:rPr>
        <w:t>through</w:t>
      </w:r>
      <w:r w:rsidRPr="00FC72ED">
        <w:rPr>
          <w:szCs w:val="22"/>
          <w:lang w:val="en-GB"/>
        </w:rPr>
        <w:t xml:space="preserve"> animated films for children, computer games, puppet shows and performances at theat</w:t>
      </w:r>
      <w:r w:rsidR="00A553EA" w:rsidRPr="00FC72ED">
        <w:rPr>
          <w:szCs w:val="22"/>
          <w:lang w:val="en-GB"/>
        </w:rPr>
        <w:t>r</w:t>
      </w:r>
      <w:r w:rsidRPr="00FC72ED">
        <w:rPr>
          <w:szCs w:val="22"/>
          <w:lang w:val="en-GB"/>
        </w:rPr>
        <w:t>es. Awareness has been raised about the element at regional, federal and international levels</w:t>
      </w:r>
      <w:r w:rsidRPr="00FC72ED" w:rsidDel="004F42F0">
        <w:rPr>
          <w:szCs w:val="22"/>
          <w:lang w:val="en-GB"/>
        </w:rPr>
        <w:t xml:space="preserve"> </w:t>
      </w:r>
      <w:r w:rsidRPr="00FC72ED">
        <w:rPr>
          <w:szCs w:val="22"/>
          <w:lang w:val="en-GB"/>
        </w:rPr>
        <w:t>and social media networks have also been used by groups interested in the element. In addition, the integration of the element in the fields of creative economy, as well as its branding, is currently being considered.</w:t>
      </w:r>
    </w:p>
    <w:p w14:paraId="2613C7FB" w14:textId="54048687" w:rsidR="00310681" w:rsidRPr="00FC72ED" w:rsidRDefault="00310681" w:rsidP="00310681">
      <w:pPr>
        <w:pStyle w:val="Marge"/>
        <w:numPr>
          <w:ilvl w:val="0"/>
          <w:numId w:val="17"/>
        </w:numPr>
        <w:tabs>
          <w:tab w:val="clear" w:pos="567"/>
        </w:tabs>
        <w:autoSpaceDE w:val="0"/>
        <w:autoSpaceDN w:val="0"/>
        <w:adjustRightInd w:val="0"/>
        <w:spacing w:after="120"/>
        <w:ind w:left="567" w:hanging="567"/>
        <w:rPr>
          <w:bCs/>
          <w:szCs w:val="22"/>
          <w:lang w:val="en-GB"/>
        </w:rPr>
      </w:pPr>
      <w:r w:rsidRPr="00FC72ED">
        <w:rPr>
          <w:b/>
          <w:bCs/>
          <w:szCs w:val="22"/>
          <w:lang w:val="en-GB"/>
        </w:rPr>
        <w:t>Community participation</w:t>
      </w:r>
      <w:r w:rsidRPr="00FC72ED">
        <w:rPr>
          <w:bCs/>
          <w:szCs w:val="22"/>
          <w:lang w:val="en-GB"/>
        </w:rPr>
        <w:t xml:space="preserve">. The inscription of the element has generated widespread interest and enthusiasm among the local population, and many </w:t>
      </w:r>
      <w:r w:rsidR="00804A66" w:rsidRPr="00FC72ED">
        <w:rPr>
          <w:bCs/>
          <w:szCs w:val="22"/>
          <w:lang w:val="en-GB"/>
        </w:rPr>
        <w:t xml:space="preserve">safeguarding </w:t>
      </w:r>
      <w:r w:rsidRPr="00FC72ED">
        <w:rPr>
          <w:bCs/>
          <w:szCs w:val="22"/>
          <w:lang w:val="en-GB"/>
        </w:rPr>
        <w:t xml:space="preserve">initiatives have been undertaken. For example, local communities have engaged in </w:t>
      </w:r>
      <w:r w:rsidR="005771F2" w:rsidRPr="00FC72ED">
        <w:rPr>
          <w:bCs/>
          <w:szCs w:val="22"/>
          <w:lang w:val="en-GB"/>
        </w:rPr>
        <w:t xml:space="preserve">the </w:t>
      </w:r>
      <w:r w:rsidRPr="00FC72ED">
        <w:rPr>
          <w:bCs/>
          <w:szCs w:val="22"/>
          <w:lang w:val="en-GB"/>
        </w:rPr>
        <w:t xml:space="preserve">archival work on famous storytellers </w:t>
      </w:r>
      <w:r w:rsidR="00804A66" w:rsidRPr="00FC72ED">
        <w:rPr>
          <w:bCs/>
          <w:szCs w:val="22"/>
          <w:lang w:val="en-GB"/>
        </w:rPr>
        <w:t xml:space="preserve">from </w:t>
      </w:r>
      <w:r w:rsidRPr="00FC72ED">
        <w:rPr>
          <w:bCs/>
          <w:szCs w:val="22"/>
          <w:lang w:val="en-GB"/>
        </w:rPr>
        <w:t xml:space="preserve">the past, and handwritten texts have been prepared for publication. Olonkho performances are particularly appreciated by the rural population. </w:t>
      </w:r>
      <w:r w:rsidR="00804A66" w:rsidRPr="00FC72ED">
        <w:rPr>
          <w:bCs/>
          <w:szCs w:val="22"/>
          <w:lang w:val="en-GB"/>
        </w:rPr>
        <w:t xml:space="preserve">Ten </w:t>
      </w:r>
      <w:r w:rsidRPr="00FC72ED">
        <w:rPr>
          <w:bCs/>
          <w:szCs w:val="22"/>
          <w:lang w:val="en-GB"/>
        </w:rPr>
        <w:t>Olonkho Houses serve as cent</w:t>
      </w:r>
      <w:r w:rsidR="00804A66" w:rsidRPr="00FC72ED">
        <w:rPr>
          <w:bCs/>
          <w:szCs w:val="22"/>
          <w:lang w:val="en-GB"/>
        </w:rPr>
        <w:t>r</w:t>
      </w:r>
      <w:r w:rsidRPr="00FC72ED">
        <w:rPr>
          <w:bCs/>
          <w:szCs w:val="22"/>
          <w:lang w:val="en-GB"/>
        </w:rPr>
        <w:t xml:space="preserve">es for safeguarding the element, yet their number has slightly diminished, compared to the </w:t>
      </w:r>
      <w:r w:rsidR="00804A66" w:rsidRPr="00FC72ED">
        <w:rPr>
          <w:bCs/>
          <w:szCs w:val="22"/>
          <w:lang w:val="en-GB"/>
        </w:rPr>
        <w:t xml:space="preserve">thirteen </w:t>
      </w:r>
      <w:r w:rsidRPr="00FC72ED">
        <w:rPr>
          <w:bCs/>
          <w:szCs w:val="22"/>
          <w:lang w:val="en-GB"/>
        </w:rPr>
        <w:t xml:space="preserve">such spaces built by municipalities and local communities </w:t>
      </w:r>
      <w:r w:rsidR="005771F2" w:rsidRPr="00FC72ED">
        <w:rPr>
          <w:bCs/>
          <w:szCs w:val="22"/>
          <w:lang w:val="en-GB"/>
        </w:rPr>
        <w:t>as</w:t>
      </w:r>
      <w:r w:rsidRPr="00FC72ED">
        <w:rPr>
          <w:bCs/>
          <w:szCs w:val="22"/>
          <w:lang w:val="en-GB"/>
        </w:rPr>
        <w:t xml:space="preserve"> reported previously. Altogether, there are </w:t>
      </w:r>
      <w:r w:rsidR="00804A66" w:rsidRPr="00FC72ED">
        <w:rPr>
          <w:bCs/>
          <w:szCs w:val="22"/>
          <w:lang w:val="en-GB"/>
        </w:rPr>
        <w:t xml:space="preserve">forty-nine </w:t>
      </w:r>
      <w:r w:rsidRPr="00FC72ED">
        <w:rPr>
          <w:bCs/>
          <w:szCs w:val="22"/>
          <w:lang w:val="en-GB"/>
        </w:rPr>
        <w:t>folk theat</w:t>
      </w:r>
      <w:r w:rsidR="00804A66" w:rsidRPr="00FC72ED">
        <w:rPr>
          <w:bCs/>
          <w:szCs w:val="22"/>
          <w:lang w:val="en-GB"/>
        </w:rPr>
        <w:t>r</w:t>
      </w:r>
      <w:r w:rsidRPr="00FC72ED">
        <w:rPr>
          <w:bCs/>
          <w:szCs w:val="22"/>
          <w:lang w:val="en-GB"/>
        </w:rPr>
        <w:t xml:space="preserve">es, </w:t>
      </w:r>
      <w:r w:rsidR="00804A66" w:rsidRPr="00FC72ED">
        <w:rPr>
          <w:bCs/>
          <w:szCs w:val="22"/>
          <w:lang w:val="en-GB"/>
        </w:rPr>
        <w:t xml:space="preserve">thirty-five </w:t>
      </w:r>
      <w:r w:rsidRPr="00FC72ED">
        <w:rPr>
          <w:bCs/>
          <w:szCs w:val="22"/>
          <w:lang w:val="en-GB"/>
        </w:rPr>
        <w:t>dance</w:t>
      </w:r>
      <w:r w:rsidR="00804A66" w:rsidRPr="00FC72ED">
        <w:rPr>
          <w:bCs/>
          <w:szCs w:val="22"/>
          <w:lang w:val="en-GB"/>
        </w:rPr>
        <w:t xml:space="preserve"> groups</w:t>
      </w:r>
      <w:r w:rsidRPr="00FC72ED">
        <w:rPr>
          <w:bCs/>
          <w:szCs w:val="22"/>
          <w:lang w:val="en-GB"/>
        </w:rPr>
        <w:t xml:space="preserve"> and </w:t>
      </w:r>
      <w:r w:rsidR="00804A66" w:rsidRPr="00FC72ED">
        <w:rPr>
          <w:bCs/>
          <w:szCs w:val="22"/>
          <w:lang w:val="en-GB"/>
        </w:rPr>
        <w:t xml:space="preserve">forty-one </w:t>
      </w:r>
      <w:r w:rsidRPr="00FC72ED">
        <w:rPr>
          <w:bCs/>
          <w:szCs w:val="22"/>
          <w:lang w:val="en-GB"/>
        </w:rPr>
        <w:t xml:space="preserve">folklore groups who perform local Olonkho stories as part of their repertoire. As reported, female storytellers prevail in various safeguarding activities, </w:t>
      </w:r>
      <w:r w:rsidR="00471FF6" w:rsidRPr="00FC72ED">
        <w:rPr>
          <w:bCs/>
          <w:szCs w:val="22"/>
          <w:lang w:val="en-GB"/>
        </w:rPr>
        <w:t>even though</w:t>
      </w:r>
      <w:r w:rsidRPr="00FC72ED">
        <w:rPr>
          <w:bCs/>
          <w:szCs w:val="22"/>
          <w:lang w:val="en-GB"/>
        </w:rPr>
        <w:t xml:space="preserve"> storytellers were </w:t>
      </w:r>
      <w:r w:rsidR="00804A66" w:rsidRPr="00FC72ED">
        <w:rPr>
          <w:bCs/>
          <w:szCs w:val="22"/>
          <w:lang w:val="en-GB"/>
        </w:rPr>
        <w:t xml:space="preserve">traditionally </w:t>
      </w:r>
      <w:r w:rsidRPr="00FC72ED">
        <w:rPr>
          <w:bCs/>
          <w:szCs w:val="22"/>
          <w:lang w:val="en-GB"/>
        </w:rPr>
        <w:t>men. Four public organizations are taking part in the safeguarding of the element, involving storytellers of older generation</w:t>
      </w:r>
      <w:r w:rsidR="00804A66" w:rsidRPr="00FC72ED">
        <w:rPr>
          <w:bCs/>
          <w:szCs w:val="22"/>
          <w:lang w:val="en-GB"/>
        </w:rPr>
        <w:t>s</w:t>
      </w:r>
      <w:r w:rsidRPr="00FC72ED">
        <w:rPr>
          <w:bCs/>
          <w:szCs w:val="22"/>
          <w:lang w:val="en-GB"/>
        </w:rPr>
        <w:t>, masters-educators</w:t>
      </w:r>
      <w:r w:rsidR="00CA3383" w:rsidRPr="00FC72ED">
        <w:rPr>
          <w:bCs/>
          <w:szCs w:val="22"/>
          <w:lang w:val="en-GB"/>
        </w:rPr>
        <w:t xml:space="preserve"> and</w:t>
      </w:r>
      <w:r w:rsidRPr="00FC72ED">
        <w:rPr>
          <w:bCs/>
          <w:szCs w:val="22"/>
          <w:lang w:val="en-GB"/>
        </w:rPr>
        <w:t xml:space="preserve"> </w:t>
      </w:r>
      <w:r w:rsidR="00804A66" w:rsidRPr="00FC72ED">
        <w:rPr>
          <w:bCs/>
          <w:szCs w:val="22"/>
          <w:lang w:val="en-GB"/>
        </w:rPr>
        <w:t>sixty-three</w:t>
      </w:r>
      <w:r w:rsidRPr="00FC72ED">
        <w:rPr>
          <w:bCs/>
          <w:szCs w:val="22"/>
          <w:lang w:val="en-GB"/>
        </w:rPr>
        <w:t xml:space="preserve"> young Olonkho performers.</w:t>
      </w:r>
    </w:p>
    <w:p w14:paraId="52C1383A" w14:textId="458FCAAE" w:rsidR="00190205" w:rsidRPr="00FC72ED" w:rsidRDefault="00310681" w:rsidP="00F95F28">
      <w:pPr>
        <w:pStyle w:val="formtext"/>
        <w:numPr>
          <w:ilvl w:val="0"/>
          <w:numId w:val="17"/>
        </w:numPr>
        <w:spacing w:before="0" w:after="120" w:line="240" w:lineRule="auto"/>
        <w:ind w:left="567" w:hanging="567"/>
        <w:jc w:val="both"/>
        <w:rPr>
          <w:lang w:val="en-GB"/>
        </w:rPr>
      </w:pPr>
      <w:r w:rsidRPr="00FC72ED">
        <w:rPr>
          <w:b/>
          <w:bCs/>
          <w:lang w:val="en-GB"/>
        </w:rPr>
        <w:t>Viability of the element</w:t>
      </w:r>
      <w:r w:rsidRPr="00FC72ED">
        <w:rPr>
          <w:bCs/>
          <w:lang w:val="en-GB"/>
        </w:rPr>
        <w:t>.</w:t>
      </w:r>
      <w:r w:rsidRPr="00FC72ED">
        <w:rPr>
          <w:lang w:val="en-GB"/>
        </w:rPr>
        <w:t xml:space="preserve"> As reported, the element has been endangered since the mid-</w:t>
      </w:r>
      <w:r w:rsidR="00804A66" w:rsidRPr="00FC72ED">
        <w:rPr>
          <w:lang w:val="en-GB"/>
        </w:rPr>
        <w:t xml:space="preserve">twentieth </w:t>
      </w:r>
      <w:r w:rsidRPr="00FC72ED">
        <w:rPr>
          <w:lang w:val="en-GB"/>
        </w:rPr>
        <w:t>century, due to</w:t>
      </w:r>
      <w:r w:rsidR="00F849D8" w:rsidRPr="00FC72ED">
        <w:rPr>
          <w:lang w:val="en-GB"/>
        </w:rPr>
        <w:t xml:space="preserve"> the</w:t>
      </w:r>
      <w:r w:rsidRPr="00FC72ED">
        <w:rPr>
          <w:lang w:val="en-GB"/>
        </w:rPr>
        <w:t xml:space="preserve"> bilingualism </w:t>
      </w:r>
      <w:r w:rsidR="00726654" w:rsidRPr="00FC72ED">
        <w:rPr>
          <w:lang w:val="en-GB"/>
        </w:rPr>
        <w:t xml:space="preserve">policy </w:t>
      </w:r>
      <w:r w:rsidRPr="00FC72ED">
        <w:rPr>
          <w:lang w:val="en-GB"/>
        </w:rPr>
        <w:t>(Russian and Yakut) and the change in social and linguistic environment</w:t>
      </w:r>
      <w:r w:rsidR="00804A66" w:rsidRPr="00FC72ED">
        <w:rPr>
          <w:lang w:val="en-GB"/>
        </w:rPr>
        <w:t>s, among others</w:t>
      </w:r>
      <w:r w:rsidRPr="00FC72ED">
        <w:rPr>
          <w:lang w:val="en-GB"/>
        </w:rPr>
        <w:t xml:space="preserve">. Lately, several renowned storytellers of the epos have passed away, and </w:t>
      </w:r>
      <w:r w:rsidR="00F849D8" w:rsidRPr="00FC72ED">
        <w:rPr>
          <w:lang w:val="en-GB"/>
        </w:rPr>
        <w:t xml:space="preserve">the </w:t>
      </w:r>
      <w:r w:rsidRPr="00FC72ED">
        <w:rPr>
          <w:lang w:val="en-GB"/>
        </w:rPr>
        <w:t xml:space="preserve">communities of the element are concerned about the possible deterioration of the element and wish to maintain the traditional ways of performing it. The currently identified </w:t>
      </w:r>
      <w:r w:rsidRPr="00F95F28">
        <w:rPr>
          <w:rFonts w:eastAsia="Times New Roman"/>
          <w:bCs/>
          <w:snapToGrid w:val="0"/>
          <w:lang w:val="en-GB" w:eastAsia="en-US"/>
        </w:rPr>
        <w:t>and</w:t>
      </w:r>
      <w:r w:rsidRPr="00FC72ED">
        <w:rPr>
          <w:lang w:val="en-GB"/>
        </w:rPr>
        <w:t xml:space="preserve"> continued </w:t>
      </w:r>
      <w:r w:rsidR="00F849D8" w:rsidRPr="00FC72ED">
        <w:rPr>
          <w:lang w:val="en-GB"/>
        </w:rPr>
        <w:t xml:space="preserve">major </w:t>
      </w:r>
      <w:r w:rsidRPr="00FC72ED">
        <w:rPr>
          <w:lang w:val="en-GB"/>
        </w:rPr>
        <w:t>threats to the viability of the element, as noted in the previous report, are the loss of communication between rural youth studying in cities and their epic local schools, and the poor coverage of the element in the media, although the element is being documented by national and municipal media for information and archiving purposes.</w:t>
      </w:r>
    </w:p>
    <w:sectPr w:rsidR="00190205" w:rsidRPr="00FC72ED"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458F9" w14:textId="77777777" w:rsidR="0075086B" w:rsidRDefault="0075086B" w:rsidP="00655736">
      <w:r>
        <w:separator/>
      </w:r>
    </w:p>
  </w:endnote>
  <w:endnote w:type="continuationSeparator" w:id="0">
    <w:p w14:paraId="3A1147F8" w14:textId="77777777" w:rsidR="0075086B" w:rsidRDefault="0075086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D64F" w14:textId="77777777" w:rsidR="0075086B" w:rsidRDefault="0075086B" w:rsidP="00655736">
      <w:r>
        <w:separator/>
      </w:r>
    </w:p>
  </w:footnote>
  <w:footnote w:type="continuationSeparator" w:id="0">
    <w:p w14:paraId="4728315A" w14:textId="77777777" w:rsidR="0075086B" w:rsidRDefault="0075086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3A67E707"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B2172B">
      <w:rPr>
        <w:rFonts w:ascii="Arial" w:hAnsi="Arial" w:cs="Arial"/>
        <w:sz w:val="20"/>
        <w:szCs w:val="20"/>
        <w:lang w:val="en-GB"/>
      </w:rPr>
      <w:t>1</w:t>
    </w:r>
    <w:r w:rsidR="00CB0542">
      <w:rPr>
        <w:rFonts w:ascii="Arial" w:hAnsi="Arial" w:cs="Arial"/>
        <w:sz w:val="20"/>
        <w:szCs w:val="20"/>
        <w:lang w:val="en-GB"/>
      </w:rPr>
      <w:t>/1</w:t>
    </w:r>
    <w:r w:rsidR="00B2172B">
      <w:rPr>
        <w:rFonts w:ascii="Arial" w:hAnsi="Arial" w:cs="Arial"/>
        <w:sz w:val="20"/>
        <w:szCs w:val="20"/>
        <w:lang w:val="en-GB"/>
      </w:rPr>
      <w:t>6</w:t>
    </w:r>
    <w:r w:rsidR="00EC6F8D">
      <w:rPr>
        <w:rFonts w:ascii="Arial" w:hAnsi="Arial" w:cs="Arial"/>
        <w:sz w:val="20"/>
        <w:szCs w:val="20"/>
        <w:lang w:val="en-GB"/>
      </w:rPr>
      <w:t>.COM</w:t>
    </w:r>
    <w:r w:rsidR="00D95C4C" w:rsidRPr="00804E01">
      <w:rPr>
        <w:rFonts w:ascii="Arial" w:hAnsi="Arial" w:cs="Arial"/>
        <w:sz w:val="20"/>
        <w:szCs w:val="20"/>
        <w:lang w:val="en-GB"/>
      </w:rPr>
      <w:t>/</w:t>
    </w:r>
    <w:r w:rsidR="007A6C62" w:rsidRPr="00804E01">
      <w:rPr>
        <w:rFonts w:ascii="Arial" w:hAnsi="Arial" w:cs="Arial"/>
        <w:sz w:val="20"/>
        <w:szCs w:val="20"/>
        <w:lang w:val="en-GB"/>
      </w:rPr>
      <w:t>7</w:t>
    </w:r>
    <w:r w:rsidR="000916B1" w:rsidRPr="00804E01">
      <w:rPr>
        <w:rFonts w:ascii="Arial" w:hAnsi="Arial" w:cs="Arial"/>
        <w:sz w:val="20"/>
        <w:szCs w:val="20"/>
        <w:lang w:val="en-GB"/>
      </w:rPr>
      <w:t>.c</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640F7867"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7F4A92">
      <w:rPr>
        <w:rFonts w:ascii="Arial" w:hAnsi="Arial" w:cs="Arial"/>
        <w:sz w:val="20"/>
        <w:szCs w:val="20"/>
        <w:lang w:val="en-GB"/>
      </w:rPr>
      <w:t>1</w:t>
    </w:r>
    <w:r w:rsidR="0053318C">
      <w:rPr>
        <w:rFonts w:ascii="Arial" w:hAnsi="Arial" w:cs="Arial"/>
        <w:sz w:val="20"/>
        <w:szCs w:val="20"/>
        <w:lang w:val="en-GB"/>
      </w:rPr>
      <w:t>/1</w:t>
    </w:r>
    <w:r w:rsidR="00014915">
      <w:rPr>
        <w:rFonts w:ascii="Arial" w:hAnsi="Arial" w:cs="Arial"/>
        <w:sz w:val="20"/>
        <w:szCs w:val="20"/>
        <w:lang w:val="en-GB"/>
      </w:rPr>
      <w:t>6</w:t>
    </w:r>
    <w:r w:rsidR="00EC6F8D">
      <w:rPr>
        <w:rFonts w:ascii="Arial" w:hAnsi="Arial" w:cs="Arial"/>
        <w:sz w:val="20"/>
        <w:szCs w:val="20"/>
        <w:lang w:val="en-GB"/>
      </w:rPr>
      <w:t>.COM</w:t>
    </w:r>
    <w:r w:rsidR="004A34A0" w:rsidRPr="00E10964">
      <w:rPr>
        <w:rFonts w:ascii="Arial" w:hAnsi="Arial" w:cs="Arial"/>
        <w:sz w:val="20"/>
        <w:szCs w:val="20"/>
        <w:lang w:val="en-GB"/>
      </w:rPr>
      <w:t>/</w:t>
    </w:r>
    <w:r w:rsidR="00F66398" w:rsidRPr="00E10964">
      <w:rPr>
        <w:rFonts w:ascii="Arial" w:hAnsi="Arial" w:cs="Arial"/>
        <w:sz w:val="20"/>
        <w:szCs w:val="20"/>
        <w:lang w:val="en-GB"/>
      </w:rPr>
      <w:t>7</w:t>
    </w:r>
    <w:r w:rsidR="000916B1" w:rsidRPr="00E10964">
      <w:rPr>
        <w:rFonts w:ascii="Arial" w:hAnsi="Arial" w:cs="Arial"/>
        <w:sz w:val="20"/>
        <w:szCs w:val="20"/>
        <w:lang w:val="en-GB"/>
      </w:rPr>
      <w:t>.c</w:t>
    </w:r>
    <w:r w:rsidR="004A34A0" w:rsidRPr="00E10964">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5C4472C4" w:rsidR="00D95C4C" w:rsidRPr="00FC72ED" w:rsidRDefault="009B078A">
    <w:pPr>
      <w:pStyle w:val="Header"/>
      <w:rPr>
        <w:sz w:val="22"/>
        <w:szCs w:val="22"/>
        <w:lang w:val="en-GB"/>
      </w:rPr>
    </w:pPr>
    <w:r w:rsidRPr="00FC72ED">
      <w:rPr>
        <w:noProof/>
      </w:rPr>
      <w:drawing>
        <wp:anchor distT="0" distB="0" distL="114300" distR="114300" simplePos="0" relativeHeight="251659264" behindDoc="0" locked="0" layoutInCell="1" allowOverlap="1" wp14:anchorId="48F3B10E" wp14:editId="4EA5D1C2">
          <wp:simplePos x="0" y="0"/>
          <wp:positionH relativeFrom="column">
            <wp:posOffset>28515</wp:posOffset>
          </wp:positionH>
          <wp:positionV relativeFrom="paragraph">
            <wp:posOffset>60026</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D95C4C" w:rsidRPr="00FC72ED" w:rsidRDefault="00337CEB" w:rsidP="00C5776D">
    <w:pPr>
      <w:pStyle w:val="Header"/>
      <w:spacing w:after="520"/>
      <w:jc w:val="right"/>
      <w:rPr>
        <w:rFonts w:ascii="Arial" w:hAnsi="Arial" w:cs="Arial"/>
        <w:b/>
        <w:sz w:val="44"/>
        <w:szCs w:val="44"/>
        <w:lang w:val="pt-PT"/>
      </w:rPr>
    </w:pPr>
    <w:r w:rsidRPr="00FC72ED">
      <w:rPr>
        <w:rFonts w:ascii="Arial" w:hAnsi="Arial" w:cs="Arial"/>
        <w:b/>
        <w:sz w:val="44"/>
        <w:szCs w:val="44"/>
        <w:lang w:val="pt-PT"/>
      </w:rPr>
      <w:t>1</w:t>
    </w:r>
    <w:r w:rsidR="00B2172B" w:rsidRPr="00FC72ED">
      <w:rPr>
        <w:rFonts w:ascii="Arial" w:hAnsi="Arial" w:cs="Arial"/>
        <w:b/>
        <w:sz w:val="44"/>
        <w:szCs w:val="44"/>
        <w:lang w:val="pt-PT"/>
      </w:rPr>
      <w:t>6</w:t>
    </w:r>
    <w:r w:rsidR="00EC6F8D" w:rsidRPr="00FC72ED">
      <w:rPr>
        <w:rFonts w:ascii="Arial" w:hAnsi="Arial" w:cs="Arial"/>
        <w:b/>
        <w:sz w:val="44"/>
        <w:szCs w:val="44"/>
        <w:lang w:val="pt-PT"/>
      </w:rPr>
      <w:t xml:space="preserve"> COM</w:t>
    </w:r>
  </w:p>
  <w:p w14:paraId="306484B8" w14:textId="7054268D" w:rsidR="00D95C4C" w:rsidRPr="00FC72ED" w:rsidRDefault="00C5776D" w:rsidP="00C5776D">
    <w:pPr>
      <w:jc w:val="right"/>
      <w:rPr>
        <w:rFonts w:ascii="Arial" w:hAnsi="Arial" w:cs="Arial"/>
        <w:b/>
        <w:sz w:val="22"/>
        <w:szCs w:val="22"/>
        <w:lang w:val="pt-PT"/>
      </w:rPr>
    </w:pPr>
    <w:r w:rsidRPr="00FC72ED">
      <w:rPr>
        <w:rFonts w:ascii="Arial" w:hAnsi="Arial" w:cs="Arial"/>
        <w:b/>
        <w:sz w:val="22"/>
        <w:szCs w:val="22"/>
        <w:lang w:val="pt-PT"/>
      </w:rPr>
      <w:t>LHE</w:t>
    </w:r>
    <w:r w:rsidR="00337CEB" w:rsidRPr="00FC72ED">
      <w:rPr>
        <w:rFonts w:ascii="Arial" w:hAnsi="Arial" w:cs="Arial"/>
        <w:b/>
        <w:sz w:val="22"/>
        <w:szCs w:val="22"/>
        <w:lang w:val="pt-PT"/>
      </w:rPr>
      <w:t>/</w:t>
    </w:r>
    <w:r w:rsidR="00D7105A" w:rsidRPr="00FC72ED">
      <w:rPr>
        <w:rFonts w:ascii="Arial" w:hAnsi="Arial" w:cs="Arial"/>
        <w:b/>
        <w:sz w:val="22"/>
        <w:szCs w:val="22"/>
        <w:lang w:val="pt-PT"/>
      </w:rPr>
      <w:t>2</w:t>
    </w:r>
    <w:r w:rsidR="00B2172B" w:rsidRPr="00FC72ED">
      <w:rPr>
        <w:rFonts w:ascii="Arial" w:hAnsi="Arial" w:cs="Arial"/>
        <w:b/>
        <w:sz w:val="22"/>
        <w:szCs w:val="22"/>
        <w:lang w:val="pt-PT"/>
      </w:rPr>
      <w:t>1</w:t>
    </w:r>
    <w:r w:rsidR="00D95C4C" w:rsidRPr="00FC72ED">
      <w:rPr>
        <w:rFonts w:ascii="Arial" w:hAnsi="Arial" w:cs="Arial"/>
        <w:b/>
        <w:sz w:val="22"/>
        <w:szCs w:val="22"/>
        <w:lang w:val="pt-PT"/>
      </w:rPr>
      <w:t>/</w:t>
    </w:r>
    <w:r w:rsidR="00CB0542" w:rsidRPr="00FC72ED">
      <w:rPr>
        <w:rFonts w:ascii="Arial" w:hAnsi="Arial" w:cs="Arial"/>
        <w:b/>
        <w:sz w:val="22"/>
        <w:szCs w:val="22"/>
        <w:lang w:val="pt-PT"/>
      </w:rPr>
      <w:t>1</w:t>
    </w:r>
    <w:r w:rsidR="00B2172B" w:rsidRPr="00FC72ED">
      <w:rPr>
        <w:rFonts w:ascii="Arial" w:hAnsi="Arial" w:cs="Arial"/>
        <w:b/>
        <w:sz w:val="22"/>
        <w:szCs w:val="22"/>
        <w:lang w:val="pt-PT"/>
      </w:rPr>
      <w:t>6</w:t>
    </w:r>
    <w:r w:rsidR="00D95C4C" w:rsidRPr="00FC72ED">
      <w:rPr>
        <w:rFonts w:ascii="Arial" w:hAnsi="Arial" w:cs="Arial"/>
        <w:b/>
        <w:sz w:val="22"/>
        <w:szCs w:val="22"/>
        <w:lang w:val="pt-PT"/>
      </w:rPr>
      <w:t>.</w:t>
    </w:r>
    <w:r w:rsidR="00EC6F8D" w:rsidRPr="00FC72ED">
      <w:rPr>
        <w:rFonts w:ascii="Arial" w:hAnsi="Arial" w:cs="Arial"/>
        <w:b/>
        <w:sz w:val="22"/>
        <w:szCs w:val="22"/>
        <w:lang w:val="pt-PT"/>
      </w:rPr>
      <w:t>COM</w:t>
    </w:r>
    <w:r w:rsidR="00D95C4C" w:rsidRPr="00FC72ED">
      <w:rPr>
        <w:rFonts w:ascii="Arial" w:hAnsi="Arial" w:cs="Arial"/>
        <w:b/>
        <w:sz w:val="22"/>
        <w:szCs w:val="22"/>
        <w:lang w:val="pt-PT"/>
      </w:rPr>
      <w:t>/</w:t>
    </w:r>
    <w:r w:rsidR="007A6C62" w:rsidRPr="00FC72ED">
      <w:rPr>
        <w:rFonts w:ascii="Arial" w:hAnsi="Arial" w:cs="Arial"/>
        <w:b/>
        <w:sz w:val="22"/>
        <w:szCs w:val="22"/>
        <w:lang w:val="pt-PT"/>
      </w:rPr>
      <w:t>7</w:t>
    </w:r>
    <w:r w:rsidR="00363BFD" w:rsidRPr="00FC72ED">
      <w:rPr>
        <w:rFonts w:ascii="Arial" w:hAnsi="Arial" w:cs="Arial"/>
        <w:b/>
        <w:sz w:val="22"/>
        <w:szCs w:val="22"/>
        <w:lang w:val="pt-PT"/>
      </w:rPr>
      <w:t>.c</w:t>
    </w:r>
  </w:p>
  <w:p w14:paraId="1B4446C3" w14:textId="5210BE9F" w:rsidR="00D95C4C" w:rsidRPr="00FC72ED" w:rsidRDefault="00D95C4C" w:rsidP="00655736">
    <w:pPr>
      <w:jc w:val="right"/>
      <w:rPr>
        <w:rFonts w:ascii="Arial" w:eastAsiaTheme="minorEastAsia" w:hAnsi="Arial" w:cs="Arial"/>
        <w:b/>
        <w:sz w:val="22"/>
        <w:szCs w:val="22"/>
        <w:lang w:val="pt-PT" w:eastAsia="ko-KR"/>
      </w:rPr>
    </w:pPr>
    <w:r w:rsidRPr="00FC72ED">
      <w:rPr>
        <w:rFonts w:ascii="Arial" w:hAnsi="Arial" w:cs="Arial"/>
        <w:b/>
        <w:sz w:val="22"/>
        <w:szCs w:val="22"/>
        <w:lang w:val="pt-PT"/>
      </w:rPr>
      <w:t xml:space="preserve">Paris, </w:t>
    </w:r>
    <w:r w:rsidR="00804E01" w:rsidRPr="00F95F28">
      <w:rPr>
        <w:rFonts w:ascii="Arial" w:hAnsi="Arial" w:cs="Arial"/>
        <w:b/>
        <w:sz w:val="22"/>
        <w:szCs w:val="22"/>
        <w:lang w:val="pt-PT"/>
      </w:rPr>
      <w:t>15</w:t>
    </w:r>
    <w:r w:rsidR="00804E01" w:rsidRPr="00FC72ED">
      <w:rPr>
        <w:rFonts w:ascii="Arial" w:hAnsi="Arial" w:cs="Arial"/>
        <w:b/>
        <w:sz w:val="22"/>
        <w:szCs w:val="22"/>
        <w:lang w:val="pt-PT"/>
      </w:rPr>
      <w:t xml:space="preserve"> November</w:t>
    </w:r>
    <w:r w:rsidRPr="00FC72ED">
      <w:rPr>
        <w:rFonts w:ascii="Arial" w:hAnsi="Arial" w:cs="Arial"/>
        <w:b/>
        <w:sz w:val="22"/>
        <w:szCs w:val="22"/>
        <w:lang w:val="pt-PT"/>
      </w:rPr>
      <w:t xml:space="preserve"> </w:t>
    </w:r>
    <w:r w:rsidR="00337CEB" w:rsidRPr="00FC72ED">
      <w:rPr>
        <w:rFonts w:ascii="Arial" w:hAnsi="Arial" w:cs="Arial"/>
        <w:b/>
        <w:sz w:val="22"/>
        <w:szCs w:val="22"/>
        <w:lang w:val="pt-PT"/>
      </w:rPr>
      <w:t>20</w:t>
    </w:r>
    <w:r w:rsidR="00D7105A" w:rsidRPr="00FC72ED">
      <w:rPr>
        <w:rFonts w:ascii="Arial" w:hAnsi="Arial" w:cs="Arial"/>
        <w:b/>
        <w:sz w:val="22"/>
        <w:szCs w:val="22"/>
        <w:lang w:val="pt-PT"/>
      </w:rPr>
      <w:t>2</w:t>
    </w:r>
    <w:r w:rsidR="00B2172B" w:rsidRPr="00FC72ED">
      <w:rPr>
        <w:rFonts w:ascii="Arial" w:hAnsi="Arial" w:cs="Arial"/>
        <w:b/>
        <w:sz w:val="22"/>
        <w:szCs w:val="22"/>
        <w:lang w:val="pt-PT"/>
      </w:rPr>
      <w:t>1</w:t>
    </w:r>
  </w:p>
  <w:p w14:paraId="255B57FF" w14:textId="32BDB33C" w:rsidR="00D95C4C" w:rsidRPr="00363BFD" w:rsidRDefault="00D95C4C" w:rsidP="000048ED">
    <w:pPr>
      <w:jc w:val="right"/>
      <w:rPr>
        <w:rFonts w:ascii="Arial" w:hAnsi="Arial" w:cs="Arial"/>
        <w:b/>
        <w:sz w:val="22"/>
        <w:szCs w:val="22"/>
        <w:lang w:val="pt-PT"/>
      </w:rPr>
    </w:pPr>
    <w:r w:rsidRPr="00FC72ED">
      <w:rPr>
        <w:rFonts w:ascii="Arial" w:hAnsi="Arial" w:cs="Arial"/>
        <w:b/>
        <w:sz w:val="22"/>
        <w:szCs w:val="22"/>
        <w:lang w:val="pt-PT"/>
      </w:rPr>
      <w:t xml:space="preserve">Original: </w:t>
    </w:r>
    <w:r w:rsidR="00363BFD" w:rsidRPr="00FC72ED">
      <w:rPr>
        <w:rFonts w:ascii="Arial" w:hAnsi="Arial" w:cs="Arial"/>
        <w:b/>
        <w:sz w:val="22"/>
        <w:szCs w:val="22"/>
        <w:lang w:val="pt-PT"/>
      </w:rPr>
      <w:t>English</w:t>
    </w:r>
  </w:p>
  <w:p w14:paraId="3C4B8B1B" w14:textId="77777777" w:rsidR="00D95C4C" w:rsidRPr="00363BFD" w:rsidRDefault="00D95C4C">
    <w:pPr>
      <w:pStyle w:val="Header"/>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FD2D24"/>
    <w:multiLevelType w:val="multilevel"/>
    <w:tmpl w:val="17D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1A0420"/>
    <w:multiLevelType w:val="multilevel"/>
    <w:tmpl w:val="E89A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B1B99"/>
    <w:multiLevelType w:val="hybridMultilevel"/>
    <w:tmpl w:val="BB32ED20"/>
    <w:lvl w:ilvl="0" w:tplc="7BA4D86A">
      <w:start w:val="1"/>
      <w:numFmt w:val="lowerRoman"/>
      <w:lvlText w:val="%1)"/>
      <w:lvlJc w:val="left"/>
      <w:pPr>
        <w:ind w:left="927" w:hanging="360"/>
      </w:pPr>
      <w:rPr>
        <w:rFonts w:ascii="Arial" w:eastAsia="Times New Roman" w:hAnsi="Arial" w:cs="Times New Roman"/>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16079AD"/>
    <w:multiLevelType w:val="hybridMultilevel"/>
    <w:tmpl w:val="4E4AE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55F05B8"/>
    <w:multiLevelType w:val="hybridMultilevel"/>
    <w:tmpl w:val="696A6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301831"/>
    <w:multiLevelType w:val="hybridMultilevel"/>
    <w:tmpl w:val="32DA4E2E"/>
    <w:lvl w:ilvl="0" w:tplc="B3287B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8E6E9F"/>
    <w:multiLevelType w:val="hybridMultilevel"/>
    <w:tmpl w:val="3AF077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1A633F"/>
    <w:multiLevelType w:val="hybridMultilevel"/>
    <w:tmpl w:val="11400C62"/>
    <w:lvl w:ilvl="0" w:tplc="0809000F">
      <w:start w:val="1"/>
      <w:numFmt w:val="decimal"/>
      <w:lvlText w:val="%1."/>
      <w:lvlJc w:val="left"/>
      <w:pPr>
        <w:ind w:left="92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207" w:hanging="180"/>
      </w:pPr>
    </w:lvl>
    <w:lvl w:ilvl="3" w:tplc="040C000F" w:tentative="1">
      <w:start w:val="1"/>
      <w:numFmt w:val="decimal"/>
      <w:lvlText w:val="%4."/>
      <w:lvlJc w:val="left"/>
      <w:pPr>
        <w:ind w:left="927" w:hanging="360"/>
      </w:pPr>
    </w:lvl>
    <w:lvl w:ilvl="4" w:tplc="040C0019" w:tentative="1">
      <w:start w:val="1"/>
      <w:numFmt w:val="lowerLetter"/>
      <w:lvlText w:val="%5."/>
      <w:lvlJc w:val="left"/>
      <w:pPr>
        <w:ind w:left="1647" w:hanging="360"/>
      </w:pPr>
    </w:lvl>
    <w:lvl w:ilvl="5" w:tplc="040C001B" w:tentative="1">
      <w:start w:val="1"/>
      <w:numFmt w:val="lowerRoman"/>
      <w:lvlText w:val="%6."/>
      <w:lvlJc w:val="right"/>
      <w:pPr>
        <w:ind w:left="2367" w:hanging="180"/>
      </w:pPr>
    </w:lvl>
    <w:lvl w:ilvl="6" w:tplc="040C000F" w:tentative="1">
      <w:start w:val="1"/>
      <w:numFmt w:val="decimal"/>
      <w:lvlText w:val="%7."/>
      <w:lvlJc w:val="left"/>
      <w:pPr>
        <w:ind w:left="3087" w:hanging="360"/>
      </w:pPr>
    </w:lvl>
    <w:lvl w:ilvl="7" w:tplc="040C0019" w:tentative="1">
      <w:start w:val="1"/>
      <w:numFmt w:val="lowerLetter"/>
      <w:lvlText w:val="%8."/>
      <w:lvlJc w:val="left"/>
      <w:pPr>
        <w:ind w:left="3807" w:hanging="360"/>
      </w:pPr>
    </w:lvl>
    <w:lvl w:ilvl="8" w:tplc="040C001B" w:tentative="1">
      <w:start w:val="1"/>
      <w:numFmt w:val="lowerRoman"/>
      <w:lvlText w:val="%9."/>
      <w:lvlJc w:val="right"/>
      <w:pPr>
        <w:ind w:left="4527" w:hanging="180"/>
      </w:pPr>
    </w:lvl>
  </w:abstractNum>
  <w:abstractNum w:abstractNumId="2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7CCE4647"/>
    <w:multiLevelType w:val="hybridMultilevel"/>
    <w:tmpl w:val="BD88859A"/>
    <w:lvl w:ilvl="0" w:tplc="A12A3E48">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7D02074C"/>
    <w:multiLevelType w:val="hybridMultilevel"/>
    <w:tmpl w:val="D9448CBC"/>
    <w:lvl w:ilvl="0" w:tplc="F4842B0C">
      <w:start w:val="1"/>
      <w:numFmt w:val="decimal"/>
      <w:pStyle w:val="Dcisionparanumrot"/>
      <w:lvlText w:val="%1."/>
      <w:lvlJc w:val="left"/>
      <w:pPr>
        <w:tabs>
          <w:tab w:val="num" w:pos="567"/>
        </w:tabs>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1089A"/>
    <w:multiLevelType w:val="multilevel"/>
    <w:tmpl w:val="40A6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3"/>
  </w:num>
  <w:num w:numId="4">
    <w:abstractNumId w:val="19"/>
  </w:num>
  <w:num w:numId="5">
    <w:abstractNumId w:val="18"/>
  </w:num>
  <w:num w:numId="6">
    <w:abstractNumId w:val="1"/>
  </w:num>
  <w:num w:numId="7">
    <w:abstractNumId w:val="4"/>
  </w:num>
  <w:num w:numId="8">
    <w:abstractNumId w:val="13"/>
  </w:num>
  <w:num w:numId="9">
    <w:abstractNumId w:val="8"/>
  </w:num>
  <w:num w:numId="10">
    <w:abstractNumId w:val="10"/>
  </w:num>
  <w:num w:numId="11">
    <w:abstractNumId w:val="12"/>
  </w:num>
  <w:num w:numId="12">
    <w:abstractNumId w:val="11"/>
  </w:num>
  <w:num w:numId="13">
    <w:abstractNumId w:val="22"/>
  </w:num>
  <w:num w:numId="14">
    <w:abstractNumId w:val="2"/>
  </w:num>
  <w:num w:numId="15">
    <w:abstractNumId w:val="25"/>
  </w:num>
  <w:num w:numId="16">
    <w:abstractNumId w:val="0"/>
  </w:num>
  <w:num w:numId="17">
    <w:abstractNumId w:val="20"/>
  </w:num>
  <w:num w:numId="18">
    <w:abstractNumId w:val="7"/>
  </w:num>
  <w:num w:numId="19">
    <w:abstractNumId w:val="14"/>
  </w:num>
  <w:num w:numId="20">
    <w:abstractNumId w:val="15"/>
  </w:num>
  <w:num w:numId="21">
    <w:abstractNumId w:val="24"/>
    <w:lvlOverride w:ilvl="0">
      <w:startOverride w:val="1"/>
    </w:lvlOverride>
  </w:num>
  <w:num w:numId="22">
    <w:abstractNumId w:val="24"/>
  </w:num>
  <w:num w:numId="23">
    <w:abstractNumId w:val="8"/>
    <w:lvlOverride w:ilvl="0">
      <w:startOverride w:val="1"/>
    </w:lvlOverride>
  </w:num>
  <w:num w:numId="24">
    <w:abstractNumId w:val="6"/>
  </w:num>
  <w:num w:numId="25">
    <w:abstractNumId w:val="21"/>
  </w:num>
  <w:num w:numId="26">
    <w:abstractNumId w:val="5"/>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1D22"/>
    <w:rsid w:val="00012E69"/>
    <w:rsid w:val="00014915"/>
    <w:rsid w:val="0001672A"/>
    <w:rsid w:val="00020BD7"/>
    <w:rsid w:val="000231C2"/>
    <w:rsid w:val="00024DA0"/>
    <w:rsid w:val="00041A66"/>
    <w:rsid w:val="00042D88"/>
    <w:rsid w:val="0005176E"/>
    <w:rsid w:val="000548B3"/>
    <w:rsid w:val="00057C07"/>
    <w:rsid w:val="0006225D"/>
    <w:rsid w:val="00062E67"/>
    <w:rsid w:val="000647E4"/>
    <w:rsid w:val="00067F58"/>
    <w:rsid w:val="000746AF"/>
    <w:rsid w:val="000765F7"/>
    <w:rsid w:val="00077AB7"/>
    <w:rsid w:val="00080770"/>
    <w:rsid w:val="00081CD8"/>
    <w:rsid w:val="00083C84"/>
    <w:rsid w:val="000841C0"/>
    <w:rsid w:val="000916B1"/>
    <w:rsid w:val="00095FA3"/>
    <w:rsid w:val="000A7F0E"/>
    <w:rsid w:val="000B1C8F"/>
    <w:rsid w:val="000C0D61"/>
    <w:rsid w:val="000D0528"/>
    <w:rsid w:val="000F3A3F"/>
    <w:rsid w:val="00102557"/>
    <w:rsid w:val="00120CF5"/>
    <w:rsid w:val="00126A44"/>
    <w:rsid w:val="00127B5B"/>
    <w:rsid w:val="001339A9"/>
    <w:rsid w:val="00137AD2"/>
    <w:rsid w:val="001605ED"/>
    <w:rsid w:val="00164D56"/>
    <w:rsid w:val="00167B10"/>
    <w:rsid w:val="0017402F"/>
    <w:rsid w:val="00181D33"/>
    <w:rsid w:val="00190205"/>
    <w:rsid w:val="00196C1B"/>
    <w:rsid w:val="001A26D8"/>
    <w:rsid w:val="001A27A7"/>
    <w:rsid w:val="001B0F73"/>
    <w:rsid w:val="001C2DB7"/>
    <w:rsid w:val="001D14FE"/>
    <w:rsid w:val="001D3FA3"/>
    <w:rsid w:val="001D5C04"/>
    <w:rsid w:val="001E0793"/>
    <w:rsid w:val="001E1EF7"/>
    <w:rsid w:val="001E6B02"/>
    <w:rsid w:val="001F26CF"/>
    <w:rsid w:val="001F4579"/>
    <w:rsid w:val="002156C5"/>
    <w:rsid w:val="00222A2D"/>
    <w:rsid w:val="00223029"/>
    <w:rsid w:val="00226920"/>
    <w:rsid w:val="00227917"/>
    <w:rsid w:val="002313F1"/>
    <w:rsid w:val="00234745"/>
    <w:rsid w:val="00234F6E"/>
    <w:rsid w:val="002351A6"/>
    <w:rsid w:val="002407AF"/>
    <w:rsid w:val="002634E4"/>
    <w:rsid w:val="0026495E"/>
    <w:rsid w:val="0027455E"/>
    <w:rsid w:val="0027466B"/>
    <w:rsid w:val="0027618F"/>
    <w:rsid w:val="002769C5"/>
    <w:rsid w:val="002838A5"/>
    <w:rsid w:val="0028412F"/>
    <w:rsid w:val="00285BB4"/>
    <w:rsid w:val="0029407E"/>
    <w:rsid w:val="002977E8"/>
    <w:rsid w:val="002A2518"/>
    <w:rsid w:val="002C09E3"/>
    <w:rsid w:val="002D1244"/>
    <w:rsid w:val="002D4C93"/>
    <w:rsid w:val="002D5C14"/>
    <w:rsid w:val="002E1C14"/>
    <w:rsid w:val="002E4B89"/>
    <w:rsid w:val="002F5E87"/>
    <w:rsid w:val="00304492"/>
    <w:rsid w:val="00306F13"/>
    <w:rsid w:val="00310681"/>
    <w:rsid w:val="003258FC"/>
    <w:rsid w:val="0033388C"/>
    <w:rsid w:val="00337CEB"/>
    <w:rsid w:val="00340479"/>
    <w:rsid w:val="00344B58"/>
    <w:rsid w:val="0034539A"/>
    <w:rsid w:val="00345CB4"/>
    <w:rsid w:val="00347D52"/>
    <w:rsid w:val="0035761A"/>
    <w:rsid w:val="00363BFD"/>
    <w:rsid w:val="00363DD7"/>
    <w:rsid w:val="00367125"/>
    <w:rsid w:val="00370108"/>
    <w:rsid w:val="00375D42"/>
    <w:rsid w:val="00384958"/>
    <w:rsid w:val="003A1CA1"/>
    <w:rsid w:val="003B2796"/>
    <w:rsid w:val="003C04DD"/>
    <w:rsid w:val="003C062A"/>
    <w:rsid w:val="003C6BEC"/>
    <w:rsid w:val="003D069C"/>
    <w:rsid w:val="003D11BE"/>
    <w:rsid w:val="003D7646"/>
    <w:rsid w:val="003F113A"/>
    <w:rsid w:val="003F2D49"/>
    <w:rsid w:val="003F3E63"/>
    <w:rsid w:val="00406192"/>
    <w:rsid w:val="00407480"/>
    <w:rsid w:val="00414643"/>
    <w:rsid w:val="00415FC5"/>
    <w:rsid w:val="00427634"/>
    <w:rsid w:val="00434065"/>
    <w:rsid w:val="004421E5"/>
    <w:rsid w:val="0045211D"/>
    <w:rsid w:val="00452284"/>
    <w:rsid w:val="00457C8E"/>
    <w:rsid w:val="004708FC"/>
    <w:rsid w:val="00471FF6"/>
    <w:rsid w:val="004856CA"/>
    <w:rsid w:val="00487E67"/>
    <w:rsid w:val="0049705E"/>
    <w:rsid w:val="004A00F5"/>
    <w:rsid w:val="004A2875"/>
    <w:rsid w:val="004A34A0"/>
    <w:rsid w:val="004A46E0"/>
    <w:rsid w:val="004B2A8B"/>
    <w:rsid w:val="004B5F36"/>
    <w:rsid w:val="004B667B"/>
    <w:rsid w:val="004C1B4B"/>
    <w:rsid w:val="004C6F99"/>
    <w:rsid w:val="004C7C82"/>
    <w:rsid w:val="004D040C"/>
    <w:rsid w:val="004E4A78"/>
    <w:rsid w:val="004E7A90"/>
    <w:rsid w:val="004F1898"/>
    <w:rsid w:val="004F20AE"/>
    <w:rsid w:val="004F3A00"/>
    <w:rsid w:val="005008A8"/>
    <w:rsid w:val="0050528D"/>
    <w:rsid w:val="00515B16"/>
    <w:rsid w:val="00517FA4"/>
    <w:rsid w:val="00517FD8"/>
    <w:rsid w:val="0052106D"/>
    <w:rsid w:val="00526B7B"/>
    <w:rsid w:val="005308CE"/>
    <w:rsid w:val="00531811"/>
    <w:rsid w:val="005323CC"/>
    <w:rsid w:val="0053318C"/>
    <w:rsid w:val="00551D77"/>
    <w:rsid w:val="0056234B"/>
    <w:rsid w:val="0056304A"/>
    <w:rsid w:val="005668DB"/>
    <w:rsid w:val="00573ED6"/>
    <w:rsid w:val="0057439C"/>
    <w:rsid w:val="005771F2"/>
    <w:rsid w:val="00587540"/>
    <w:rsid w:val="005A5766"/>
    <w:rsid w:val="005B0127"/>
    <w:rsid w:val="005B7A35"/>
    <w:rsid w:val="005C12F6"/>
    <w:rsid w:val="005C4B73"/>
    <w:rsid w:val="005D3B8D"/>
    <w:rsid w:val="005E1D2B"/>
    <w:rsid w:val="005E7074"/>
    <w:rsid w:val="005F2BAF"/>
    <w:rsid w:val="00600D93"/>
    <w:rsid w:val="006051FD"/>
    <w:rsid w:val="006076DC"/>
    <w:rsid w:val="00624EB6"/>
    <w:rsid w:val="00624EDF"/>
    <w:rsid w:val="00626BEA"/>
    <w:rsid w:val="006306EF"/>
    <w:rsid w:val="0063300C"/>
    <w:rsid w:val="00641A46"/>
    <w:rsid w:val="006448F2"/>
    <w:rsid w:val="00651043"/>
    <w:rsid w:val="00651A5B"/>
    <w:rsid w:val="00655736"/>
    <w:rsid w:val="006628D5"/>
    <w:rsid w:val="00663B8D"/>
    <w:rsid w:val="00664A25"/>
    <w:rsid w:val="00665E2A"/>
    <w:rsid w:val="00670E79"/>
    <w:rsid w:val="006731EA"/>
    <w:rsid w:val="00675FBF"/>
    <w:rsid w:val="00681256"/>
    <w:rsid w:val="00692770"/>
    <w:rsid w:val="00692C7B"/>
    <w:rsid w:val="00696C8D"/>
    <w:rsid w:val="006A2AC2"/>
    <w:rsid w:val="006A3617"/>
    <w:rsid w:val="006B1072"/>
    <w:rsid w:val="006B4452"/>
    <w:rsid w:val="006B6D65"/>
    <w:rsid w:val="006C37AB"/>
    <w:rsid w:val="006E46E4"/>
    <w:rsid w:val="006E544E"/>
    <w:rsid w:val="006E75EB"/>
    <w:rsid w:val="007029B2"/>
    <w:rsid w:val="00703A51"/>
    <w:rsid w:val="00704919"/>
    <w:rsid w:val="00704924"/>
    <w:rsid w:val="0070518B"/>
    <w:rsid w:val="00705EB2"/>
    <w:rsid w:val="00717DA5"/>
    <w:rsid w:val="00722061"/>
    <w:rsid w:val="00726654"/>
    <w:rsid w:val="00744484"/>
    <w:rsid w:val="0074728F"/>
    <w:rsid w:val="00747566"/>
    <w:rsid w:val="0075086B"/>
    <w:rsid w:val="007629B1"/>
    <w:rsid w:val="00767A5B"/>
    <w:rsid w:val="00772125"/>
    <w:rsid w:val="00773188"/>
    <w:rsid w:val="00783782"/>
    <w:rsid w:val="00784B8C"/>
    <w:rsid w:val="00784C31"/>
    <w:rsid w:val="007879E1"/>
    <w:rsid w:val="0079013D"/>
    <w:rsid w:val="007A1E39"/>
    <w:rsid w:val="007A6C62"/>
    <w:rsid w:val="007B2F24"/>
    <w:rsid w:val="007C5507"/>
    <w:rsid w:val="007D7E8F"/>
    <w:rsid w:val="007E31E4"/>
    <w:rsid w:val="007E3F54"/>
    <w:rsid w:val="007F4A92"/>
    <w:rsid w:val="00804A66"/>
    <w:rsid w:val="00804E01"/>
    <w:rsid w:val="008054AD"/>
    <w:rsid w:val="00820FFD"/>
    <w:rsid w:val="00823A11"/>
    <w:rsid w:val="008328C9"/>
    <w:rsid w:val="008460AE"/>
    <w:rsid w:val="0085405E"/>
    <w:rsid w:val="0085414A"/>
    <w:rsid w:val="00854DD5"/>
    <w:rsid w:val="00857EB9"/>
    <w:rsid w:val="00860E2E"/>
    <w:rsid w:val="0086269D"/>
    <w:rsid w:val="008634F0"/>
    <w:rsid w:val="0086543A"/>
    <w:rsid w:val="008724E5"/>
    <w:rsid w:val="00873BE7"/>
    <w:rsid w:val="00882D5D"/>
    <w:rsid w:val="00884A9D"/>
    <w:rsid w:val="0088512B"/>
    <w:rsid w:val="0089513D"/>
    <w:rsid w:val="008A2B2D"/>
    <w:rsid w:val="008A4E1E"/>
    <w:rsid w:val="008A5DE0"/>
    <w:rsid w:val="008B618A"/>
    <w:rsid w:val="008C213C"/>
    <w:rsid w:val="008C221B"/>
    <w:rsid w:val="008C296C"/>
    <w:rsid w:val="008D4305"/>
    <w:rsid w:val="008E1A85"/>
    <w:rsid w:val="00903A66"/>
    <w:rsid w:val="00904834"/>
    <w:rsid w:val="009163A7"/>
    <w:rsid w:val="00923802"/>
    <w:rsid w:val="00926F39"/>
    <w:rsid w:val="00946D0B"/>
    <w:rsid w:val="00955877"/>
    <w:rsid w:val="009A18CD"/>
    <w:rsid w:val="009A4DF8"/>
    <w:rsid w:val="009A5912"/>
    <w:rsid w:val="009B0208"/>
    <w:rsid w:val="009B078A"/>
    <w:rsid w:val="009B2339"/>
    <w:rsid w:val="009C66AC"/>
    <w:rsid w:val="009C73BF"/>
    <w:rsid w:val="009D4FF8"/>
    <w:rsid w:val="009D5428"/>
    <w:rsid w:val="009D60FC"/>
    <w:rsid w:val="009E34BA"/>
    <w:rsid w:val="009E36CB"/>
    <w:rsid w:val="00A12558"/>
    <w:rsid w:val="00A132B2"/>
    <w:rsid w:val="00A13903"/>
    <w:rsid w:val="00A1549D"/>
    <w:rsid w:val="00A20CC6"/>
    <w:rsid w:val="00A34ED5"/>
    <w:rsid w:val="00A371C5"/>
    <w:rsid w:val="00A400F1"/>
    <w:rsid w:val="00A45DBF"/>
    <w:rsid w:val="00A52149"/>
    <w:rsid w:val="00A54CF9"/>
    <w:rsid w:val="00A553EA"/>
    <w:rsid w:val="00A65A56"/>
    <w:rsid w:val="00A7007D"/>
    <w:rsid w:val="00A725CF"/>
    <w:rsid w:val="00A73DB4"/>
    <w:rsid w:val="00A755A2"/>
    <w:rsid w:val="00A76CAD"/>
    <w:rsid w:val="00A804D0"/>
    <w:rsid w:val="00A929A2"/>
    <w:rsid w:val="00AA6660"/>
    <w:rsid w:val="00AB2C36"/>
    <w:rsid w:val="00AB6DDE"/>
    <w:rsid w:val="00AB70B6"/>
    <w:rsid w:val="00AD1A86"/>
    <w:rsid w:val="00AD52C6"/>
    <w:rsid w:val="00AD554C"/>
    <w:rsid w:val="00AE0F3E"/>
    <w:rsid w:val="00AE103E"/>
    <w:rsid w:val="00AE6297"/>
    <w:rsid w:val="00AE6FD1"/>
    <w:rsid w:val="00AF04C2"/>
    <w:rsid w:val="00AF0A07"/>
    <w:rsid w:val="00AF1E2B"/>
    <w:rsid w:val="00AF4AEC"/>
    <w:rsid w:val="00AF625E"/>
    <w:rsid w:val="00B0356A"/>
    <w:rsid w:val="00B062AF"/>
    <w:rsid w:val="00B139BE"/>
    <w:rsid w:val="00B20440"/>
    <w:rsid w:val="00B2172B"/>
    <w:rsid w:val="00B305A0"/>
    <w:rsid w:val="00B34717"/>
    <w:rsid w:val="00B50850"/>
    <w:rsid w:val="00B52D93"/>
    <w:rsid w:val="00B6492E"/>
    <w:rsid w:val="00B917D2"/>
    <w:rsid w:val="00B974BB"/>
    <w:rsid w:val="00BA241A"/>
    <w:rsid w:val="00BB04AF"/>
    <w:rsid w:val="00BB3506"/>
    <w:rsid w:val="00BB58D7"/>
    <w:rsid w:val="00BB6932"/>
    <w:rsid w:val="00BB6948"/>
    <w:rsid w:val="00BD063C"/>
    <w:rsid w:val="00BD4AA7"/>
    <w:rsid w:val="00BD52C9"/>
    <w:rsid w:val="00BD6438"/>
    <w:rsid w:val="00BE0CD7"/>
    <w:rsid w:val="00BE6354"/>
    <w:rsid w:val="00BF0C95"/>
    <w:rsid w:val="00BF43B8"/>
    <w:rsid w:val="00C03533"/>
    <w:rsid w:val="00C052DA"/>
    <w:rsid w:val="00C0593F"/>
    <w:rsid w:val="00C12EC8"/>
    <w:rsid w:val="00C138D1"/>
    <w:rsid w:val="00C23A97"/>
    <w:rsid w:val="00C34B5C"/>
    <w:rsid w:val="00C40B09"/>
    <w:rsid w:val="00C429E5"/>
    <w:rsid w:val="00C47747"/>
    <w:rsid w:val="00C509DA"/>
    <w:rsid w:val="00C52EBE"/>
    <w:rsid w:val="00C5776D"/>
    <w:rsid w:val="00C6228C"/>
    <w:rsid w:val="00C63EDA"/>
    <w:rsid w:val="00C64855"/>
    <w:rsid w:val="00C70EA7"/>
    <w:rsid w:val="00C72F3B"/>
    <w:rsid w:val="00C7433F"/>
    <w:rsid w:val="00C74589"/>
    <w:rsid w:val="00C7516E"/>
    <w:rsid w:val="00C75770"/>
    <w:rsid w:val="00CA0238"/>
    <w:rsid w:val="00CA3383"/>
    <w:rsid w:val="00CA56BB"/>
    <w:rsid w:val="00CA6629"/>
    <w:rsid w:val="00CB0542"/>
    <w:rsid w:val="00CC4CD6"/>
    <w:rsid w:val="00CE1FBA"/>
    <w:rsid w:val="00CE209B"/>
    <w:rsid w:val="00CE3205"/>
    <w:rsid w:val="00CF7D95"/>
    <w:rsid w:val="00D00B2B"/>
    <w:rsid w:val="00D06A7E"/>
    <w:rsid w:val="00D17008"/>
    <w:rsid w:val="00D24877"/>
    <w:rsid w:val="00D43060"/>
    <w:rsid w:val="00D6109D"/>
    <w:rsid w:val="00D61FE4"/>
    <w:rsid w:val="00D6311A"/>
    <w:rsid w:val="00D7105A"/>
    <w:rsid w:val="00D745EF"/>
    <w:rsid w:val="00D8250F"/>
    <w:rsid w:val="00D9144C"/>
    <w:rsid w:val="00D95C4C"/>
    <w:rsid w:val="00D96833"/>
    <w:rsid w:val="00DA36ED"/>
    <w:rsid w:val="00DA3925"/>
    <w:rsid w:val="00DD5DC9"/>
    <w:rsid w:val="00DE34F1"/>
    <w:rsid w:val="00DE6160"/>
    <w:rsid w:val="00DE6DCF"/>
    <w:rsid w:val="00DE7F10"/>
    <w:rsid w:val="00DF4942"/>
    <w:rsid w:val="00DF659A"/>
    <w:rsid w:val="00E10964"/>
    <w:rsid w:val="00E11AFD"/>
    <w:rsid w:val="00E16DF6"/>
    <w:rsid w:val="00E17FFD"/>
    <w:rsid w:val="00E2125F"/>
    <w:rsid w:val="00E21942"/>
    <w:rsid w:val="00E244E1"/>
    <w:rsid w:val="00E4150C"/>
    <w:rsid w:val="00E627B1"/>
    <w:rsid w:val="00E66CAE"/>
    <w:rsid w:val="00E70169"/>
    <w:rsid w:val="00E813D3"/>
    <w:rsid w:val="00E9376C"/>
    <w:rsid w:val="00E95AE2"/>
    <w:rsid w:val="00EA335E"/>
    <w:rsid w:val="00EA528C"/>
    <w:rsid w:val="00EA580C"/>
    <w:rsid w:val="00EA711A"/>
    <w:rsid w:val="00EB094C"/>
    <w:rsid w:val="00EC1777"/>
    <w:rsid w:val="00EC6F8D"/>
    <w:rsid w:val="00ED39B2"/>
    <w:rsid w:val="00ED48DD"/>
    <w:rsid w:val="00ED4FA0"/>
    <w:rsid w:val="00EE092F"/>
    <w:rsid w:val="00EE49F4"/>
    <w:rsid w:val="00EE5F8F"/>
    <w:rsid w:val="00EE7563"/>
    <w:rsid w:val="00EF34E2"/>
    <w:rsid w:val="00EF3977"/>
    <w:rsid w:val="00F11405"/>
    <w:rsid w:val="00F1238F"/>
    <w:rsid w:val="00F164AF"/>
    <w:rsid w:val="00F30DC6"/>
    <w:rsid w:val="00F32C23"/>
    <w:rsid w:val="00F3389E"/>
    <w:rsid w:val="00F473AD"/>
    <w:rsid w:val="00F5052D"/>
    <w:rsid w:val="00F5330E"/>
    <w:rsid w:val="00F53DE9"/>
    <w:rsid w:val="00F576CB"/>
    <w:rsid w:val="00F645CD"/>
    <w:rsid w:val="00F65AA2"/>
    <w:rsid w:val="00F66398"/>
    <w:rsid w:val="00F6745C"/>
    <w:rsid w:val="00F7035D"/>
    <w:rsid w:val="00F71A02"/>
    <w:rsid w:val="00F73F2D"/>
    <w:rsid w:val="00F83503"/>
    <w:rsid w:val="00F84023"/>
    <w:rsid w:val="00F849D8"/>
    <w:rsid w:val="00F95F28"/>
    <w:rsid w:val="00FA0D63"/>
    <w:rsid w:val="00FC72ED"/>
    <w:rsid w:val="00FD1226"/>
    <w:rsid w:val="00FF4830"/>
    <w:rsid w:val="00FF7DF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0"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3C06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C6F99"/>
    <w:pPr>
      <w:keepNext/>
      <w:spacing w:before="240" w:after="60"/>
      <w:outlineLvl w:val="2"/>
    </w:pPr>
    <w:rPr>
      <w:rFonts w:ascii="Cambria" w:hAnsi="Cambria"/>
      <w:b/>
      <w:bCs/>
      <w:sz w:val="26"/>
      <w:szCs w:val="26"/>
      <w:lang w:val="en-GB"/>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decision-label">
    <w:name w:val="decision-label"/>
    <w:basedOn w:val="Normal"/>
    <w:rsid w:val="000746AF"/>
    <w:pPr>
      <w:spacing w:before="100" w:beforeAutospacing="1" w:after="100" w:afterAutospacing="1"/>
    </w:pPr>
    <w:rPr>
      <w:lang w:eastAsia="zh-CN"/>
    </w:rPr>
  </w:style>
  <w:style w:type="paragraph" w:customStyle="1" w:styleId="decisionelement">
    <w:name w:val="decision_element"/>
    <w:basedOn w:val="Normal"/>
    <w:rsid w:val="000746AF"/>
    <w:pPr>
      <w:spacing w:before="100" w:beforeAutospacing="1" w:after="100" w:afterAutospacing="1"/>
    </w:pPr>
    <w:rPr>
      <w:lang w:eastAsia="zh-CN"/>
    </w:rPr>
  </w:style>
  <w:style w:type="character" w:styleId="Hyperlink">
    <w:name w:val="Hyperlink"/>
    <w:basedOn w:val="DefaultParagraphFont"/>
    <w:uiPriority w:val="99"/>
    <w:unhideWhenUsed/>
    <w:rsid w:val="000746AF"/>
    <w:rPr>
      <w:color w:val="0000FF"/>
      <w:u w:val="single"/>
    </w:rPr>
  </w:style>
  <w:style w:type="character" w:styleId="Strong">
    <w:name w:val="Strong"/>
    <w:basedOn w:val="DefaultParagraphFont"/>
    <w:uiPriority w:val="22"/>
    <w:qFormat/>
    <w:rsid w:val="000746AF"/>
    <w:rPr>
      <w:b/>
      <w:bCs/>
    </w:rPr>
  </w:style>
  <w:style w:type="character" w:styleId="FollowedHyperlink">
    <w:name w:val="FollowedHyperlink"/>
    <w:basedOn w:val="DefaultParagraphFont"/>
    <w:uiPriority w:val="99"/>
    <w:semiHidden/>
    <w:unhideWhenUsed/>
    <w:rsid w:val="0079013D"/>
    <w:rPr>
      <w:color w:val="800080" w:themeColor="followedHyperlink"/>
      <w:u w:val="single"/>
    </w:rPr>
  </w:style>
  <w:style w:type="paragraph" w:customStyle="1" w:styleId="formtext">
    <w:name w:val="formtext"/>
    <w:basedOn w:val="Normal"/>
    <w:link w:val="formtextChar"/>
    <w:rsid w:val="00024DA0"/>
    <w:pPr>
      <w:spacing w:before="80" w:after="80" w:line="240" w:lineRule="exact"/>
    </w:pPr>
    <w:rPr>
      <w:rFonts w:ascii="Arial" w:eastAsia="SimSun" w:hAnsi="Arial"/>
      <w:sz w:val="22"/>
      <w:szCs w:val="22"/>
      <w:lang w:val="en-US"/>
    </w:rPr>
  </w:style>
  <w:style w:type="character" w:styleId="UnresolvedMention">
    <w:name w:val="Unresolved Mention"/>
    <w:basedOn w:val="DefaultParagraphFont"/>
    <w:uiPriority w:val="99"/>
    <w:semiHidden/>
    <w:unhideWhenUsed/>
    <w:rsid w:val="0052106D"/>
    <w:rPr>
      <w:color w:val="605E5C"/>
      <w:shd w:val="clear" w:color="auto" w:fill="E1DFDD"/>
    </w:rPr>
  </w:style>
  <w:style w:type="character" w:customStyle="1" w:styleId="Heading3Char">
    <w:name w:val="Heading 3 Char"/>
    <w:basedOn w:val="DefaultParagraphFont"/>
    <w:link w:val="Heading3"/>
    <w:rsid w:val="004C6F99"/>
    <w:rPr>
      <w:rFonts w:ascii="Cambria" w:eastAsia="Times New Roman" w:hAnsi="Cambria"/>
      <w:b/>
      <w:bCs/>
      <w:sz w:val="26"/>
      <w:szCs w:val="26"/>
      <w:lang w:val="en-GB"/>
    </w:rPr>
  </w:style>
  <w:style w:type="paragraph" w:customStyle="1" w:styleId="Default">
    <w:name w:val="Default"/>
    <w:rsid w:val="00515B16"/>
    <w:pPr>
      <w:autoSpaceDE w:val="0"/>
      <w:autoSpaceDN w:val="0"/>
      <w:adjustRightInd w:val="0"/>
    </w:pPr>
    <w:rPr>
      <w:rFonts w:ascii="Arial" w:hAnsi="Arial" w:cs="Arial"/>
      <w:color w:val="000000"/>
      <w:sz w:val="24"/>
      <w:szCs w:val="24"/>
      <w:lang w:val="en-US" w:eastAsia="zh-CN"/>
    </w:rPr>
  </w:style>
  <w:style w:type="paragraph" w:customStyle="1" w:styleId="DECISION">
    <w:name w:val="DECISION"/>
    <w:basedOn w:val="Normal"/>
    <w:qFormat/>
    <w:rsid w:val="00515B16"/>
    <w:pPr>
      <w:keepNext/>
      <w:spacing w:before="360" w:after="240"/>
    </w:pPr>
    <w:rPr>
      <w:rFonts w:ascii="Arial" w:hAnsi="Arial" w:cs="Arial"/>
      <w:b/>
      <w:sz w:val="22"/>
      <w:szCs w:val="22"/>
      <w:lang w:val="en-GB"/>
    </w:rPr>
  </w:style>
  <w:style w:type="paragraph" w:customStyle="1" w:styleId="Dcisionpremireligne">
    <w:name w:val="Décision première ligne"/>
    <w:basedOn w:val="Normal"/>
    <w:qFormat/>
    <w:rsid w:val="00515B16"/>
    <w:pPr>
      <w:keepNext/>
    </w:pPr>
    <w:rPr>
      <w:rFonts w:ascii="Arial" w:hAnsi="Arial"/>
      <w:sz w:val="22"/>
      <w:lang w:val="en-GB"/>
    </w:rPr>
  </w:style>
  <w:style w:type="paragraph" w:customStyle="1" w:styleId="Dcisionparanumrot">
    <w:name w:val="Décision para numéroté"/>
    <w:basedOn w:val="Normal"/>
    <w:qFormat/>
    <w:rsid w:val="00515B16"/>
    <w:pPr>
      <w:numPr>
        <w:numId w:val="21"/>
      </w:numPr>
      <w:spacing w:before="240"/>
      <w:jc w:val="both"/>
    </w:pPr>
    <w:rPr>
      <w:rFonts w:ascii="Arial" w:hAnsi="Arial" w:cs="Arial"/>
      <w:sz w:val="22"/>
      <w:szCs w:val="22"/>
      <w:lang w:val="en-GB"/>
    </w:rPr>
  </w:style>
  <w:style w:type="paragraph" w:customStyle="1" w:styleId="ANNEXE">
    <w:name w:val="ANNEXE"/>
    <w:basedOn w:val="Normal"/>
    <w:link w:val="ANNEXECar"/>
    <w:qFormat/>
    <w:rsid w:val="00515B16"/>
    <w:pPr>
      <w:keepNext/>
      <w:spacing w:before="360" w:after="240"/>
      <w:jc w:val="center"/>
    </w:pPr>
    <w:rPr>
      <w:rFonts w:ascii="Arial" w:hAnsi="Arial" w:cs="Arial"/>
      <w:b/>
      <w:caps/>
      <w:sz w:val="22"/>
      <w:szCs w:val="22"/>
      <w:lang w:val="en-GB"/>
    </w:rPr>
  </w:style>
  <w:style w:type="character" w:customStyle="1" w:styleId="ANNEXECar">
    <w:name w:val="ANNEXE Car"/>
    <w:basedOn w:val="DefaultParagraphFont"/>
    <w:link w:val="ANNEXE"/>
    <w:rsid w:val="00515B16"/>
    <w:rPr>
      <w:rFonts w:ascii="Arial" w:eastAsia="Times New Roman" w:hAnsi="Arial" w:cs="Arial"/>
      <w:b/>
      <w:caps/>
      <w:sz w:val="22"/>
      <w:szCs w:val="22"/>
      <w:lang w:val="en-GB"/>
    </w:rPr>
  </w:style>
  <w:style w:type="character" w:customStyle="1" w:styleId="Heading1Char">
    <w:name w:val="Heading 1 Char"/>
    <w:basedOn w:val="DefaultParagraphFont"/>
    <w:link w:val="Heading1"/>
    <w:uiPriority w:val="9"/>
    <w:rsid w:val="003C062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1238F"/>
    <w:rPr>
      <w:sz w:val="16"/>
      <w:szCs w:val="16"/>
    </w:rPr>
  </w:style>
  <w:style w:type="paragraph" w:styleId="CommentText">
    <w:name w:val="annotation text"/>
    <w:basedOn w:val="Normal"/>
    <w:link w:val="CommentTextChar"/>
    <w:uiPriority w:val="99"/>
    <w:semiHidden/>
    <w:unhideWhenUsed/>
    <w:rsid w:val="00F1238F"/>
    <w:rPr>
      <w:sz w:val="20"/>
      <w:szCs w:val="20"/>
    </w:rPr>
  </w:style>
  <w:style w:type="character" w:customStyle="1" w:styleId="CommentTextChar">
    <w:name w:val="Comment Text Char"/>
    <w:basedOn w:val="DefaultParagraphFont"/>
    <w:link w:val="CommentText"/>
    <w:uiPriority w:val="99"/>
    <w:semiHidden/>
    <w:rsid w:val="00F123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238F"/>
    <w:rPr>
      <w:b/>
      <w:bCs/>
    </w:rPr>
  </w:style>
  <w:style w:type="character" w:customStyle="1" w:styleId="CommentSubjectChar">
    <w:name w:val="Comment Subject Char"/>
    <w:basedOn w:val="CommentTextChar"/>
    <w:link w:val="CommentSubject"/>
    <w:uiPriority w:val="99"/>
    <w:semiHidden/>
    <w:rsid w:val="00F1238F"/>
    <w:rPr>
      <w:rFonts w:ascii="Times New Roman" w:eastAsia="Times New Roman" w:hAnsi="Times New Roman"/>
      <w:b/>
      <w:bCs/>
    </w:rPr>
  </w:style>
  <w:style w:type="character" w:customStyle="1" w:styleId="formtextChar">
    <w:name w:val="formtext Char"/>
    <w:link w:val="formtext"/>
    <w:rsid w:val="00310681"/>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58899">
      <w:bodyDiv w:val="1"/>
      <w:marLeft w:val="0"/>
      <w:marRight w:val="0"/>
      <w:marTop w:val="0"/>
      <w:marBottom w:val="0"/>
      <w:divBdr>
        <w:top w:val="none" w:sz="0" w:space="0" w:color="auto"/>
        <w:left w:val="none" w:sz="0" w:space="0" w:color="auto"/>
        <w:bottom w:val="none" w:sz="0" w:space="0" w:color="auto"/>
        <w:right w:val="none" w:sz="0" w:space="0" w:color="auto"/>
      </w:divBdr>
    </w:div>
    <w:div w:id="295380480">
      <w:bodyDiv w:val="1"/>
      <w:marLeft w:val="0"/>
      <w:marRight w:val="0"/>
      <w:marTop w:val="0"/>
      <w:marBottom w:val="0"/>
      <w:divBdr>
        <w:top w:val="none" w:sz="0" w:space="0" w:color="auto"/>
        <w:left w:val="none" w:sz="0" w:space="0" w:color="auto"/>
        <w:bottom w:val="none" w:sz="0" w:space="0" w:color="auto"/>
        <w:right w:val="none" w:sz="0" w:space="0" w:color="auto"/>
      </w:divBdr>
    </w:div>
    <w:div w:id="326514956">
      <w:bodyDiv w:val="1"/>
      <w:marLeft w:val="0"/>
      <w:marRight w:val="0"/>
      <w:marTop w:val="0"/>
      <w:marBottom w:val="0"/>
      <w:divBdr>
        <w:top w:val="none" w:sz="0" w:space="0" w:color="auto"/>
        <w:left w:val="none" w:sz="0" w:space="0" w:color="auto"/>
        <w:bottom w:val="none" w:sz="0" w:space="0" w:color="auto"/>
        <w:right w:val="none" w:sz="0" w:space="0" w:color="auto"/>
      </w:divBdr>
    </w:div>
    <w:div w:id="537275982">
      <w:bodyDiv w:val="1"/>
      <w:marLeft w:val="0"/>
      <w:marRight w:val="0"/>
      <w:marTop w:val="0"/>
      <w:marBottom w:val="0"/>
      <w:divBdr>
        <w:top w:val="none" w:sz="0" w:space="0" w:color="auto"/>
        <w:left w:val="none" w:sz="0" w:space="0" w:color="auto"/>
        <w:bottom w:val="none" w:sz="0" w:space="0" w:color="auto"/>
        <w:right w:val="none" w:sz="0" w:space="0" w:color="auto"/>
      </w:divBdr>
    </w:div>
    <w:div w:id="56079756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75586886">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734526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download.php?versionID=3744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0.COM/6.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7c-periodic-reporting-rl-01206" TargetMode="External"/><Relationship Id="rId4" Type="http://schemas.openxmlformats.org/officeDocument/2006/relationships/settings" Target="settings.xml"/><Relationship Id="rId9" Type="http://schemas.openxmlformats.org/officeDocument/2006/relationships/hyperlink" Target="https://ich.unesco.org/en/Decisions/10.COM/6.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24</TotalTime>
  <Pages>4</Pages>
  <Words>1993</Words>
  <Characters>11365</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11</cp:revision>
  <cp:lastPrinted>2021-11-14T14:16:00Z</cp:lastPrinted>
  <dcterms:created xsi:type="dcterms:W3CDTF">2021-11-13T09:33:00Z</dcterms:created>
  <dcterms:modified xsi:type="dcterms:W3CDTF">2021-12-07T15:46:00Z</dcterms:modified>
</cp:coreProperties>
</file>