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DF87" w14:textId="32505B7B" w:rsidR="00C42C75" w:rsidRPr="00293C60" w:rsidRDefault="00C42C75" w:rsidP="00050312">
      <w:pPr>
        <w:tabs>
          <w:tab w:val="center" w:pos="4819"/>
          <w:tab w:val="left" w:pos="8895"/>
        </w:tabs>
        <w:snapToGrid w:val="0"/>
        <w:spacing w:before="1440"/>
        <w:jc w:val="center"/>
        <w:rPr>
          <w:rFonts w:ascii="Arial" w:hAnsi="Arial" w:cs="Arial"/>
          <w:b/>
          <w:sz w:val="22"/>
          <w:szCs w:val="22"/>
        </w:rPr>
      </w:pPr>
      <w:r>
        <w:rPr>
          <w:rFonts w:ascii="Arial" w:hAnsi="Arial"/>
          <w:b/>
          <w:sz w:val="22"/>
        </w:rPr>
        <w:t>CONVENTION POUR LA SAUVEGARDE DU</w:t>
      </w:r>
      <w:r w:rsidR="00CD7046">
        <w:rPr>
          <w:rFonts w:ascii="Arial" w:hAnsi="Arial"/>
          <w:b/>
          <w:sz w:val="22"/>
        </w:rPr>
        <w:br/>
      </w:r>
      <w:r>
        <w:rPr>
          <w:rFonts w:ascii="Arial" w:hAnsi="Arial"/>
          <w:b/>
          <w:sz w:val="22"/>
        </w:rPr>
        <w:t>PATRIMOINE CULTUREL IMMATÉRIEL</w:t>
      </w:r>
    </w:p>
    <w:p w14:paraId="15402885" w14:textId="4FD255B9" w:rsidR="00C42C75" w:rsidRPr="00293C60" w:rsidRDefault="00C42C75" w:rsidP="00C42C75">
      <w:pPr>
        <w:spacing w:before="1200"/>
        <w:jc w:val="center"/>
        <w:rPr>
          <w:rFonts w:ascii="Arial" w:hAnsi="Arial" w:cs="Arial"/>
          <w:b/>
          <w:sz w:val="22"/>
          <w:szCs w:val="22"/>
        </w:rPr>
      </w:pPr>
      <w:r>
        <w:rPr>
          <w:rFonts w:ascii="Arial" w:hAnsi="Arial"/>
          <w:b/>
          <w:sz w:val="22"/>
        </w:rPr>
        <w:t>COMITÉ INTERGOUVERNEMENTAL DE SAUVEGARDE</w:t>
      </w:r>
      <w:r w:rsidR="00855936">
        <w:rPr>
          <w:rFonts w:ascii="Arial" w:hAnsi="Arial"/>
          <w:b/>
          <w:sz w:val="22"/>
        </w:rPr>
        <w:br/>
      </w:r>
      <w:r>
        <w:rPr>
          <w:rFonts w:ascii="Arial" w:hAnsi="Arial"/>
          <w:b/>
          <w:sz w:val="22"/>
        </w:rPr>
        <w:t>DU PATRIMOINE CULTUREL IMMATÉRIEL</w:t>
      </w:r>
    </w:p>
    <w:p w14:paraId="595F2E10" w14:textId="77777777" w:rsidR="00C42C75" w:rsidRPr="00293C60" w:rsidRDefault="00C42C75" w:rsidP="00C42C75">
      <w:pPr>
        <w:spacing w:before="840"/>
        <w:jc w:val="center"/>
        <w:rPr>
          <w:rFonts w:ascii="Arial" w:hAnsi="Arial" w:cs="Arial"/>
          <w:b/>
          <w:sz w:val="22"/>
          <w:szCs w:val="22"/>
        </w:rPr>
      </w:pPr>
      <w:r>
        <w:rPr>
          <w:rFonts w:ascii="Arial" w:hAnsi="Arial"/>
          <w:b/>
          <w:sz w:val="22"/>
        </w:rPr>
        <w:t>Dix-septième session</w:t>
      </w:r>
    </w:p>
    <w:p w14:paraId="3376FB0C" w14:textId="77777777" w:rsidR="00C42C75" w:rsidRPr="00B2172B" w:rsidRDefault="00C42C75" w:rsidP="00C42C75">
      <w:pPr>
        <w:jc w:val="center"/>
        <w:rPr>
          <w:rFonts w:ascii="Arial" w:hAnsi="Arial" w:cs="Arial"/>
          <w:b/>
          <w:sz w:val="22"/>
          <w:szCs w:val="22"/>
        </w:rPr>
      </w:pPr>
      <w:r>
        <w:rPr>
          <w:rFonts w:ascii="Arial" w:hAnsi="Arial"/>
          <w:b/>
          <w:sz w:val="22"/>
        </w:rPr>
        <w:t>Rabat, Royaume du Maroc</w:t>
      </w:r>
    </w:p>
    <w:p w14:paraId="7689D006" w14:textId="77777777" w:rsidR="00C42C75" w:rsidRPr="00B2172B" w:rsidRDefault="00C42C75" w:rsidP="00C42C75">
      <w:pPr>
        <w:jc w:val="center"/>
        <w:rPr>
          <w:rFonts w:ascii="Arial" w:hAnsi="Arial" w:cs="Arial"/>
          <w:b/>
          <w:sz w:val="22"/>
          <w:szCs w:val="22"/>
        </w:rPr>
      </w:pPr>
      <w:r>
        <w:rPr>
          <w:rFonts w:ascii="Arial" w:hAnsi="Arial"/>
          <w:b/>
          <w:sz w:val="22"/>
        </w:rPr>
        <w:t>28 novembre – 3 décembre 2022</w:t>
      </w:r>
    </w:p>
    <w:p w14:paraId="1FFE8020" w14:textId="6CA00C21" w:rsidR="00C42C75" w:rsidRPr="00293C60" w:rsidRDefault="00C42C75" w:rsidP="00C42C75">
      <w:pPr>
        <w:pStyle w:val="Sansinterligne2"/>
        <w:spacing w:before="1200"/>
        <w:jc w:val="center"/>
        <w:rPr>
          <w:rFonts w:ascii="Arial" w:hAnsi="Arial" w:cs="Arial"/>
          <w:b/>
          <w:sz w:val="22"/>
          <w:szCs w:val="22"/>
        </w:rPr>
      </w:pPr>
      <w:r>
        <w:rPr>
          <w:rFonts w:ascii="Arial" w:hAnsi="Arial"/>
          <w:b/>
          <w:sz w:val="22"/>
          <w:u w:val="single"/>
        </w:rPr>
        <w:t>Point 6.c de l’ordre du jour provisoire</w:t>
      </w:r>
      <w:r w:rsidRPr="00AB6C1D">
        <w:rPr>
          <w:rFonts w:ascii="Arial" w:hAnsi="Arial"/>
          <w:b/>
          <w:sz w:val="22"/>
        </w:rPr>
        <w:t> :</w:t>
      </w:r>
    </w:p>
    <w:p w14:paraId="24BFB67E" w14:textId="022D9C22" w:rsidR="0066159F" w:rsidRPr="0066159F" w:rsidRDefault="000A728A" w:rsidP="00105CE6">
      <w:pPr>
        <w:spacing w:after="1200"/>
        <w:jc w:val="center"/>
        <w:rPr>
          <w:rFonts w:ascii="Arial" w:hAnsi="Arial" w:cs="Arial"/>
          <w:b/>
          <w:sz w:val="22"/>
          <w:szCs w:val="22"/>
        </w:rPr>
      </w:pPr>
      <w:r w:rsidRPr="000A728A">
        <w:rPr>
          <w:rFonts w:ascii="Arial" w:hAnsi="Arial"/>
          <w:b/>
          <w:sz w:val="22"/>
        </w:rPr>
        <w:t>Point sur le premier cycle de rapports périodiques sur la mise en œuvre de la Convention et sur l’état actuel des éléments inscrits sur la Liste représentative du patrimoine culturel immatériel de l’humanité des États parties d’Amérique latine et des Caraïbes (cycle 2021), des États arabes (cycle 2023) et en Afrique (cycle 2024)</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42C75" w:rsidRPr="00A91430" w14:paraId="2EEE1C61" w14:textId="77777777" w:rsidTr="00EB760A">
        <w:trPr>
          <w:jc w:val="center"/>
        </w:trPr>
        <w:tc>
          <w:tcPr>
            <w:tcW w:w="5670" w:type="dxa"/>
            <w:vAlign w:val="center"/>
          </w:tcPr>
          <w:p w14:paraId="0EE87F7B" w14:textId="6951F8B8" w:rsidR="00C42C75" w:rsidRDefault="00C42C75" w:rsidP="00EB760A">
            <w:pPr>
              <w:pStyle w:val="Sansinterligne1"/>
              <w:spacing w:before="200" w:after="200"/>
              <w:jc w:val="center"/>
              <w:rPr>
                <w:rFonts w:ascii="Arial" w:hAnsi="Arial" w:cs="Arial"/>
                <w:b/>
                <w:sz w:val="22"/>
                <w:szCs w:val="22"/>
              </w:rPr>
            </w:pPr>
            <w:r>
              <w:rPr>
                <w:rFonts w:ascii="Arial" w:hAnsi="Arial"/>
                <w:b/>
                <w:sz w:val="22"/>
              </w:rPr>
              <w:t>Résumé</w:t>
            </w:r>
          </w:p>
          <w:p w14:paraId="382C49E8" w14:textId="4E19135F" w:rsidR="0066159F" w:rsidRDefault="0066159F" w:rsidP="0066159F">
            <w:pPr>
              <w:pStyle w:val="Sansinterligne2"/>
              <w:spacing w:before="200" w:after="200"/>
              <w:jc w:val="both"/>
              <w:rPr>
                <w:rFonts w:ascii="Arial" w:hAnsi="Arial" w:cs="Arial"/>
                <w:sz w:val="22"/>
                <w:szCs w:val="22"/>
              </w:rPr>
            </w:pPr>
            <w:r>
              <w:rPr>
                <w:rFonts w:ascii="Arial" w:hAnsi="Arial"/>
                <w:sz w:val="22"/>
              </w:rPr>
              <w:t>Ce document présente une mise à jour du premier cycle de rapports périodiques sur la mise en œuvre de la Convention et sur l’état actuel des éléments inscrits sur la Liste représentative du patrimoine culturel immatériel de l’humanité d’Amérique latine et des Caraïbes, des États arabes et d’Afrique.</w:t>
            </w:r>
          </w:p>
          <w:p w14:paraId="086F3FC5" w14:textId="252FA860" w:rsidR="00C42C75" w:rsidRPr="00293C60" w:rsidRDefault="00C42C75" w:rsidP="00EB760A">
            <w:pPr>
              <w:pStyle w:val="Sansinterligne2"/>
              <w:spacing w:before="200" w:after="200"/>
              <w:jc w:val="both"/>
              <w:rPr>
                <w:rFonts w:ascii="Arial" w:hAnsi="Arial" w:cs="Arial"/>
                <w:b/>
                <w:sz w:val="22"/>
                <w:szCs w:val="22"/>
              </w:rPr>
            </w:pPr>
            <w:r>
              <w:rPr>
                <w:rFonts w:ascii="Arial" w:hAnsi="Arial"/>
                <w:b/>
                <w:sz w:val="22"/>
              </w:rPr>
              <w:t xml:space="preserve">Décision requise : </w:t>
            </w:r>
            <w:r w:rsidRPr="006E4908">
              <w:rPr>
                <w:rFonts w:ascii="Arial" w:hAnsi="Arial"/>
                <w:sz w:val="22"/>
              </w:rPr>
              <w:t>paragraphe </w:t>
            </w:r>
            <w:r w:rsidR="00710562" w:rsidRPr="006E4908">
              <w:rPr>
                <w:rFonts w:ascii="Arial" w:hAnsi="Arial"/>
                <w:sz w:val="22"/>
              </w:rPr>
              <w:t>1</w:t>
            </w:r>
            <w:r w:rsidR="0093024D" w:rsidRPr="006E4908">
              <w:rPr>
                <w:rFonts w:ascii="Arial" w:hAnsi="Arial"/>
                <w:sz w:val="22"/>
              </w:rPr>
              <w:t>9</w:t>
            </w:r>
          </w:p>
        </w:tc>
      </w:tr>
    </w:tbl>
    <w:p w14:paraId="7C40D50A" w14:textId="0D944CD1" w:rsidR="0066159F" w:rsidRPr="00143D6A" w:rsidRDefault="0066159F" w:rsidP="0066159F">
      <w:pPr>
        <w:rPr>
          <w:rFonts w:asciiTheme="minorBidi" w:hAnsiTheme="minorBidi" w:cstheme="minorBidi"/>
          <w:bCs/>
        </w:rPr>
      </w:pPr>
      <w:r>
        <w:br w:type="page"/>
      </w:r>
    </w:p>
    <w:p w14:paraId="3EE96865" w14:textId="1B08282F" w:rsidR="0066159F" w:rsidRPr="0066159F" w:rsidRDefault="0066159F" w:rsidP="0066159F">
      <w:pPr>
        <w:pStyle w:val="Sansinterligne2"/>
        <w:spacing w:after="120"/>
        <w:jc w:val="both"/>
        <w:rPr>
          <w:rFonts w:asciiTheme="minorBidi" w:hAnsiTheme="minorBidi" w:cstheme="minorBidi"/>
          <w:b/>
          <w:bCs/>
          <w:sz w:val="22"/>
          <w:szCs w:val="22"/>
        </w:rPr>
      </w:pPr>
      <w:r>
        <w:rPr>
          <w:rFonts w:asciiTheme="minorBidi" w:hAnsiTheme="minorBidi"/>
          <w:b/>
          <w:sz w:val="22"/>
        </w:rPr>
        <w:lastRenderedPageBreak/>
        <w:t>Introduction</w:t>
      </w:r>
    </w:p>
    <w:p w14:paraId="4608C4F0" w14:textId="7BE0DAFA" w:rsidR="00D56642" w:rsidRPr="00D56642" w:rsidRDefault="007934F3" w:rsidP="00105CE6">
      <w:pPr>
        <w:pStyle w:val="Sansinterligne2"/>
        <w:numPr>
          <w:ilvl w:val="0"/>
          <w:numId w:val="23"/>
        </w:numPr>
        <w:spacing w:after="120"/>
        <w:ind w:left="567" w:hanging="567"/>
        <w:jc w:val="both"/>
        <w:rPr>
          <w:rFonts w:asciiTheme="minorBidi" w:hAnsiTheme="minorBidi" w:cstheme="minorBidi"/>
          <w:sz w:val="22"/>
          <w:szCs w:val="22"/>
        </w:rPr>
      </w:pPr>
      <w:r w:rsidRPr="00DF4069">
        <w:rPr>
          <w:rFonts w:asciiTheme="minorBidi" w:hAnsiTheme="minorBidi"/>
          <w:sz w:val="22"/>
        </w:rPr>
        <w:t>En vertu</w:t>
      </w:r>
      <w:r>
        <w:rPr>
          <w:rFonts w:asciiTheme="minorBidi" w:hAnsiTheme="minorBidi"/>
          <w:sz w:val="22"/>
        </w:rPr>
        <w:t xml:space="preserve"> de l’</w:t>
      </w:r>
      <w:r w:rsidR="0026548C">
        <w:rPr>
          <w:rFonts w:asciiTheme="minorBidi" w:hAnsiTheme="minorBidi"/>
          <w:sz w:val="22"/>
        </w:rPr>
        <w:t>a</w:t>
      </w:r>
      <w:r>
        <w:rPr>
          <w:rFonts w:asciiTheme="minorBidi" w:hAnsiTheme="minorBidi"/>
          <w:sz w:val="22"/>
        </w:rPr>
        <w:t xml:space="preserve">rticle 29 de la Convention, le mécanisme de présentation des rapports périodiques a été réformé dans le but d’en améliorer la qualité, l’utilité et la rapidité d’exécution, ainsi que pour remédier au faible taux de soumission, </w:t>
      </w:r>
      <w:proofErr w:type="gramStart"/>
      <w:r>
        <w:rPr>
          <w:rFonts w:asciiTheme="minorBidi" w:hAnsiTheme="minorBidi"/>
          <w:sz w:val="22"/>
        </w:rPr>
        <w:t>suite à</w:t>
      </w:r>
      <w:proofErr w:type="gramEnd"/>
      <w:r>
        <w:rPr>
          <w:rFonts w:asciiTheme="minorBidi" w:hAnsiTheme="minorBidi"/>
          <w:sz w:val="22"/>
        </w:rPr>
        <w:t xml:space="preserve"> la décision de la douzième session du Comité en 2017 (</w:t>
      </w:r>
      <w:r w:rsidR="006D7414">
        <w:rPr>
          <w:rFonts w:asciiTheme="minorBidi" w:hAnsiTheme="minorBidi"/>
          <w:sz w:val="22"/>
        </w:rPr>
        <w:t>d</w:t>
      </w:r>
      <w:r>
        <w:rPr>
          <w:rFonts w:asciiTheme="minorBidi" w:hAnsiTheme="minorBidi"/>
          <w:sz w:val="22"/>
        </w:rPr>
        <w:t>écision </w:t>
      </w:r>
      <w:hyperlink r:id="rId8" w:history="1">
        <w:r>
          <w:rPr>
            <w:rStyle w:val="Lienhypertexte"/>
            <w:rFonts w:asciiTheme="minorBidi" w:hAnsiTheme="minorBidi"/>
            <w:sz w:val="22"/>
          </w:rPr>
          <w:t>12.COM 10</w:t>
        </w:r>
      </w:hyperlink>
      <w:r>
        <w:rPr>
          <w:rFonts w:asciiTheme="minorBidi" w:hAnsiTheme="minorBidi"/>
          <w:sz w:val="22"/>
        </w:rPr>
        <w:t>). Le mécanisme a été aligné sur le cadre global de résultats de la Convention afin de garantir la cohérence entre les processus et les objectifs généraux de la mise en œuvre de la Convention et de permettre un suivi plus efficace de la réalisation de ces objectifs (</w:t>
      </w:r>
      <w:r w:rsidR="00D722A6">
        <w:rPr>
          <w:rFonts w:asciiTheme="minorBidi" w:hAnsiTheme="minorBidi"/>
          <w:sz w:val="22"/>
        </w:rPr>
        <w:t>r</w:t>
      </w:r>
      <w:r>
        <w:rPr>
          <w:rFonts w:asciiTheme="minorBidi" w:hAnsiTheme="minorBidi"/>
          <w:sz w:val="22"/>
        </w:rPr>
        <w:t>ésolution </w:t>
      </w:r>
      <w:hyperlink r:id="rId9" w:history="1">
        <w:r w:rsidRPr="00B966CE">
          <w:rPr>
            <w:rStyle w:val="Lienhypertexte"/>
            <w:rFonts w:asciiTheme="minorBidi" w:hAnsiTheme="minorBidi"/>
            <w:sz w:val="22"/>
          </w:rPr>
          <w:t>7.GA 9</w:t>
        </w:r>
      </w:hyperlink>
      <w:r>
        <w:rPr>
          <w:rFonts w:asciiTheme="minorBidi" w:hAnsiTheme="minorBidi"/>
          <w:sz w:val="22"/>
        </w:rPr>
        <w:t xml:space="preserve"> et </w:t>
      </w:r>
      <w:r w:rsidR="006D7414">
        <w:rPr>
          <w:rFonts w:asciiTheme="minorBidi" w:hAnsiTheme="minorBidi"/>
          <w:sz w:val="22"/>
        </w:rPr>
        <w:t>d</w:t>
      </w:r>
      <w:r>
        <w:rPr>
          <w:rFonts w:asciiTheme="minorBidi" w:hAnsiTheme="minorBidi"/>
          <w:sz w:val="22"/>
        </w:rPr>
        <w:t>écision </w:t>
      </w:r>
      <w:hyperlink r:id="rId10" w:history="1">
        <w:r>
          <w:rPr>
            <w:rStyle w:val="Lienhypertexte"/>
            <w:rFonts w:asciiTheme="minorBidi" w:hAnsiTheme="minorBidi"/>
            <w:sz w:val="22"/>
          </w:rPr>
          <w:t>14.COM 8</w:t>
        </w:r>
      </w:hyperlink>
      <w:r>
        <w:rPr>
          <w:rFonts w:asciiTheme="minorBidi" w:hAnsiTheme="minorBidi"/>
          <w:sz w:val="22"/>
        </w:rPr>
        <w:t>). Cela concerne les rapports sur la mise en œuvre de la Convention et sur l’état actuel des éléments inscrits sur la Liste représentative du patrimoine culturel immatériel de l’humanité (les rapports sur les éléments inscrits sur la Liste de sauvegarde urgente n’étaient pas concernés par la réforme).</w:t>
      </w:r>
    </w:p>
    <w:p w14:paraId="11F4D3A2" w14:textId="2FF784ED" w:rsidR="00236DB0" w:rsidRDefault="00D56642" w:rsidP="00105CE6">
      <w:pPr>
        <w:pStyle w:val="Sansinterligne2"/>
        <w:numPr>
          <w:ilvl w:val="0"/>
          <w:numId w:val="23"/>
        </w:numPr>
        <w:spacing w:after="120"/>
        <w:ind w:left="567" w:hanging="567"/>
        <w:jc w:val="both"/>
        <w:rPr>
          <w:rFonts w:asciiTheme="minorBidi" w:hAnsiTheme="minorBidi" w:cstheme="minorBidi"/>
          <w:sz w:val="22"/>
          <w:szCs w:val="22"/>
        </w:rPr>
      </w:pPr>
      <w:r>
        <w:rPr>
          <w:rFonts w:asciiTheme="minorBidi" w:hAnsiTheme="minorBidi"/>
          <w:sz w:val="22"/>
        </w:rPr>
        <w:t xml:space="preserve">La périodicité des rapports a également été modifiée afin que les États parties soumettent leurs rapports tous les six ans sur la base d’un système de rotation </w:t>
      </w:r>
      <w:r w:rsidRPr="00050312">
        <w:rPr>
          <w:rFonts w:ascii="Arial" w:hAnsi="Arial" w:cs="Arial"/>
          <w:sz w:val="22"/>
        </w:rPr>
        <w:t>régionale (</w:t>
      </w:r>
      <w:r w:rsidR="006D7414" w:rsidRPr="00050312">
        <w:rPr>
          <w:rFonts w:ascii="Arial" w:hAnsi="Arial" w:cs="Arial"/>
          <w:sz w:val="22"/>
        </w:rPr>
        <w:t>d</w:t>
      </w:r>
      <w:r w:rsidR="00137217" w:rsidRPr="00105CE6">
        <w:rPr>
          <w:rFonts w:ascii="Arial" w:hAnsi="Arial" w:cs="Arial"/>
        </w:rPr>
        <w:t>écision</w:t>
      </w:r>
      <w:r w:rsidR="00137217" w:rsidRPr="00105CE6">
        <w:t> </w:t>
      </w:r>
      <w:hyperlink r:id="rId11" w:history="1">
        <w:r w:rsidR="00137217" w:rsidRPr="00592508">
          <w:rPr>
            <w:rStyle w:val="Lienhypertexte"/>
            <w:rFonts w:asciiTheme="minorBidi" w:hAnsiTheme="minorBidi"/>
            <w:sz w:val="22"/>
          </w:rPr>
          <w:t>13.COM 8</w:t>
        </w:r>
      </w:hyperlink>
      <w:r>
        <w:rPr>
          <w:rFonts w:asciiTheme="minorBidi" w:hAnsiTheme="minorBidi"/>
          <w:sz w:val="22"/>
        </w:rPr>
        <w:t>). Le calendrier du premier cycle de rapport a été défini comme suit :</w:t>
      </w:r>
    </w:p>
    <w:p w14:paraId="6C9A4866" w14:textId="590CD5F3" w:rsidR="006E7394"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b/>
          <w:sz w:val="22"/>
        </w:rPr>
        <w:t>Amérique latine et Caraïbes</w:t>
      </w:r>
      <w:r>
        <w:rPr>
          <w:rFonts w:asciiTheme="minorBidi" w:hAnsiTheme="minorBidi"/>
          <w:sz w:val="22"/>
        </w:rPr>
        <w:t xml:space="preserve"> (cycle de 2021) : soumission des rapports périodiques a</w:t>
      </w:r>
      <w:r w:rsidR="00204992">
        <w:rPr>
          <w:rFonts w:asciiTheme="minorBidi" w:hAnsiTheme="minorBidi"/>
          <w:sz w:val="22"/>
        </w:rPr>
        <w:t>u plus tard</w:t>
      </w:r>
      <w:r>
        <w:rPr>
          <w:rFonts w:asciiTheme="minorBidi" w:hAnsiTheme="minorBidi"/>
          <w:sz w:val="22"/>
        </w:rPr>
        <w:t xml:space="preserve"> le 15 décembre 2020 pour examen par le Comité lors de sa seizième session en 2021.</w:t>
      </w:r>
    </w:p>
    <w:p w14:paraId="6E6E79BF" w14:textId="1F113FFF" w:rsidR="006E7394"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b/>
          <w:sz w:val="22"/>
        </w:rPr>
        <w:t>Europe</w:t>
      </w:r>
      <w:r>
        <w:rPr>
          <w:rFonts w:asciiTheme="minorBidi" w:hAnsiTheme="minorBidi"/>
          <w:sz w:val="22"/>
        </w:rPr>
        <w:t xml:space="preserve"> (cycle de 2022) : soumission des rapports périodiques </w:t>
      </w:r>
      <w:r w:rsidR="00204992">
        <w:rPr>
          <w:rFonts w:asciiTheme="minorBidi" w:hAnsiTheme="minorBidi"/>
          <w:sz w:val="22"/>
        </w:rPr>
        <w:t xml:space="preserve">au plus tard </w:t>
      </w:r>
      <w:r>
        <w:rPr>
          <w:rFonts w:asciiTheme="minorBidi" w:hAnsiTheme="minorBidi"/>
          <w:sz w:val="22"/>
        </w:rPr>
        <w:t>le 15 décembre 2021 pour examen par le Comité lors de sa dix-septième session en 2022.</w:t>
      </w:r>
    </w:p>
    <w:p w14:paraId="04C0AF29" w14:textId="068D23C6" w:rsidR="0063324B" w:rsidRPr="0063324B"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b/>
          <w:sz w:val="22"/>
        </w:rPr>
        <w:t>États arabes</w:t>
      </w:r>
      <w:r>
        <w:rPr>
          <w:rFonts w:asciiTheme="minorBidi" w:hAnsiTheme="minorBidi"/>
          <w:sz w:val="22"/>
        </w:rPr>
        <w:t xml:space="preserve"> (cycle de 2023) : soumission des rapports périodiques </w:t>
      </w:r>
      <w:r w:rsidR="00204992">
        <w:rPr>
          <w:rFonts w:asciiTheme="minorBidi" w:hAnsiTheme="minorBidi"/>
          <w:sz w:val="22"/>
        </w:rPr>
        <w:t>au plus tard</w:t>
      </w:r>
      <w:r>
        <w:rPr>
          <w:rFonts w:asciiTheme="minorBidi" w:hAnsiTheme="minorBidi"/>
          <w:sz w:val="22"/>
        </w:rPr>
        <w:t xml:space="preserve"> le 15 décembre 2022 pour examen par le Comité lors de sa dix-huitième session en 2023.</w:t>
      </w:r>
    </w:p>
    <w:p w14:paraId="47F5765E" w14:textId="7C65987B" w:rsidR="0063324B" w:rsidRPr="0063324B"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b/>
          <w:sz w:val="22"/>
        </w:rPr>
        <w:t>Afrique</w:t>
      </w:r>
      <w:r>
        <w:rPr>
          <w:rFonts w:asciiTheme="minorBidi" w:hAnsiTheme="minorBidi"/>
          <w:sz w:val="22"/>
        </w:rPr>
        <w:t xml:space="preserve"> (cycle de 2024) : soumission des rapports périodiques </w:t>
      </w:r>
      <w:r w:rsidR="00204992">
        <w:rPr>
          <w:rFonts w:asciiTheme="minorBidi" w:hAnsiTheme="minorBidi"/>
          <w:sz w:val="22"/>
        </w:rPr>
        <w:t xml:space="preserve">au plus tard </w:t>
      </w:r>
      <w:r>
        <w:rPr>
          <w:rFonts w:asciiTheme="minorBidi" w:hAnsiTheme="minorBidi"/>
          <w:sz w:val="22"/>
        </w:rPr>
        <w:t>le 15 décembre 2023 pour examen par le Comité lors de sa dix-neuvième session en 2024.</w:t>
      </w:r>
    </w:p>
    <w:p w14:paraId="1D1DF412" w14:textId="53D2E0D6" w:rsidR="0063324B" w:rsidRPr="0063324B"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b/>
          <w:sz w:val="22"/>
        </w:rPr>
        <w:t>Asie et Pacifique</w:t>
      </w:r>
      <w:r>
        <w:rPr>
          <w:rFonts w:asciiTheme="minorBidi" w:hAnsiTheme="minorBidi"/>
          <w:sz w:val="22"/>
        </w:rPr>
        <w:t xml:space="preserve"> (cycle de 2025) : soumission des rapports périodiques </w:t>
      </w:r>
      <w:r w:rsidR="00204992">
        <w:rPr>
          <w:rFonts w:asciiTheme="minorBidi" w:hAnsiTheme="minorBidi"/>
          <w:sz w:val="22"/>
        </w:rPr>
        <w:t>au plus tard</w:t>
      </w:r>
      <w:r>
        <w:rPr>
          <w:rFonts w:asciiTheme="minorBidi" w:hAnsiTheme="minorBidi"/>
          <w:sz w:val="22"/>
        </w:rPr>
        <w:t xml:space="preserve"> le 15 décembre 2024 pour examen par le Comité lors de sa vingtième session en 2025.</w:t>
      </w:r>
    </w:p>
    <w:p w14:paraId="274ACCA3" w14:textId="3072E872" w:rsidR="007934F3" w:rsidRPr="006E7394" w:rsidRDefault="00236DB0" w:rsidP="00105CE6">
      <w:pPr>
        <w:pStyle w:val="Sansinterligne2"/>
        <w:numPr>
          <w:ilvl w:val="0"/>
          <w:numId w:val="32"/>
        </w:numPr>
        <w:spacing w:after="120"/>
        <w:ind w:left="1134" w:hanging="567"/>
        <w:jc w:val="both"/>
        <w:rPr>
          <w:rFonts w:asciiTheme="minorBidi" w:hAnsiTheme="minorBidi" w:cstheme="minorBidi"/>
          <w:sz w:val="22"/>
          <w:szCs w:val="22"/>
        </w:rPr>
      </w:pPr>
      <w:r>
        <w:rPr>
          <w:rFonts w:asciiTheme="minorBidi" w:hAnsiTheme="minorBidi"/>
          <w:sz w:val="22"/>
        </w:rPr>
        <w:t>Le premier cycle se terminera par une année de réflexion en 2026.</w:t>
      </w:r>
    </w:p>
    <w:p w14:paraId="45357602" w14:textId="2D96FF04" w:rsidR="00302232" w:rsidRPr="00302232" w:rsidRDefault="009E56E5" w:rsidP="00105CE6">
      <w:pPr>
        <w:pStyle w:val="Sansinterligne2"/>
        <w:numPr>
          <w:ilvl w:val="0"/>
          <w:numId w:val="23"/>
        </w:numPr>
        <w:spacing w:after="120"/>
        <w:ind w:left="567" w:hanging="567"/>
        <w:jc w:val="both"/>
        <w:rPr>
          <w:rFonts w:asciiTheme="minorBidi" w:hAnsiTheme="minorBidi" w:cstheme="minorBidi"/>
          <w:b/>
          <w:bCs/>
          <w:snapToGrid w:val="0"/>
          <w:sz w:val="22"/>
          <w:szCs w:val="22"/>
        </w:rPr>
      </w:pPr>
      <w:r>
        <w:rPr>
          <w:rFonts w:asciiTheme="minorBidi" w:hAnsiTheme="minorBidi"/>
          <w:snapToGrid w:val="0"/>
          <w:sz w:val="22"/>
        </w:rPr>
        <w:t xml:space="preserve">Pour chaque région, les États parties passent par un processus en quatre phases sur une période de quatre ans : la </w:t>
      </w:r>
      <w:r>
        <w:rPr>
          <w:rFonts w:asciiTheme="minorBidi" w:hAnsiTheme="minorBidi"/>
          <w:snapToGrid w:val="0"/>
          <w:sz w:val="22"/>
          <w:u w:val="single"/>
        </w:rPr>
        <w:t>phase 1</w:t>
      </w:r>
      <w:r>
        <w:rPr>
          <w:rFonts w:asciiTheme="minorBidi" w:hAnsiTheme="minorBidi"/>
          <w:snapToGrid w:val="0"/>
          <w:sz w:val="22"/>
        </w:rPr>
        <w:t xml:space="preserve"> </w:t>
      </w:r>
      <w:r w:rsidR="00073EA7">
        <w:rPr>
          <w:rFonts w:asciiTheme="minorBidi" w:hAnsiTheme="minorBidi"/>
          <w:snapToGrid w:val="0"/>
          <w:sz w:val="22"/>
        </w:rPr>
        <w:t xml:space="preserve">(première année) </w:t>
      </w:r>
      <w:r>
        <w:rPr>
          <w:rFonts w:asciiTheme="minorBidi" w:hAnsiTheme="minorBidi"/>
          <w:snapToGrid w:val="0"/>
          <w:sz w:val="22"/>
        </w:rPr>
        <w:t xml:space="preserve">est le lancement de l’exercice, impliquant la </w:t>
      </w:r>
      <w:r w:rsidRPr="00105CE6">
        <w:rPr>
          <w:rFonts w:asciiTheme="minorBidi" w:hAnsiTheme="minorBidi" w:cstheme="minorBidi"/>
          <w:snapToGrid w:val="0"/>
          <w:sz w:val="22"/>
        </w:rPr>
        <w:t>désignation</w:t>
      </w:r>
      <w:r w:rsidR="001E156E" w:rsidRPr="00105CE6">
        <w:rPr>
          <w:rFonts w:asciiTheme="minorBidi" w:hAnsiTheme="minorBidi" w:cstheme="minorBidi"/>
          <w:snapToGrid w:val="0"/>
          <w:sz w:val="22"/>
        </w:rPr>
        <w:t xml:space="preserve"> par les États</w:t>
      </w:r>
      <w:r w:rsidR="001E156E">
        <w:rPr>
          <w:rFonts w:asciiTheme="minorBidi" w:hAnsiTheme="minorBidi" w:cstheme="minorBidi"/>
          <w:snapToGrid w:val="0"/>
          <w:sz w:val="22"/>
        </w:rPr>
        <w:t xml:space="preserve"> parties</w:t>
      </w:r>
      <w:r w:rsidR="001E156E">
        <w:rPr>
          <w:rFonts w:asciiTheme="minorBidi" w:hAnsiTheme="minorBidi"/>
          <w:snapToGrid w:val="0"/>
          <w:sz w:val="22"/>
        </w:rPr>
        <w:t xml:space="preserve"> </w:t>
      </w:r>
      <w:r>
        <w:rPr>
          <w:rFonts w:asciiTheme="minorBidi" w:hAnsiTheme="minorBidi"/>
          <w:snapToGrid w:val="0"/>
          <w:sz w:val="22"/>
        </w:rPr>
        <w:t xml:space="preserve"> des points focaux nationaux pour l’exercice de rapport périodique et la formation des facilitateurs</w:t>
      </w:r>
      <w:r w:rsidR="00DF2839">
        <w:rPr>
          <w:rFonts w:asciiTheme="minorBidi" w:hAnsiTheme="minorBidi"/>
          <w:snapToGrid w:val="0"/>
          <w:sz w:val="22"/>
        </w:rPr>
        <w:t xml:space="preserve"> pour accompagner les points focaux nationaux</w:t>
      </w:r>
      <w:r>
        <w:rPr>
          <w:rFonts w:asciiTheme="minorBidi" w:hAnsiTheme="minorBidi"/>
          <w:snapToGrid w:val="0"/>
          <w:sz w:val="22"/>
        </w:rPr>
        <w:t xml:space="preserve"> ; la </w:t>
      </w:r>
      <w:r>
        <w:rPr>
          <w:rFonts w:asciiTheme="minorBidi" w:hAnsiTheme="minorBidi"/>
          <w:snapToGrid w:val="0"/>
          <w:sz w:val="22"/>
          <w:u w:val="single"/>
        </w:rPr>
        <w:t>phase 2</w:t>
      </w:r>
      <w:r w:rsidR="00751D23">
        <w:rPr>
          <w:rFonts w:asciiTheme="minorBidi" w:hAnsiTheme="minorBidi"/>
          <w:snapToGrid w:val="0"/>
          <w:sz w:val="22"/>
          <w:u w:val="single"/>
        </w:rPr>
        <w:t xml:space="preserve"> (deuxième année)</w:t>
      </w:r>
      <w:r>
        <w:rPr>
          <w:rFonts w:asciiTheme="minorBidi" w:hAnsiTheme="minorBidi"/>
          <w:snapToGrid w:val="0"/>
          <w:sz w:val="22"/>
        </w:rPr>
        <w:t xml:space="preserve"> est la formation des points focaux nationaux au niveau régional et/ou sous-régional ainsi que la préparation et la soumission en ligne des rapports ; la </w:t>
      </w:r>
      <w:r>
        <w:rPr>
          <w:rFonts w:asciiTheme="minorBidi" w:hAnsiTheme="minorBidi"/>
          <w:snapToGrid w:val="0"/>
          <w:sz w:val="22"/>
          <w:u w:val="single"/>
        </w:rPr>
        <w:t>phase 3</w:t>
      </w:r>
      <w:r w:rsidR="00600A50">
        <w:rPr>
          <w:rFonts w:asciiTheme="minorBidi" w:hAnsiTheme="minorBidi"/>
          <w:snapToGrid w:val="0"/>
          <w:sz w:val="22"/>
          <w:u w:val="single"/>
        </w:rPr>
        <w:t xml:space="preserve"> (troisième année)</w:t>
      </w:r>
      <w:r>
        <w:rPr>
          <w:rFonts w:asciiTheme="minorBidi" w:hAnsiTheme="minorBidi"/>
          <w:snapToGrid w:val="0"/>
          <w:sz w:val="22"/>
        </w:rPr>
        <w:t xml:space="preserve"> est l’analyse préliminaire des rapports soumis par une équipe établie par le Secrétariat, qui est présentée sous la forme d’un « résumé analytique » pour examen par le Comité dans l’année qui suit la soumission;</w:t>
      </w:r>
      <w:r w:rsidR="00B712BC">
        <w:rPr>
          <w:rFonts w:asciiTheme="minorBidi" w:hAnsiTheme="minorBidi"/>
          <w:snapToGrid w:val="0"/>
          <w:sz w:val="22"/>
        </w:rPr>
        <w:t xml:space="preserve"> et </w:t>
      </w:r>
      <w:r>
        <w:rPr>
          <w:rFonts w:asciiTheme="minorBidi" w:hAnsiTheme="minorBidi"/>
          <w:snapToGrid w:val="0"/>
          <w:sz w:val="22"/>
        </w:rPr>
        <w:t xml:space="preserve">la </w:t>
      </w:r>
      <w:r>
        <w:rPr>
          <w:rFonts w:asciiTheme="minorBidi" w:hAnsiTheme="minorBidi"/>
          <w:snapToGrid w:val="0"/>
          <w:sz w:val="22"/>
          <w:u w:val="single"/>
        </w:rPr>
        <w:t>phase 4</w:t>
      </w:r>
      <w:r>
        <w:rPr>
          <w:rFonts w:asciiTheme="minorBidi" w:hAnsiTheme="minorBidi"/>
          <w:snapToGrid w:val="0"/>
          <w:sz w:val="22"/>
        </w:rPr>
        <w:t xml:space="preserve"> </w:t>
      </w:r>
      <w:r w:rsidR="00B712BC">
        <w:rPr>
          <w:rFonts w:asciiTheme="minorBidi" w:hAnsiTheme="minorBidi"/>
          <w:snapToGrid w:val="0"/>
          <w:sz w:val="22"/>
        </w:rPr>
        <w:t xml:space="preserve">(quatrième année) </w:t>
      </w:r>
      <w:r>
        <w:rPr>
          <w:rFonts w:asciiTheme="minorBidi" w:hAnsiTheme="minorBidi"/>
          <w:snapToGrid w:val="0"/>
          <w:sz w:val="22"/>
        </w:rPr>
        <w:t>est un suivi comprenant l’analyse complète des données extraites des rapports soumis, présentée sous la forme d’un « rapport analytique »</w:t>
      </w:r>
      <w:r w:rsidR="004A623F">
        <w:rPr>
          <w:rFonts w:asciiTheme="minorBidi" w:hAnsiTheme="minorBidi"/>
          <w:snapToGrid w:val="0"/>
          <w:sz w:val="22"/>
        </w:rPr>
        <w:t xml:space="preserve"> - </w:t>
      </w:r>
      <w:r>
        <w:rPr>
          <w:rFonts w:asciiTheme="minorBidi" w:hAnsiTheme="minorBidi"/>
          <w:snapToGrid w:val="0"/>
          <w:sz w:val="22"/>
        </w:rPr>
        <w:t>deux ans après la soumission des rapports</w:t>
      </w:r>
      <w:r w:rsidR="00A75798">
        <w:rPr>
          <w:rFonts w:asciiTheme="minorBidi" w:hAnsiTheme="minorBidi"/>
          <w:snapToGrid w:val="0"/>
          <w:sz w:val="22"/>
        </w:rPr>
        <w:t xml:space="preserve"> nationaux</w:t>
      </w:r>
      <w:r>
        <w:rPr>
          <w:rFonts w:asciiTheme="minorBidi" w:hAnsiTheme="minorBidi"/>
          <w:snapToGrid w:val="0"/>
          <w:sz w:val="22"/>
        </w:rPr>
        <w:t>. En d’autres termes, l’exercice consiste en plusieurs cycles superposés, qui sont mis en œuvre à une phase différente dans</w:t>
      </w:r>
      <w:r w:rsidR="004E1F60">
        <w:rPr>
          <w:rFonts w:asciiTheme="minorBidi" w:hAnsiTheme="minorBidi"/>
          <w:snapToGrid w:val="0"/>
          <w:sz w:val="22"/>
        </w:rPr>
        <w:t xml:space="preserve"> les</w:t>
      </w:r>
      <w:r>
        <w:rPr>
          <w:rFonts w:asciiTheme="minorBidi" w:hAnsiTheme="minorBidi"/>
          <w:snapToGrid w:val="0"/>
          <w:sz w:val="22"/>
        </w:rPr>
        <w:t xml:space="preserve"> régions</w:t>
      </w:r>
      <w:r w:rsidR="004E1F60">
        <w:rPr>
          <w:rFonts w:asciiTheme="minorBidi" w:hAnsiTheme="minorBidi"/>
          <w:snapToGrid w:val="0"/>
          <w:sz w:val="22"/>
        </w:rPr>
        <w:t xml:space="preserve"> respectives</w:t>
      </w:r>
      <w:r>
        <w:rPr>
          <w:rFonts w:asciiTheme="minorBidi" w:hAnsiTheme="minorBidi"/>
          <w:snapToGrid w:val="0"/>
          <w:sz w:val="22"/>
        </w:rPr>
        <w:t>, comme indiqué ci-dessous :</w:t>
      </w:r>
    </w:p>
    <w:p w14:paraId="116F4F1B" w14:textId="532F8474" w:rsidR="00236C96" w:rsidRPr="00143D6A" w:rsidRDefault="00283A4D" w:rsidP="00105CE6">
      <w:pPr>
        <w:pStyle w:val="Sansinterligne2"/>
        <w:numPr>
          <w:ilvl w:val="0"/>
          <w:numId w:val="23"/>
        </w:numPr>
        <w:spacing w:before="240" w:after="120"/>
        <w:ind w:left="567" w:hanging="567"/>
        <w:jc w:val="both"/>
        <w:rPr>
          <w:rFonts w:ascii="Arial" w:hAnsi="Arial" w:cs="Arial"/>
          <w:sz w:val="22"/>
          <w:szCs w:val="22"/>
        </w:rPr>
      </w:pPr>
      <w:r>
        <w:rPr>
          <w:noProof/>
        </w:rPr>
        <w:lastRenderedPageBreak/>
        <w:drawing>
          <wp:anchor distT="0" distB="0" distL="114300" distR="114300" simplePos="0" relativeHeight="251658240" behindDoc="0" locked="0" layoutInCell="1" allowOverlap="1" wp14:anchorId="1E50631E" wp14:editId="07877379">
            <wp:simplePos x="0" y="0"/>
            <wp:positionH relativeFrom="column">
              <wp:posOffset>655320</wp:posOffset>
            </wp:positionH>
            <wp:positionV relativeFrom="paragraph">
              <wp:posOffset>0</wp:posOffset>
            </wp:positionV>
            <wp:extent cx="4977130" cy="26949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7130" cy="269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C96">
        <w:rPr>
          <w:rFonts w:ascii="Arial" w:hAnsi="Arial"/>
          <w:sz w:val="22"/>
        </w:rPr>
        <w:t xml:space="preserve">L’objectif du présent document est de faire le point sur la mise en œuvre </w:t>
      </w:r>
      <w:r w:rsidR="00882C80">
        <w:rPr>
          <w:rFonts w:ascii="Arial" w:hAnsi="Arial"/>
          <w:sz w:val="22"/>
        </w:rPr>
        <w:t>d</w:t>
      </w:r>
      <w:r w:rsidR="00AB24A3">
        <w:rPr>
          <w:rFonts w:ascii="Arial" w:hAnsi="Arial"/>
          <w:sz w:val="22"/>
        </w:rPr>
        <w:t xml:space="preserve">es </w:t>
      </w:r>
      <w:r w:rsidR="00236C96">
        <w:rPr>
          <w:rFonts w:ascii="Arial" w:hAnsi="Arial"/>
          <w:sz w:val="22"/>
        </w:rPr>
        <w:t>cycle</w:t>
      </w:r>
      <w:r w:rsidR="00AB24A3">
        <w:rPr>
          <w:rFonts w:ascii="Arial" w:hAnsi="Arial"/>
          <w:sz w:val="22"/>
        </w:rPr>
        <w:t>s</w:t>
      </w:r>
      <w:r w:rsidR="00236C96">
        <w:rPr>
          <w:rFonts w:ascii="Arial" w:hAnsi="Arial"/>
          <w:sz w:val="22"/>
        </w:rPr>
        <w:t xml:space="preserve"> d</w:t>
      </w:r>
      <w:r w:rsidR="00AB24A3">
        <w:rPr>
          <w:rFonts w:ascii="Arial" w:hAnsi="Arial"/>
          <w:sz w:val="22"/>
        </w:rPr>
        <w:t>u</w:t>
      </w:r>
      <w:r w:rsidR="00236C96">
        <w:rPr>
          <w:rFonts w:ascii="Arial" w:hAnsi="Arial"/>
          <w:sz w:val="22"/>
        </w:rPr>
        <w:t xml:space="preserve"> </w:t>
      </w:r>
      <w:r w:rsidR="00AB24A3">
        <w:rPr>
          <w:rFonts w:ascii="Arial" w:hAnsi="Arial"/>
          <w:sz w:val="22"/>
        </w:rPr>
        <w:t xml:space="preserve">système </w:t>
      </w:r>
      <w:r w:rsidR="00AB24A3" w:rsidRPr="00105CE6">
        <w:rPr>
          <w:rFonts w:asciiTheme="minorBidi" w:hAnsiTheme="minorBidi"/>
          <w:snapToGrid w:val="0"/>
          <w:sz w:val="22"/>
        </w:rPr>
        <w:t>réformé</w:t>
      </w:r>
      <w:r w:rsidR="00AB24A3">
        <w:rPr>
          <w:rFonts w:ascii="Arial" w:hAnsi="Arial"/>
          <w:sz w:val="22"/>
        </w:rPr>
        <w:t xml:space="preserve"> de </w:t>
      </w:r>
      <w:r w:rsidR="00236C96">
        <w:rPr>
          <w:rFonts w:ascii="Arial" w:hAnsi="Arial"/>
          <w:sz w:val="22"/>
        </w:rPr>
        <w:t>rapport périodique en Amérique latine et dans les Caraïbes, dans les États arabes et en Afrique.</w:t>
      </w:r>
      <w:r w:rsidR="00236C96">
        <w:rPr>
          <w:rFonts w:asciiTheme="minorBidi" w:hAnsiTheme="minorBidi"/>
          <w:sz w:val="22"/>
        </w:rPr>
        <w:t xml:space="preserve"> L’évaluation de l’exercice de rapport périodique entrepris par l’Europe est couverte par le point 6.b de l’ordre du jour provisoire de la présente session (</w:t>
      </w:r>
      <w:r w:rsidR="005F5F91" w:rsidRPr="00105CE6">
        <w:rPr>
          <w:rFonts w:asciiTheme="minorBidi" w:hAnsiTheme="minorBidi"/>
          <w:sz w:val="22"/>
        </w:rPr>
        <w:t>d</w:t>
      </w:r>
      <w:r w:rsidR="00236C96" w:rsidRPr="00105CE6">
        <w:rPr>
          <w:rFonts w:asciiTheme="minorBidi" w:hAnsiTheme="minorBidi"/>
          <w:sz w:val="22"/>
        </w:rPr>
        <w:t>ocument</w:t>
      </w:r>
      <w:r w:rsidR="00105CE6">
        <w:rPr>
          <w:rFonts w:asciiTheme="minorBidi" w:hAnsiTheme="minorBidi"/>
          <w:sz w:val="22"/>
        </w:rPr>
        <w:t xml:space="preserve"> </w:t>
      </w:r>
      <w:hyperlink r:id="rId13" w:history="1">
        <w:r w:rsidR="00105CE6" w:rsidRPr="00105CE6">
          <w:rPr>
            <w:rStyle w:val="Lienhypertexte"/>
            <w:rFonts w:asciiTheme="minorBidi" w:hAnsiTheme="minorBidi" w:cstheme="minorBidi"/>
            <w:sz w:val="22"/>
            <w:szCs w:val="22"/>
          </w:rPr>
          <w:t>LHE/22/17.COM/</w:t>
        </w:r>
        <w:proofErr w:type="gramStart"/>
        <w:r w:rsidR="00105CE6" w:rsidRPr="00105CE6">
          <w:rPr>
            <w:rStyle w:val="Lienhypertexte"/>
            <w:rFonts w:asciiTheme="minorBidi" w:hAnsiTheme="minorBidi" w:cstheme="minorBidi"/>
            <w:sz w:val="22"/>
            <w:szCs w:val="22"/>
          </w:rPr>
          <w:t>6.b</w:t>
        </w:r>
        <w:proofErr w:type="gramEnd"/>
      </w:hyperlink>
      <w:r w:rsidR="00236C96" w:rsidRPr="00855936">
        <w:rPr>
          <w:rFonts w:asciiTheme="minorBidi" w:hAnsiTheme="minorBidi"/>
          <w:sz w:val="22"/>
        </w:rPr>
        <w:t>)</w:t>
      </w:r>
      <w:r w:rsidR="00371BED" w:rsidRPr="00855936">
        <w:rPr>
          <w:rFonts w:asciiTheme="minorBidi" w:hAnsiTheme="minorBidi"/>
          <w:sz w:val="22"/>
        </w:rPr>
        <w:t>,</w:t>
      </w:r>
      <w:r w:rsidR="00371BED">
        <w:rPr>
          <w:rFonts w:asciiTheme="minorBidi" w:hAnsiTheme="minorBidi"/>
          <w:sz w:val="22"/>
        </w:rPr>
        <w:t xml:space="preserve"> puisque cette session du Comité doit examiner les rapports de la région Europe et le « résumé analytique » de ceux-ci.</w:t>
      </w:r>
    </w:p>
    <w:p w14:paraId="52492E7D" w14:textId="1ED92AA5" w:rsidR="002C2C5C" w:rsidRPr="00143D6A" w:rsidRDefault="008B088A" w:rsidP="005A4064">
      <w:pPr>
        <w:pStyle w:val="Sansinterligne2"/>
        <w:spacing w:before="240" w:after="120"/>
        <w:jc w:val="both"/>
        <w:rPr>
          <w:rFonts w:asciiTheme="minorBidi" w:hAnsiTheme="minorBidi" w:cstheme="minorBidi"/>
          <w:b/>
          <w:bCs/>
          <w:snapToGrid w:val="0"/>
          <w:sz w:val="22"/>
          <w:szCs w:val="22"/>
        </w:rPr>
      </w:pPr>
      <w:r>
        <w:rPr>
          <w:rFonts w:asciiTheme="minorBidi" w:hAnsiTheme="minorBidi"/>
          <w:b/>
          <w:snapToGrid w:val="0"/>
          <w:sz w:val="22"/>
        </w:rPr>
        <w:t>Cycle de 2021 – Analyse finale des rapports périodiques d’Amérique latine et des Caraïbes</w:t>
      </w:r>
    </w:p>
    <w:p w14:paraId="6C1086BF" w14:textId="5015DE12" w:rsidR="006931FA" w:rsidRDefault="00FA2856" w:rsidP="00105CE6">
      <w:pPr>
        <w:pStyle w:val="Sansinterligne2"/>
        <w:numPr>
          <w:ilvl w:val="0"/>
          <w:numId w:val="23"/>
        </w:numPr>
        <w:spacing w:before="120" w:after="120"/>
        <w:ind w:left="567" w:hanging="567"/>
        <w:jc w:val="both"/>
        <w:rPr>
          <w:rFonts w:asciiTheme="minorBidi" w:hAnsiTheme="minorBidi" w:cstheme="minorBidi"/>
          <w:snapToGrid w:val="0"/>
          <w:sz w:val="22"/>
          <w:szCs w:val="22"/>
        </w:rPr>
      </w:pPr>
      <w:r>
        <w:rPr>
          <w:rFonts w:asciiTheme="minorBidi" w:hAnsiTheme="minorBidi"/>
          <w:snapToGrid w:val="0"/>
          <w:sz w:val="22"/>
        </w:rPr>
        <w:t xml:space="preserve">La région Amérique latine et Caraïbes a répondu avec enthousiasme à l’exercice réformé de présentation des rapports périodiques, puisque vingt-huit (87,5 % sur un total de trente-deux rapports attendus) </w:t>
      </w:r>
      <w:r w:rsidR="00072E7C" w:rsidRPr="00072E7C">
        <w:rPr>
          <w:rFonts w:asciiTheme="minorBidi" w:hAnsiTheme="minorBidi"/>
          <w:snapToGrid w:val="0"/>
          <w:sz w:val="22"/>
        </w:rPr>
        <w:t>États parties</w:t>
      </w:r>
      <w:r w:rsidR="00072E7C">
        <w:rPr>
          <w:rFonts w:asciiTheme="minorBidi" w:hAnsiTheme="minorBidi"/>
          <w:snapToGrid w:val="0"/>
          <w:sz w:val="22"/>
        </w:rPr>
        <w:t xml:space="preserve"> </w:t>
      </w:r>
      <w:r>
        <w:rPr>
          <w:rFonts w:asciiTheme="minorBidi" w:hAnsiTheme="minorBidi"/>
          <w:snapToGrid w:val="0"/>
          <w:sz w:val="22"/>
        </w:rPr>
        <w:t xml:space="preserve">ont soumis leur rapport. Ce taux de soumission considérablement élevé </w:t>
      </w:r>
      <w:r w:rsidR="00623779">
        <w:rPr>
          <w:rFonts w:asciiTheme="minorBidi" w:hAnsiTheme="minorBidi"/>
          <w:snapToGrid w:val="0"/>
          <w:sz w:val="22"/>
        </w:rPr>
        <w:t xml:space="preserve">– </w:t>
      </w:r>
      <w:r>
        <w:rPr>
          <w:rFonts w:asciiTheme="minorBidi" w:hAnsiTheme="minorBidi"/>
          <w:snapToGrid w:val="0"/>
          <w:sz w:val="22"/>
        </w:rPr>
        <w:t>malgré la pandémie de COVID-19 qui a fortement touché la région</w:t>
      </w:r>
      <w:r w:rsidR="00623779">
        <w:rPr>
          <w:rFonts w:asciiTheme="minorBidi" w:hAnsiTheme="minorBidi"/>
          <w:snapToGrid w:val="0"/>
          <w:sz w:val="22"/>
        </w:rPr>
        <w:t xml:space="preserve"> – </w:t>
      </w:r>
      <w:r>
        <w:rPr>
          <w:rFonts w:asciiTheme="minorBidi" w:hAnsiTheme="minorBidi"/>
          <w:snapToGrid w:val="0"/>
          <w:sz w:val="22"/>
        </w:rPr>
        <w:t xml:space="preserve">est un effet positif de la réforme, démontrant l’engagement des États parties </w:t>
      </w:r>
      <w:r w:rsidR="00D96D77">
        <w:rPr>
          <w:rFonts w:asciiTheme="minorBidi" w:hAnsiTheme="minorBidi"/>
          <w:snapToGrid w:val="0"/>
          <w:sz w:val="22"/>
        </w:rPr>
        <w:t>soumissionnaires</w:t>
      </w:r>
      <w:r>
        <w:rPr>
          <w:rFonts w:asciiTheme="minorBidi" w:hAnsiTheme="minorBidi"/>
          <w:snapToGrid w:val="0"/>
          <w:sz w:val="22"/>
        </w:rPr>
        <w:t xml:space="preserve"> qui ont bénéficié de l’approche de renforcement des capacités</w:t>
      </w:r>
      <w:r w:rsidR="009C104C">
        <w:rPr>
          <w:rFonts w:asciiTheme="minorBidi" w:hAnsiTheme="minorBidi"/>
          <w:snapToGrid w:val="0"/>
          <w:sz w:val="22"/>
        </w:rPr>
        <w:t xml:space="preserve"> développée par le Secrétariat.</w:t>
      </w:r>
      <w:r>
        <w:rPr>
          <w:rFonts w:asciiTheme="minorBidi" w:hAnsiTheme="minorBidi"/>
          <w:snapToGrid w:val="0"/>
          <w:sz w:val="22"/>
        </w:rPr>
        <w:t xml:space="preserve"> </w:t>
      </w:r>
      <w:r w:rsidR="009C104C">
        <w:rPr>
          <w:rFonts w:asciiTheme="minorBidi" w:hAnsiTheme="minorBidi"/>
          <w:snapToGrid w:val="0"/>
          <w:sz w:val="22"/>
        </w:rPr>
        <w:t xml:space="preserve">Le rôle actif joué par le Centre régional pour la sauvegarde du patrimoine culturel immatériel de l’Amérique latine (CRESPIAL) </w:t>
      </w:r>
      <w:r w:rsidR="009C104C" w:rsidRPr="009C104C">
        <w:rPr>
          <w:rFonts w:asciiTheme="minorBidi" w:hAnsiTheme="minorBidi"/>
          <w:snapToGrid w:val="0"/>
          <w:sz w:val="22"/>
        </w:rPr>
        <w:t>a également été un facteur déterminant pour cette expérience positive.</w:t>
      </w:r>
    </w:p>
    <w:p w14:paraId="7AF299C6" w14:textId="06D7540E" w:rsidR="0099369D" w:rsidRPr="009574EB" w:rsidRDefault="0048149B" w:rsidP="00105CE6">
      <w:pPr>
        <w:pStyle w:val="Sansinterligne2"/>
        <w:numPr>
          <w:ilvl w:val="0"/>
          <w:numId w:val="23"/>
        </w:numPr>
        <w:spacing w:before="120" w:after="120"/>
        <w:ind w:left="567" w:hanging="567"/>
        <w:jc w:val="both"/>
        <w:rPr>
          <w:rFonts w:asciiTheme="minorBidi" w:hAnsiTheme="minorBidi" w:cstheme="minorBidi"/>
          <w:snapToGrid w:val="0"/>
          <w:sz w:val="22"/>
          <w:szCs w:val="22"/>
        </w:rPr>
      </w:pPr>
      <w:r>
        <w:rPr>
          <w:rFonts w:asciiTheme="minorBidi" w:hAnsiTheme="minorBidi"/>
          <w:snapToGrid w:val="0"/>
          <w:sz w:val="22"/>
        </w:rPr>
        <w:t xml:space="preserve">Un « résumé analytique » de ces rapports </w:t>
      </w:r>
      <w:r w:rsidR="00AD77DF">
        <w:rPr>
          <w:rFonts w:asciiTheme="minorBidi" w:hAnsiTheme="minorBidi"/>
          <w:snapToGrid w:val="0"/>
          <w:sz w:val="22"/>
        </w:rPr>
        <w:t>a</w:t>
      </w:r>
      <w:r>
        <w:rPr>
          <w:rFonts w:asciiTheme="minorBidi" w:hAnsiTheme="minorBidi"/>
          <w:snapToGrid w:val="0"/>
          <w:sz w:val="22"/>
        </w:rPr>
        <w:t xml:space="preserve"> été examiné lors de la seizième session du Comité (</w:t>
      </w:r>
      <w:r w:rsidR="00D722A6">
        <w:rPr>
          <w:rFonts w:asciiTheme="minorBidi" w:hAnsiTheme="minorBidi"/>
          <w:snapToGrid w:val="0"/>
          <w:sz w:val="22"/>
        </w:rPr>
        <w:t>d</w:t>
      </w:r>
      <w:r>
        <w:rPr>
          <w:rFonts w:asciiTheme="minorBidi" w:hAnsiTheme="minorBidi"/>
          <w:snapToGrid w:val="0"/>
          <w:sz w:val="22"/>
        </w:rPr>
        <w:t>écision </w:t>
      </w:r>
      <w:hyperlink r:id="rId14" w:history="1">
        <w:r>
          <w:rPr>
            <w:rStyle w:val="Lienhypertexte"/>
            <w:rFonts w:asciiTheme="minorBidi" w:hAnsiTheme="minorBidi"/>
            <w:snapToGrid w:val="0"/>
            <w:sz w:val="22"/>
          </w:rPr>
          <w:t>16.COM</w:t>
        </w:r>
        <w:r w:rsidR="00855936">
          <w:rPr>
            <w:rStyle w:val="Lienhypertexte"/>
            <w:rFonts w:asciiTheme="minorBidi" w:hAnsiTheme="minorBidi"/>
            <w:snapToGrid w:val="0"/>
            <w:sz w:val="22"/>
          </w:rPr>
          <w:t> </w:t>
        </w:r>
        <w:proofErr w:type="gramStart"/>
        <w:r>
          <w:rPr>
            <w:rStyle w:val="Lienhypertexte"/>
            <w:rFonts w:asciiTheme="minorBidi" w:hAnsiTheme="minorBidi"/>
            <w:snapToGrid w:val="0"/>
            <w:sz w:val="22"/>
          </w:rPr>
          <w:t>7.b</w:t>
        </w:r>
        <w:proofErr w:type="gramEnd"/>
      </w:hyperlink>
      <w:r>
        <w:rPr>
          <w:rFonts w:asciiTheme="minorBidi" w:hAnsiTheme="minorBidi"/>
          <w:snapToGrid w:val="0"/>
          <w:sz w:val="22"/>
        </w:rPr>
        <w:t xml:space="preserve"> et Annexe I du document </w:t>
      </w:r>
      <w:hyperlink r:id="rId15" w:history="1">
        <w:r>
          <w:rPr>
            <w:rStyle w:val="Lienhypertexte"/>
            <w:rFonts w:asciiTheme="minorBidi" w:hAnsiTheme="minorBidi"/>
            <w:snapToGrid w:val="0"/>
            <w:sz w:val="22"/>
          </w:rPr>
          <w:t>LHE/21/16.COM 7.b</w:t>
        </w:r>
      </w:hyperlink>
      <w:r>
        <w:rPr>
          <w:rFonts w:asciiTheme="minorBidi" w:hAnsiTheme="minorBidi"/>
          <w:snapToGrid w:val="0"/>
          <w:sz w:val="22"/>
        </w:rPr>
        <w:t>). Le Comité a accueilli favorablement les principales conclusions du résumé analytique et a noté avec intérêt les tendances communes, les défis, les opportunités et les domaines prioritaires liés au patrimoine culturel immatériel tels que rapportés par les pays, ainsi que les différentes approches et méthodologies de sauvegarde adoptées par les États parties</w:t>
      </w:r>
      <w:r w:rsidR="00205F94">
        <w:rPr>
          <w:rFonts w:asciiTheme="minorBidi" w:hAnsiTheme="minorBidi"/>
          <w:snapToGrid w:val="0"/>
          <w:sz w:val="22"/>
        </w:rPr>
        <w:t xml:space="preserve"> soumissionnaires. </w:t>
      </w:r>
      <w:r w:rsidR="00FB27FC" w:rsidRPr="003D2D6E">
        <w:rPr>
          <w:rFonts w:asciiTheme="minorBidi" w:hAnsiTheme="minorBidi"/>
          <w:snapToGrid w:val="0"/>
          <w:sz w:val="22"/>
        </w:rPr>
        <w:t>L’équipe de recherche mise en place par le Secrétariat</w:t>
      </w:r>
      <w:r w:rsidR="00FB27FC">
        <w:rPr>
          <w:rStyle w:val="Appelnotedebasdep"/>
          <w:rFonts w:asciiTheme="minorBidi" w:hAnsiTheme="minorBidi" w:cstheme="minorBidi"/>
          <w:snapToGrid w:val="0"/>
          <w:sz w:val="22"/>
          <w:szCs w:val="22"/>
          <w:lang w:val="en-GB" w:eastAsia="en-US"/>
        </w:rPr>
        <w:footnoteReference w:id="1"/>
      </w:r>
      <w:r w:rsidR="00FB27FC" w:rsidRPr="003D2D6E">
        <w:rPr>
          <w:rFonts w:asciiTheme="minorBidi" w:hAnsiTheme="minorBidi"/>
          <w:snapToGrid w:val="0"/>
          <w:sz w:val="22"/>
        </w:rPr>
        <w:t xml:space="preserve"> qui a préparé le « rapport analytique » a poursuivi son travail après la seizième session du Comité en 2022 afin de préparer le « rapport analytique </w:t>
      </w:r>
      <w:r w:rsidR="00FB27FC" w:rsidRPr="009574EB">
        <w:rPr>
          <w:rFonts w:asciiTheme="minorBidi" w:hAnsiTheme="minorBidi"/>
          <w:snapToGrid w:val="0"/>
          <w:sz w:val="22"/>
        </w:rPr>
        <w:t>sur le premier cycle</w:t>
      </w:r>
      <w:r w:rsidR="00FB27FC" w:rsidRPr="0043489E">
        <w:rPr>
          <w:rFonts w:asciiTheme="minorBidi" w:hAnsiTheme="minorBidi"/>
          <w:snapToGrid w:val="0"/>
          <w:sz w:val="22"/>
        </w:rPr>
        <w:t xml:space="preserve"> de rapport périodique</w:t>
      </w:r>
      <w:r w:rsidR="00D323E5" w:rsidRPr="0043489E">
        <w:rPr>
          <w:rFonts w:asciiTheme="minorBidi" w:hAnsiTheme="minorBidi"/>
          <w:snapToGrid w:val="0"/>
          <w:sz w:val="22"/>
        </w:rPr>
        <w:t xml:space="preserve"> </w:t>
      </w:r>
      <w:r w:rsidR="003D795B" w:rsidRPr="0043489E">
        <w:rPr>
          <w:rFonts w:asciiTheme="minorBidi" w:hAnsiTheme="minorBidi"/>
          <w:snapToGrid w:val="0"/>
          <w:sz w:val="22"/>
        </w:rPr>
        <w:t>dans le cadre</w:t>
      </w:r>
      <w:r w:rsidR="00FB27FC" w:rsidRPr="0043489E">
        <w:rPr>
          <w:rFonts w:asciiTheme="minorBidi" w:hAnsiTheme="minorBidi"/>
          <w:snapToGrid w:val="0"/>
          <w:sz w:val="22"/>
        </w:rPr>
        <w:t xml:space="preserve"> de la Convention de 2003 par les États parties d’Amérique latine et des Caraïbes », présenté à la présente session du Comité (</w:t>
      </w:r>
      <w:r w:rsidR="005F5F91" w:rsidRPr="00105CE6">
        <w:rPr>
          <w:rFonts w:ascii="Arial" w:hAnsi="Arial" w:cs="Arial"/>
          <w:snapToGrid w:val="0"/>
          <w:sz w:val="22"/>
        </w:rPr>
        <w:t>d</w:t>
      </w:r>
      <w:r w:rsidR="00ED2F03" w:rsidRPr="00105CE6">
        <w:rPr>
          <w:rFonts w:ascii="Arial" w:hAnsi="Arial" w:cs="Arial"/>
          <w:snapToGrid w:val="0"/>
          <w:sz w:val="22"/>
        </w:rPr>
        <w:t xml:space="preserve">ocument </w:t>
      </w:r>
      <w:hyperlink r:id="rId16" w:history="1">
        <w:r w:rsidR="00FB27FC" w:rsidRPr="00105CE6">
          <w:rPr>
            <w:rStyle w:val="Lienhypertexte"/>
            <w:rFonts w:ascii="Arial" w:hAnsi="Arial" w:cs="Arial"/>
          </w:rPr>
          <w:t>LHE/22/17.COM/INF.6.c</w:t>
        </w:r>
      </w:hyperlink>
      <w:r w:rsidR="00FB27FC" w:rsidRPr="00105CE6">
        <w:rPr>
          <w:rFonts w:ascii="Arial" w:hAnsi="Arial" w:cs="Arial"/>
          <w:snapToGrid w:val="0"/>
          <w:sz w:val="22"/>
        </w:rPr>
        <w:t>). Ce</w:t>
      </w:r>
      <w:r w:rsidR="00FB27FC" w:rsidRPr="009574EB">
        <w:rPr>
          <w:rFonts w:asciiTheme="minorBidi" w:hAnsiTheme="minorBidi"/>
          <w:snapToGrid w:val="0"/>
          <w:sz w:val="22"/>
        </w:rPr>
        <w:t xml:space="preserve"> rapport suit la structure principale du </w:t>
      </w:r>
      <w:r w:rsidR="00FB27FC" w:rsidRPr="002843F7">
        <w:rPr>
          <w:rFonts w:asciiTheme="minorBidi" w:hAnsiTheme="minorBidi"/>
          <w:snapToGrid w:val="0"/>
          <w:sz w:val="22"/>
        </w:rPr>
        <w:t xml:space="preserve">résumé analytique, puisqu’il se développe autour des huit domaines thématiques du </w:t>
      </w:r>
      <w:hyperlink r:id="rId17" w:history="1">
        <w:r w:rsidR="00FB27FC" w:rsidRPr="009574EB">
          <w:rPr>
            <w:rStyle w:val="Lienhypertexte"/>
            <w:rFonts w:asciiTheme="minorBidi" w:hAnsiTheme="minorBidi"/>
            <w:snapToGrid w:val="0"/>
            <w:sz w:val="22"/>
          </w:rPr>
          <w:t>Cadre global de résultats</w:t>
        </w:r>
      </w:hyperlink>
      <w:r w:rsidR="00FB27FC" w:rsidRPr="003D2D6E">
        <w:rPr>
          <w:rStyle w:val="Lienhypertexte"/>
          <w:rFonts w:asciiTheme="minorBidi" w:hAnsiTheme="minorBidi"/>
          <w:snapToGrid w:val="0"/>
          <w:sz w:val="22"/>
          <w:u w:val="none"/>
        </w:rPr>
        <w:t xml:space="preserve"> </w:t>
      </w:r>
      <w:r w:rsidR="00FB27FC" w:rsidRPr="009574EB">
        <w:rPr>
          <w:rStyle w:val="Lienhypertexte"/>
          <w:rFonts w:asciiTheme="minorBidi" w:hAnsiTheme="minorBidi"/>
          <w:snapToGrid w:val="0"/>
          <w:color w:val="auto"/>
          <w:sz w:val="22"/>
          <w:u w:val="none"/>
        </w:rPr>
        <w:t>de la Convention de 2003.</w:t>
      </w:r>
    </w:p>
    <w:p w14:paraId="7A7ADD06" w14:textId="26CE0B41" w:rsidR="00361E13" w:rsidRDefault="006929AC" w:rsidP="00405E1E">
      <w:pPr>
        <w:pStyle w:val="Sansinterligne2"/>
        <w:numPr>
          <w:ilvl w:val="0"/>
          <w:numId w:val="23"/>
        </w:numPr>
        <w:spacing w:after="120"/>
        <w:ind w:left="567" w:hanging="567"/>
        <w:jc w:val="both"/>
        <w:rPr>
          <w:rFonts w:asciiTheme="minorBidi" w:hAnsiTheme="minorBidi" w:cstheme="minorBidi"/>
          <w:snapToGrid w:val="0"/>
          <w:sz w:val="22"/>
          <w:szCs w:val="22"/>
        </w:rPr>
      </w:pPr>
      <w:r>
        <w:rPr>
          <w:rFonts w:asciiTheme="minorBidi" w:hAnsiTheme="minorBidi"/>
          <w:snapToGrid w:val="0"/>
          <w:sz w:val="22"/>
        </w:rPr>
        <w:lastRenderedPageBreak/>
        <w:t xml:space="preserve">Outre les informations détaillées sur la mesure dans laquelle les États parties </w:t>
      </w:r>
      <w:r w:rsidR="00BE2130">
        <w:rPr>
          <w:rFonts w:asciiTheme="minorBidi" w:hAnsiTheme="minorBidi"/>
          <w:snapToGrid w:val="0"/>
          <w:sz w:val="22"/>
        </w:rPr>
        <w:t>soumissionnaires</w:t>
      </w:r>
      <w:r>
        <w:rPr>
          <w:rFonts w:asciiTheme="minorBidi" w:hAnsiTheme="minorBidi"/>
          <w:snapToGrid w:val="0"/>
          <w:sz w:val="22"/>
        </w:rPr>
        <w:t xml:space="preserve"> ont atteint les indicateurs de base ainsi que sur les objectifs fixés pour le prochain cycle de rapport, l’analyse a mis en évidence, entre autres, les points suivants :</w:t>
      </w:r>
    </w:p>
    <w:p w14:paraId="3EEFF6C0" w14:textId="7236EC01" w:rsidR="00361E13" w:rsidRDefault="00361E13" w:rsidP="00405E1E">
      <w:pPr>
        <w:pStyle w:val="Sansinterligne2"/>
        <w:numPr>
          <w:ilvl w:val="0"/>
          <w:numId w:val="34"/>
        </w:numPr>
        <w:spacing w:after="120"/>
        <w:ind w:hanging="510"/>
        <w:jc w:val="both"/>
        <w:rPr>
          <w:rFonts w:asciiTheme="minorBidi" w:hAnsiTheme="minorBidi" w:cstheme="minorBidi"/>
          <w:snapToGrid w:val="0"/>
          <w:sz w:val="22"/>
          <w:szCs w:val="22"/>
        </w:rPr>
      </w:pPr>
      <w:r>
        <w:rPr>
          <w:rFonts w:asciiTheme="minorBidi" w:hAnsiTheme="minorBidi"/>
          <w:snapToGrid w:val="0"/>
          <w:sz w:val="22"/>
        </w:rPr>
        <w:t>Les défis rencontrés par les États parties et les moyens potentiels de renforcer la sauvegarde du patrimoine culturel immatériel dans leurs différents domaines d’action.</w:t>
      </w:r>
    </w:p>
    <w:p w14:paraId="2F86E86F" w14:textId="2C86E871" w:rsidR="00C676E3" w:rsidRDefault="00C676E3" w:rsidP="00405E1E">
      <w:pPr>
        <w:pStyle w:val="Sansinterligne2"/>
        <w:numPr>
          <w:ilvl w:val="0"/>
          <w:numId w:val="34"/>
        </w:numPr>
        <w:spacing w:after="120"/>
        <w:ind w:hanging="510"/>
        <w:jc w:val="both"/>
        <w:rPr>
          <w:rFonts w:asciiTheme="minorBidi" w:hAnsiTheme="minorBidi" w:cstheme="minorBidi"/>
          <w:snapToGrid w:val="0"/>
          <w:sz w:val="22"/>
          <w:szCs w:val="22"/>
        </w:rPr>
      </w:pPr>
      <w:r>
        <w:rPr>
          <w:rFonts w:asciiTheme="minorBidi" w:hAnsiTheme="minorBidi"/>
          <w:snapToGrid w:val="0"/>
          <w:sz w:val="22"/>
        </w:rPr>
        <w:t>L’élaboration de politiques inclusives privilégiée dans le secteur de la culture, souvent avec un intérêt spécifique pour la diversité culturelle et la sauvegarde des langues en tant qu’expression et véhicule du patrimoine culturel immatériel.</w:t>
      </w:r>
    </w:p>
    <w:p w14:paraId="7C420662" w14:textId="499272DC" w:rsidR="00361E13" w:rsidRDefault="00361E13" w:rsidP="00405E1E">
      <w:pPr>
        <w:pStyle w:val="Sansinterligne2"/>
        <w:numPr>
          <w:ilvl w:val="0"/>
          <w:numId w:val="34"/>
        </w:numPr>
        <w:spacing w:after="120"/>
        <w:ind w:hanging="510"/>
        <w:jc w:val="both"/>
        <w:rPr>
          <w:rFonts w:asciiTheme="minorBidi" w:hAnsiTheme="minorBidi" w:cstheme="minorBidi"/>
          <w:snapToGrid w:val="0"/>
          <w:sz w:val="22"/>
          <w:szCs w:val="22"/>
        </w:rPr>
      </w:pPr>
      <w:r>
        <w:rPr>
          <w:rFonts w:asciiTheme="minorBidi" w:hAnsiTheme="minorBidi"/>
          <w:snapToGrid w:val="0"/>
          <w:sz w:val="22"/>
        </w:rPr>
        <w:t>L’impact des politiques et des activités entreprises dans le cadre de la Convention de 2003 pour la réalisation des objectifs de développement durable (ODD) et pour le développement durable en général au-delà du secteur de la culture.</w:t>
      </w:r>
    </w:p>
    <w:p w14:paraId="0A394927" w14:textId="31D1479E" w:rsidR="00361E13" w:rsidRDefault="003708D3" w:rsidP="00405E1E">
      <w:pPr>
        <w:pStyle w:val="Sansinterligne2"/>
        <w:numPr>
          <w:ilvl w:val="0"/>
          <w:numId w:val="34"/>
        </w:numPr>
        <w:spacing w:after="120"/>
        <w:ind w:hanging="510"/>
        <w:jc w:val="both"/>
        <w:rPr>
          <w:rFonts w:asciiTheme="minorBidi" w:hAnsiTheme="minorBidi" w:cstheme="minorBidi"/>
          <w:snapToGrid w:val="0"/>
          <w:sz w:val="22"/>
          <w:szCs w:val="22"/>
        </w:rPr>
      </w:pPr>
      <w:r>
        <w:rPr>
          <w:rFonts w:asciiTheme="minorBidi" w:hAnsiTheme="minorBidi"/>
          <w:snapToGrid w:val="0"/>
          <w:sz w:val="22"/>
        </w:rPr>
        <w:t>Les tendances communes de participation importante des communautés, des groupes et des individus à l’éducation, à la recherche et à la documentation, ainsi qu’aux activités de sensibilisation.</w:t>
      </w:r>
    </w:p>
    <w:p w14:paraId="14578B1E" w14:textId="44C9B5DB" w:rsidR="00E644FB" w:rsidRDefault="002F3DB6" w:rsidP="00405E1E">
      <w:pPr>
        <w:pStyle w:val="Sansinterligne2"/>
        <w:numPr>
          <w:ilvl w:val="0"/>
          <w:numId w:val="34"/>
        </w:numPr>
        <w:spacing w:after="120"/>
        <w:ind w:hanging="510"/>
        <w:jc w:val="both"/>
        <w:rPr>
          <w:rFonts w:asciiTheme="minorBidi" w:hAnsiTheme="minorBidi" w:cstheme="minorBidi"/>
          <w:snapToGrid w:val="0"/>
          <w:sz w:val="22"/>
          <w:szCs w:val="22"/>
        </w:rPr>
      </w:pPr>
      <w:r>
        <w:rPr>
          <w:rFonts w:asciiTheme="minorBidi" w:hAnsiTheme="minorBidi"/>
          <w:snapToGrid w:val="0"/>
          <w:sz w:val="22"/>
        </w:rPr>
        <w:t>Le renforcement de la coopération régionale, comme par la mise en œuvre d’activités visant à sauvegarder des éléments spécifiques, notamment ceux qui nécessitent une sauvegarde urgente.</w:t>
      </w:r>
    </w:p>
    <w:p w14:paraId="21C6F12B" w14:textId="3AE5D7E3" w:rsidR="00C15579" w:rsidRPr="00FA2F7E" w:rsidRDefault="00C15579" w:rsidP="00405E1E">
      <w:pPr>
        <w:pStyle w:val="Sansinterligne2"/>
        <w:numPr>
          <w:ilvl w:val="0"/>
          <w:numId w:val="23"/>
        </w:numPr>
        <w:spacing w:after="120"/>
        <w:ind w:left="567" w:hanging="567"/>
        <w:jc w:val="both"/>
        <w:rPr>
          <w:rFonts w:asciiTheme="minorBidi" w:hAnsiTheme="minorBidi" w:cstheme="minorBidi"/>
          <w:b/>
          <w:bCs/>
          <w:snapToGrid w:val="0"/>
          <w:sz w:val="22"/>
          <w:szCs w:val="22"/>
        </w:rPr>
      </w:pPr>
      <w:r>
        <w:rPr>
          <w:rFonts w:asciiTheme="minorBidi" w:hAnsiTheme="minorBidi"/>
          <w:snapToGrid w:val="0"/>
          <w:sz w:val="22"/>
        </w:rPr>
        <w:t xml:space="preserve">L’équipe de recherche susmentionnée a fourni </w:t>
      </w:r>
      <w:r w:rsidR="00453A18">
        <w:rPr>
          <w:rFonts w:asciiTheme="minorBidi" w:hAnsiTheme="minorBidi"/>
          <w:snapToGrid w:val="0"/>
          <w:sz w:val="22"/>
        </w:rPr>
        <w:t xml:space="preserve">au Secrétariat </w:t>
      </w:r>
      <w:r>
        <w:rPr>
          <w:rFonts w:asciiTheme="minorBidi" w:hAnsiTheme="minorBidi"/>
          <w:snapToGrid w:val="0"/>
          <w:sz w:val="22"/>
        </w:rPr>
        <w:t>des commentaires spécifiques sur l’efficacité du mécanisme de rapport périodique en tant qu’outil de suivi et de rapport pour la Convention de 2003, ainsi que sur les leçons tirées de ce cycle.</w:t>
      </w:r>
    </w:p>
    <w:p w14:paraId="30241391" w14:textId="76114B7D" w:rsidR="00D452AC" w:rsidRPr="00105CE6" w:rsidRDefault="00FA2F7E" w:rsidP="00405E1E">
      <w:pPr>
        <w:pStyle w:val="Sansinterligne2"/>
        <w:numPr>
          <w:ilvl w:val="0"/>
          <w:numId w:val="23"/>
        </w:numPr>
        <w:spacing w:after="120"/>
        <w:ind w:left="567" w:hanging="567"/>
        <w:jc w:val="both"/>
        <w:rPr>
          <w:rFonts w:asciiTheme="minorBidi" w:hAnsiTheme="minorBidi" w:cstheme="minorBidi"/>
          <w:b/>
          <w:bCs/>
          <w:snapToGrid w:val="0"/>
          <w:sz w:val="22"/>
          <w:szCs w:val="22"/>
        </w:rPr>
      </w:pPr>
      <w:r w:rsidRPr="00105CE6">
        <w:rPr>
          <w:rFonts w:asciiTheme="minorBidi" w:hAnsiTheme="minorBidi"/>
          <w:snapToGrid w:val="0"/>
          <w:sz w:val="22"/>
        </w:rPr>
        <w:t>En référence à la Recommandation 2 de l’évaluation de 2021 par l</w:t>
      </w:r>
      <w:r w:rsidR="00103055" w:rsidRPr="00105CE6">
        <w:rPr>
          <w:rFonts w:asciiTheme="minorBidi" w:hAnsiTheme="minorBidi"/>
          <w:snapToGrid w:val="0"/>
          <w:sz w:val="22"/>
        </w:rPr>
        <w:t xml:space="preserve">a Division des services de contrôle interne </w:t>
      </w:r>
      <w:r w:rsidRPr="00105CE6">
        <w:rPr>
          <w:rFonts w:asciiTheme="minorBidi" w:hAnsiTheme="minorBidi"/>
          <w:snapToGrid w:val="0"/>
          <w:sz w:val="22"/>
        </w:rPr>
        <w:t>d</w:t>
      </w:r>
      <w:r w:rsidR="00103055" w:rsidRPr="00105CE6">
        <w:rPr>
          <w:rFonts w:asciiTheme="minorBidi" w:hAnsiTheme="minorBidi"/>
          <w:snapToGrid w:val="0"/>
          <w:sz w:val="22"/>
        </w:rPr>
        <w:t>e l’action de</w:t>
      </w:r>
      <w:r w:rsidRPr="00105CE6">
        <w:rPr>
          <w:rFonts w:asciiTheme="minorBidi" w:hAnsiTheme="minorBidi"/>
          <w:snapToGrid w:val="0"/>
          <w:sz w:val="22"/>
        </w:rPr>
        <w:t xml:space="preserve"> l’UNESCO dans le cadre</w:t>
      </w:r>
      <w:r>
        <w:rPr>
          <w:rFonts w:asciiTheme="minorBidi" w:hAnsiTheme="minorBidi"/>
          <w:snapToGrid w:val="0"/>
          <w:sz w:val="22"/>
        </w:rPr>
        <w:t xml:space="preserve"> de la Convention de 2003</w:t>
      </w:r>
      <w:r w:rsidR="00AE75A6">
        <w:rPr>
          <w:rStyle w:val="Appelnotedebasdep"/>
          <w:rFonts w:asciiTheme="minorBidi" w:hAnsiTheme="minorBidi"/>
          <w:snapToGrid w:val="0"/>
          <w:sz w:val="22"/>
        </w:rPr>
        <w:footnoteReference w:id="2"/>
      </w:r>
      <w:r>
        <w:rPr>
          <w:rFonts w:asciiTheme="minorBidi" w:hAnsiTheme="minorBidi"/>
          <w:snapToGrid w:val="0"/>
          <w:sz w:val="22"/>
        </w:rPr>
        <w:t>, il semble important de rendre largement disponibles les résultats des données collectées de manière synthétique et visuelle. Dans un premier temps, le Secrétariat a l’intention de publier le « rapport analytique » sur les rapports soumis par les États parties d’Amérique latine et des Caraïbes en tant que publication de l’UNESCO en anglais, français et espagnol. Il est également prévu qu’un résumé des informations soumises soit mis à la disposition de chaque État</w:t>
      </w:r>
      <w:r w:rsidR="00506FD6">
        <w:rPr>
          <w:rFonts w:asciiTheme="minorBidi" w:hAnsiTheme="minorBidi"/>
          <w:snapToGrid w:val="0"/>
          <w:sz w:val="22"/>
        </w:rPr>
        <w:t xml:space="preserve"> soumissionnaire</w:t>
      </w:r>
      <w:r>
        <w:rPr>
          <w:rFonts w:asciiTheme="minorBidi" w:hAnsiTheme="minorBidi"/>
          <w:snapToGrid w:val="0"/>
          <w:sz w:val="22"/>
        </w:rPr>
        <w:t xml:space="preserve"> sous la forme d’une « fiche d</w:t>
      </w:r>
      <w:r w:rsidR="005E1B31">
        <w:rPr>
          <w:rFonts w:asciiTheme="minorBidi" w:hAnsiTheme="minorBidi"/>
          <w:snapToGrid w:val="0"/>
          <w:sz w:val="22"/>
        </w:rPr>
        <w:t>e données</w:t>
      </w:r>
      <w:r>
        <w:rPr>
          <w:rFonts w:asciiTheme="minorBidi" w:hAnsiTheme="minorBidi"/>
          <w:snapToGrid w:val="0"/>
          <w:sz w:val="22"/>
        </w:rPr>
        <w:t xml:space="preserve"> </w:t>
      </w:r>
      <w:r w:rsidR="005E1B31">
        <w:rPr>
          <w:rFonts w:asciiTheme="minorBidi" w:hAnsiTheme="minorBidi"/>
          <w:snapToGrid w:val="0"/>
          <w:sz w:val="22"/>
        </w:rPr>
        <w:t>nationales</w:t>
      </w:r>
      <w:r>
        <w:rPr>
          <w:rFonts w:asciiTheme="minorBidi" w:hAnsiTheme="minorBidi"/>
          <w:snapToGrid w:val="0"/>
          <w:sz w:val="22"/>
        </w:rPr>
        <w:t> », dans le but de faciliter les efforts de sauvegarde et le suivi de l’exercice de rapport périodique au niveau national.</w:t>
      </w:r>
    </w:p>
    <w:p w14:paraId="2DF4EF95" w14:textId="795484C6" w:rsidR="004124EC" w:rsidRDefault="004124EC" w:rsidP="00405E1E">
      <w:pPr>
        <w:pStyle w:val="Sansinterligne2"/>
        <w:snapToGrid w:val="0"/>
        <w:spacing w:before="240" w:after="120"/>
        <w:jc w:val="both"/>
        <w:rPr>
          <w:rFonts w:asciiTheme="minorBidi" w:hAnsiTheme="minorBidi" w:cstheme="minorBidi"/>
          <w:b/>
          <w:bCs/>
          <w:snapToGrid w:val="0"/>
          <w:sz w:val="22"/>
          <w:szCs w:val="22"/>
        </w:rPr>
      </w:pPr>
      <w:r>
        <w:rPr>
          <w:rFonts w:asciiTheme="minorBidi" w:hAnsiTheme="minorBidi"/>
          <w:b/>
          <w:snapToGrid w:val="0"/>
          <w:sz w:val="22"/>
        </w:rPr>
        <w:t>Cycle de 2022 – Analyse post-soumission en Europe</w:t>
      </w:r>
    </w:p>
    <w:p w14:paraId="1BB7DA8A" w14:textId="6A23FC2C" w:rsidR="00D452AC" w:rsidRPr="004124EC" w:rsidRDefault="00D452AC" w:rsidP="00405E1E">
      <w:pPr>
        <w:pStyle w:val="Sansinterligne2"/>
        <w:numPr>
          <w:ilvl w:val="0"/>
          <w:numId w:val="23"/>
        </w:numPr>
        <w:snapToGrid w:val="0"/>
        <w:spacing w:after="120"/>
        <w:ind w:left="567" w:hanging="567"/>
        <w:jc w:val="both"/>
        <w:rPr>
          <w:rFonts w:asciiTheme="minorBidi" w:hAnsiTheme="minorBidi" w:cstheme="minorBidi"/>
          <w:b/>
          <w:bCs/>
          <w:snapToGrid w:val="0"/>
          <w:sz w:val="22"/>
          <w:szCs w:val="22"/>
        </w:rPr>
      </w:pPr>
      <w:r>
        <w:rPr>
          <w:rFonts w:asciiTheme="minorBidi" w:hAnsiTheme="minorBidi" w:cstheme="minorBidi"/>
          <w:snapToGrid w:val="0"/>
          <w:sz w:val="22"/>
          <w:szCs w:val="22"/>
        </w:rPr>
        <w:t xml:space="preserve">En </w:t>
      </w:r>
      <w:r w:rsidRPr="00D452AC">
        <w:rPr>
          <w:rFonts w:asciiTheme="minorBidi" w:hAnsiTheme="minorBidi" w:cstheme="minorBidi"/>
          <w:snapToGrid w:val="0"/>
          <w:sz w:val="22"/>
          <w:szCs w:val="22"/>
        </w:rPr>
        <w:t xml:space="preserve">tant que deuxième région à mettre en œuvre l’exercice réformé de rapport périodique, quarante-deux </w:t>
      </w:r>
      <w:r w:rsidRPr="00105CE6">
        <w:rPr>
          <w:rFonts w:asciiTheme="minorBidi" w:hAnsiTheme="minorBidi" w:cstheme="minorBidi"/>
          <w:snapToGrid w:val="0"/>
          <w:sz w:val="22"/>
          <w:szCs w:val="22"/>
        </w:rPr>
        <w:t>É</w:t>
      </w:r>
      <w:r>
        <w:rPr>
          <w:rFonts w:asciiTheme="minorBidi" w:hAnsiTheme="minorBidi" w:cstheme="minorBidi"/>
          <w:snapToGrid w:val="0"/>
          <w:sz w:val="22"/>
          <w:szCs w:val="22"/>
        </w:rPr>
        <w:t xml:space="preserve">tats parties sur quarante-quatre dans la région Europe ont soumis leurs rapports périodiques </w:t>
      </w:r>
      <w:r w:rsidR="001249AA">
        <w:rPr>
          <w:rFonts w:asciiTheme="minorBidi" w:hAnsiTheme="minorBidi" w:cstheme="minorBidi"/>
          <w:snapToGrid w:val="0"/>
          <w:sz w:val="22"/>
          <w:szCs w:val="22"/>
        </w:rPr>
        <w:t>dans le délai prolongé du 15 février 2022</w:t>
      </w:r>
      <w:r w:rsidR="001249AA" w:rsidRPr="001249AA">
        <w:rPr>
          <w:rFonts w:asciiTheme="minorBidi" w:hAnsiTheme="minorBidi" w:cstheme="minorBidi"/>
          <w:snapToGrid w:val="0"/>
          <w:sz w:val="22"/>
          <w:szCs w:val="22"/>
        </w:rPr>
        <w:t xml:space="preserve">. </w:t>
      </w:r>
      <w:r w:rsidR="001249AA">
        <w:rPr>
          <w:rFonts w:asciiTheme="minorBidi" w:hAnsiTheme="minorBidi" w:cstheme="minorBidi"/>
          <w:snapToGrid w:val="0"/>
          <w:sz w:val="22"/>
          <w:szCs w:val="22"/>
        </w:rPr>
        <w:t xml:space="preserve">Le </w:t>
      </w:r>
      <w:r w:rsidR="00C74207" w:rsidRPr="00105CE6">
        <w:rPr>
          <w:rFonts w:asciiTheme="minorBidi" w:hAnsiTheme="minorBidi" w:cstheme="minorBidi"/>
          <w:sz w:val="22"/>
          <w:szCs w:val="22"/>
        </w:rPr>
        <w:t>Centre régional pour la sauvegarde du patrimoine culturel immatériel en Europe du Sud-Est</w:t>
      </w:r>
      <w:r w:rsidR="001249AA">
        <w:rPr>
          <w:rFonts w:asciiTheme="minorBidi" w:hAnsiTheme="minorBidi" w:cstheme="minorBidi"/>
          <w:sz w:val="22"/>
          <w:szCs w:val="22"/>
        </w:rPr>
        <w:t xml:space="preserve"> a soutenu les activités de renforcement des capacités. </w:t>
      </w:r>
      <w:r w:rsidR="009B5EB9">
        <w:rPr>
          <w:rFonts w:asciiTheme="minorBidi" w:hAnsiTheme="minorBidi" w:cstheme="minorBidi"/>
          <w:sz w:val="22"/>
          <w:szCs w:val="22"/>
        </w:rPr>
        <w:t xml:space="preserve">Un résumé analytique de ces rapports est fourni à la présente session du Comité au point 6.b de son ordre du jour provisoire (document </w:t>
      </w:r>
      <w:hyperlink r:id="rId18" w:history="1">
        <w:r w:rsidR="009B5EB9" w:rsidRPr="002B6030">
          <w:rPr>
            <w:rStyle w:val="Lienhypertexte"/>
            <w:rFonts w:asciiTheme="minorBidi" w:hAnsiTheme="minorBidi" w:cstheme="minorBidi"/>
            <w:sz w:val="22"/>
            <w:szCs w:val="22"/>
          </w:rPr>
          <w:t>LHE/22/17.COM</w:t>
        </w:r>
        <w:r w:rsidR="00AB6C1D">
          <w:rPr>
            <w:rStyle w:val="Lienhypertexte"/>
            <w:rFonts w:asciiTheme="minorBidi" w:hAnsiTheme="minorBidi" w:cstheme="minorBidi"/>
            <w:sz w:val="22"/>
            <w:szCs w:val="22"/>
          </w:rPr>
          <w:t> </w:t>
        </w:r>
        <w:r w:rsidR="009B5EB9" w:rsidRPr="002B6030">
          <w:rPr>
            <w:rStyle w:val="Lienhypertexte"/>
            <w:rFonts w:asciiTheme="minorBidi" w:hAnsiTheme="minorBidi" w:cstheme="minorBidi"/>
            <w:sz w:val="22"/>
            <w:szCs w:val="22"/>
          </w:rPr>
          <w:t>6b</w:t>
        </w:r>
      </w:hyperlink>
      <w:r w:rsidR="009B5EB9">
        <w:rPr>
          <w:rFonts w:asciiTheme="minorBidi" w:hAnsiTheme="minorBidi" w:cstheme="minorBidi"/>
          <w:sz w:val="22"/>
          <w:szCs w:val="22"/>
        </w:rPr>
        <w:t>).</w:t>
      </w:r>
    </w:p>
    <w:p w14:paraId="5FDA8DF1" w14:textId="77777777" w:rsidR="007536CA" w:rsidRDefault="007536CA">
      <w:pPr>
        <w:rPr>
          <w:rFonts w:asciiTheme="minorBidi" w:hAnsiTheme="minorBidi"/>
          <w:b/>
          <w:snapToGrid w:val="0"/>
          <w:sz w:val="22"/>
        </w:rPr>
      </w:pPr>
      <w:r>
        <w:rPr>
          <w:rFonts w:asciiTheme="minorBidi" w:hAnsiTheme="minorBidi"/>
          <w:b/>
          <w:snapToGrid w:val="0"/>
          <w:sz w:val="22"/>
        </w:rPr>
        <w:br w:type="page"/>
      </w:r>
    </w:p>
    <w:p w14:paraId="6C919CAD" w14:textId="58B982C4" w:rsidR="002C626F" w:rsidRDefault="008B088A" w:rsidP="00405E1E">
      <w:pPr>
        <w:pStyle w:val="Sansinterligne2"/>
        <w:snapToGrid w:val="0"/>
        <w:spacing w:before="240" w:after="120"/>
        <w:jc w:val="both"/>
        <w:rPr>
          <w:rFonts w:asciiTheme="minorBidi" w:hAnsiTheme="minorBidi" w:cstheme="minorBidi"/>
          <w:b/>
          <w:bCs/>
          <w:snapToGrid w:val="0"/>
          <w:sz w:val="22"/>
          <w:szCs w:val="22"/>
        </w:rPr>
      </w:pPr>
      <w:r>
        <w:rPr>
          <w:rFonts w:asciiTheme="minorBidi" w:hAnsiTheme="minorBidi"/>
          <w:b/>
          <w:snapToGrid w:val="0"/>
          <w:sz w:val="22"/>
        </w:rPr>
        <w:lastRenderedPageBreak/>
        <w:t>Cycle de 2023 – Soutien au renforcement des capacités dans les États arabes</w:t>
      </w:r>
    </w:p>
    <w:p w14:paraId="2744169B" w14:textId="78F9D807" w:rsidR="001614BE" w:rsidRPr="007E4FE8" w:rsidRDefault="007536CA" w:rsidP="0099457F">
      <w:pPr>
        <w:pStyle w:val="Sansinterligne2"/>
        <w:numPr>
          <w:ilvl w:val="0"/>
          <w:numId w:val="23"/>
        </w:numPr>
        <w:spacing w:after="120"/>
        <w:ind w:left="567" w:hanging="567"/>
        <w:jc w:val="both"/>
        <w:rPr>
          <w:rFonts w:asciiTheme="minorBidi" w:hAnsiTheme="minorBidi"/>
          <w:snapToGrid w:val="0"/>
          <w:sz w:val="22"/>
        </w:rPr>
      </w:pPr>
      <w:r w:rsidRPr="007E4FE8">
        <w:rPr>
          <w:rFonts w:asciiTheme="minorBidi" w:hAnsiTheme="minorBidi"/>
          <w:noProof/>
          <w:snapToGrid w:val="0"/>
          <w:sz w:val="22"/>
        </w:rPr>
        <w:drawing>
          <wp:anchor distT="0" distB="0" distL="114300" distR="114300" simplePos="0" relativeHeight="251659264" behindDoc="0" locked="0" layoutInCell="1" allowOverlap="1" wp14:anchorId="66B34FAC" wp14:editId="43477687">
            <wp:simplePos x="0" y="0"/>
            <wp:positionH relativeFrom="column">
              <wp:posOffset>845185</wp:posOffset>
            </wp:positionH>
            <wp:positionV relativeFrom="paragraph">
              <wp:posOffset>715203</wp:posOffset>
            </wp:positionV>
            <wp:extent cx="4787900" cy="25019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7900" cy="2501900"/>
                    </a:xfrm>
                    <a:prstGeom prst="rect">
                      <a:avLst/>
                    </a:prstGeom>
                    <a:noFill/>
                    <a:ln>
                      <a:noFill/>
                    </a:ln>
                  </pic:spPr>
                </pic:pic>
              </a:graphicData>
            </a:graphic>
          </wp:anchor>
        </w:drawing>
      </w:r>
      <w:r w:rsidR="00393FCB">
        <w:rPr>
          <w:rFonts w:asciiTheme="minorBidi" w:hAnsiTheme="minorBidi"/>
          <w:snapToGrid w:val="0"/>
          <w:sz w:val="22"/>
        </w:rPr>
        <w:t xml:space="preserve">Dans le cadre du cycle de 2023, </w:t>
      </w:r>
      <w:r w:rsidR="00393FCB" w:rsidRPr="00105CE6">
        <w:rPr>
          <w:rFonts w:asciiTheme="minorBidi" w:hAnsiTheme="minorBidi"/>
          <w:snapToGrid w:val="0"/>
          <w:sz w:val="22"/>
        </w:rPr>
        <w:t>dix-huit</w:t>
      </w:r>
      <w:r w:rsidR="00393FCB">
        <w:rPr>
          <w:rFonts w:asciiTheme="minorBidi" w:hAnsiTheme="minorBidi"/>
          <w:snapToGrid w:val="0"/>
          <w:sz w:val="22"/>
        </w:rPr>
        <w:t xml:space="preserve"> États parties de la région États arabes</w:t>
      </w:r>
      <w:r w:rsidR="00393FCB" w:rsidRPr="007E4FE8">
        <w:rPr>
          <w:rFonts w:asciiTheme="minorBidi" w:hAnsiTheme="minorBidi"/>
          <w:snapToGrid w:val="0"/>
          <w:sz w:val="22"/>
        </w:rPr>
        <w:t xml:space="preserve"> s’apprêtent à soumettre leurs rapports</w:t>
      </w:r>
      <w:r w:rsidR="003729BC" w:rsidRPr="007E4FE8">
        <w:rPr>
          <w:rFonts w:asciiTheme="minorBidi" w:hAnsiTheme="minorBidi"/>
          <w:snapToGrid w:val="0"/>
          <w:sz w:val="22"/>
        </w:rPr>
        <w:t xml:space="preserve"> dans le délai fixé au </w:t>
      </w:r>
      <w:r w:rsidR="00393FCB" w:rsidRPr="007E4FE8">
        <w:rPr>
          <w:rFonts w:asciiTheme="minorBidi" w:hAnsiTheme="minorBidi"/>
          <w:snapToGrid w:val="0"/>
          <w:sz w:val="22"/>
        </w:rPr>
        <w:t>15 décembre 2022. Afin de soutenir le</w:t>
      </w:r>
      <w:r w:rsidR="00405E1E" w:rsidRPr="007E4FE8">
        <w:rPr>
          <w:rFonts w:asciiTheme="minorBidi" w:hAnsiTheme="minorBidi"/>
          <w:snapToGrid w:val="0"/>
          <w:sz w:val="22"/>
        </w:rPr>
        <w:t xml:space="preserve"> </w:t>
      </w:r>
      <w:r w:rsidR="00393FCB" w:rsidRPr="007E4FE8">
        <w:rPr>
          <w:rFonts w:asciiTheme="minorBidi" w:hAnsiTheme="minorBidi"/>
          <w:snapToGrid w:val="0"/>
          <w:sz w:val="22"/>
        </w:rPr>
        <w:t xml:space="preserve">processus, le Secrétariat a conçu un processus de renforcement des capacités de </w:t>
      </w:r>
      <w:r w:rsidR="00AB6C1D">
        <w:rPr>
          <w:rFonts w:asciiTheme="minorBidi" w:hAnsiTheme="minorBidi"/>
          <w:snapToGrid w:val="0"/>
          <w:sz w:val="22"/>
        </w:rPr>
        <w:t>neuf</w:t>
      </w:r>
      <w:r w:rsidR="00393FCB" w:rsidRPr="007E4FE8">
        <w:rPr>
          <w:rFonts w:asciiTheme="minorBidi" w:hAnsiTheme="minorBidi"/>
          <w:snapToGrid w:val="0"/>
          <w:sz w:val="22"/>
        </w:rPr>
        <w:t> mois (de février à octobre 2022), comme illustré ci-dessous :</w:t>
      </w:r>
    </w:p>
    <w:p w14:paraId="25B981D1" w14:textId="0624E174" w:rsidR="000805F1" w:rsidRDefault="0099520B" w:rsidP="00405E1E">
      <w:pPr>
        <w:pStyle w:val="Sansinterligne2"/>
        <w:numPr>
          <w:ilvl w:val="0"/>
          <w:numId w:val="23"/>
        </w:numPr>
        <w:snapToGrid w:val="0"/>
        <w:spacing w:before="240" w:after="120"/>
        <w:ind w:left="567" w:hanging="567"/>
        <w:jc w:val="both"/>
        <w:rPr>
          <w:rFonts w:asciiTheme="minorBidi" w:hAnsiTheme="minorBidi" w:cstheme="minorBidi"/>
          <w:sz w:val="22"/>
          <w:szCs w:val="22"/>
        </w:rPr>
      </w:pPr>
      <w:r>
        <w:rPr>
          <w:rFonts w:asciiTheme="minorBidi" w:hAnsiTheme="minorBidi"/>
          <w:sz w:val="22"/>
        </w:rPr>
        <w:t xml:space="preserve">Après une session d’introduction en ligne (15 février 2022), une formation de cinq jours a permis de réunir 18 points focaux nationaux, représentant </w:t>
      </w:r>
      <w:r w:rsidRPr="00105CE6">
        <w:rPr>
          <w:rFonts w:asciiTheme="minorBidi" w:hAnsiTheme="minorBidi"/>
          <w:sz w:val="22"/>
        </w:rPr>
        <w:t>tous les États parties du Groupe électoral V (b)</w:t>
      </w:r>
      <w:r w:rsidRPr="00CE4EEF">
        <w:rPr>
          <w:rFonts w:asciiTheme="minorBidi" w:hAnsiTheme="minorBidi"/>
          <w:sz w:val="22"/>
        </w:rPr>
        <w:t>.</w:t>
      </w:r>
      <w:r>
        <w:rPr>
          <w:rFonts w:asciiTheme="minorBidi" w:hAnsiTheme="minorBidi"/>
          <w:sz w:val="22"/>
        </w:rPr>
        <w:t xml:space="preserve"> La formation a été rendue possible grâce au soutien généreux et à l’hospitalité du </w:t>
      </w:r>
      <w:r>
        <w:rPr>
          <w:rStyle w:val="normaltextrun"/>
          <w:rFonts w:asciiTheme="minorBidi" w:hAnsiTheme="minorBidi"/>
          <w:sz w:val="22"/>
        </w:rPr>
        <w:t>Sharjah Institute for Heritage.</w:t>
      </w:r>
      <w:r>
        <w:rPr>
          <w:rFonts w:asciiTheme="minorBidi" w:hAnsiTheme="minorBidi"/>
          <w:sz w:val="22"/>
        </w:rPr>
        <w:t xml:space="preserve"> Compte tenu de la pandémie actuelle de COVID-19, la réunion a été proposée dans un format hybride (Sharjah, Émirats arabes unis, 21</w:t>
      </w:r>
      <w:r w:rsidR="00AB6C1D">
        <w:rPr>
          <w:rFonts w:asciiTheme="minorBidi" w:hAnsiTheme="minorBidi"/>
          <w:sz w:val="22"/>
        </w:rPr>
        <w:t xml:space="preserve"> </w:t>
      </w:r>
      <w:r w:rsidR="00AB6C1D">
        <w:rPr>
          <w:rFonts w:asciiTheme="minorBidi" w:hAnsiTheme="minorBidi"/>
          <w:snapToGrid w:val="0"/>
          <w:sz w:val="22"/>
        </w:rPr>
        <w:t xml:space="preserve">– </w:t>
      </w:r>
      <w:r>
        <w:rPr>
          <w:rFonts w:asciiTheme="minorBidi" w:hAnsiTheme="minorBidi"/>
          <w:sz w:val="22"/>
        </w:rPr>
        <w:t>25</w:t>
      </w:r>
      <w:r w:rsidR="00AB6C1D">
        <w:rPr>
          <w:rFonts w:asciiTheme="minorBidi" w:hAnsiTheme="minorBidi"/>
          <w:sz w:val="22"/>
        </w:rPr>
        <w:t> </w:t>
      </w:r>
      <w:r>
        <w:rPr>
          <w:rFonts w:asciiTheme="minorBidi" w:hAnsiTheme="minorBidi"/>
          <w:sz w:val="22"/>
        </w:rPr>
        <w:t>mars 2022).</w:t>
      </w:r>
      <w:r>
        <w:rPr>
          <w:rFonts w:ascii="Arial" w:hAnsi="Arial"/>
          <w:sz w:val="22"/>
        </w:rPr>
        <w:t xml:space="preserve"> Grâce à des supports de formation en arabe, français et anglais, la formation a combiné des conférences et des sessions d’échange interactives sur les connaissances et concepts de base, complétées par des exercices pratiques utilisant le formulaire de rapport périodique en ligne. En outre, l’accent a été mis sur l’apprentissage par les pairs dans trois groupes sous-régionaux. Les participants à la formation comprenaient vingt fonctionnaires observateurs de ministères, de Commissions nationales pour l’UNESCO et d’autres organisations régionales, ainsi que six spécialistes de la culture des bureaux </w:t>
      </w:r>
      <w:r w:rsidR="00540970">
        <w:rPr>
          <w:rFonts w:ascii="Arial" w:hAnsi="Arial"/>
          <w:sz w:val="22"/>
        </w:rPr>
        <w:t>hors-Siège de</w:t>
      </w:r>
      <w:r>
        <w:rPr>
          <w:rFonts w:ascii="Arial" w:hAnsi="Arial"/>
          <w:sz w:val="22"/>
        </w:rPr>
        <w:t xml:space="preserve"> l’UNESCO dans la région.</w:t>
      </w:r>
    </w:p>
    <w:p w14:paraId="0B2A5932" w14:textId="736CE589" w:rsidR="009F7954" w:rsidRDefault="00BF73A6" w:rsidP="00405E1E">
      <w:pPr>
        <w:pStyle w:val="Sansinterligne2"/>
        <w:numPr>
          <w:ilvl w:val="0"/>
          <w:numId w:val="23"/>
        </w:numPr>
        <w:snapToGrid w:val="0"/>
        <w:ind w:left="567" w:hanging="567"/>
        <w:jc w:val="both"/>
        <w:rPr>
          <w:rFonts w:ascii="Arial" w:hAnsi="Arial"/>
          <w:bCs/>
          <w:sz w:val="22"/>
          <w:szCs w:val="22"/>
        </w:rPr>
      </w:pPr>
      <w:r>
        <w:rPr>
          <w:rFonts w:ascii="Arial" w:hAnsi="Arial"/>
          <w:sz w:val="22"/>
        </w:rPr>
        <w:t>Après la formation au niveau régional, les groupes sous-régionaux ont poursuivi leurs échanges lors de sessions de suivi mensuelles (avril à septembre 2022). Ces sessions ont permis aux points focaux de travailler en étroite collaboration, contribuant ainsi de manière significative à renforcer l’échange de connaissances et d’expériences à travers la région. Le Secrétariat a apporté un soutien supplémentaire en organisant deux sessions de suivi en ligne réunissant tous les points focaux et leurs équipes de toute la région afin de faciliter la poursuite des échanges et l’apprentissage par les pairs (juin et octobre 2022). Pour la phase finale de préparation des rapports, un service d’assistance est mis en place afin de garantir une aide technique relative au remplissage du formulaire de rapport périodique.</w:t>
      </w:r>
    </w:p>
    <w:p w14:paraId="65E96809" w14:textId="009FE41E" w:rsidR="00E644FB" w:rsidRPr="00143D6A" w:rsidRDefault="008B088A" w:rsidP="00405E1E">
      <w:pPr>
        <w:pStyle w:val="Sansinterligne2"/>
        <w:snapToGrid w:val="0"/>
        <w:spacing w:before="240" w:after="120"/>
        <w:jc w:val="both"/>
        <w:rPr>
          <w:rFonts w:asciiTheme="minorBidi" w:hAnsiTheme="minorBidi" w:cstheme="minorBidi"/>
          <w:b/>
          <w:bCs/>
          <w:snapToGrid w:val="0"/>
          <w:sz w:val="22"/>
          <w:szCs w:val="22"/>
        </w:rPr>
      </w:pPr>
      <w:r>
        <w:rPr>
          <w:rFonts w:asciiTheme="minorBidi" w:hAnsiTheme="minorBidi"/>
          <w:b/>
          <w:snapToGrid w:val="0"/>
          <w:sz w:val="22"/>
        </w:rPr>
        <w:t>Cycle de 2024 – Lancement de l’exercice de rapport périodique en Afrique</w:t>
      </w:r>
    </w:p>
    <w:p w14:paraId="3AE2E29C" w14:textId="4FE9E486" w:rsidR="001A5B6D" w:rsidRDefault="004413DE" w:rsidP="00AB6C1D">
      <w:pPr>
        <w:pStyle w:val="Sansinterligne2"/>
        <w:numPr>
          <w:ilvl w:val="0"/>
          <w:numId w:val="23"/>
        </w:numPr>
        <w:snapToGrid w:val="0"/>
        <w:spacing w:after="120"/>
        <w:ind w:left="567" w:hanging="567"/>
        <w:jc w:val="both"/>
        <w:rPr>
          <w:rFonts w:ascii="Arial" w:hAnsi="Arial"/>
          <w:bCs/>
          <w:sz w:val="22"/>
          <w:szCs w:val="22"/>
        </w:rPr>
      </w:pPr>
      <w:r>
        <w:rPr>
          <w:rFonts w:ascii="Arial" w:hAnsi="Arial"/>
          <w:sz w:val="22"/>
        </w:rPr>
        <w:t xml:space="preserve">Les préparatifs sont en cours pour le déploiement de l’exercice de rapport périodique afin d’aider les États parties de la région Afrique à soumettre leurs rapports </w:t>
      </w:r>
      <w:r w:rsidR="00AD510E">
        <w:rPr>
          <w:rFonts w:ascii="Arial" w:hAnsi="Arial"/>
          <w:sz w:val="22"/>
        </w:rPr>
        <w:t>dans le délai fixé a</w:t>
      </w:r>
      <w:r>
        <w:rPr>
          <w:rFonts w:ascii="Arial" w:hAnsi="Arial"/>
          <w:sz w:val="22"/>
        </w:rPr>
        <w:t>u 15 décembre 2023. L’approche de renforcement des capacités pour la région Afrique comprend une formation des facilitateurs et la formation régionale des points focaux nationaux pour l’élaboration de rapports périodiques :</w:t>
      </w:r>
    </w:p>
    <w:p w14:paraId="5AB61445" w14:textId="277388C0" w:rsidR="00A02FAC" w:rsidRDefault="00A02FAC" w:rsidP="00AB6C1D">
      <w:pPr>
        <w:pStyle w:val="Sansinterligne2"/>
        <w:numPr>
          <w:ilvl w:val="0"/>
          <w:numId w:val="33"/>
        </w:numPr>
        <w:snapToGrid w:val="0"/>
        <w:spacing w:after="120"/>
        <w:ind w:left="1134" w:hanging="567"/>
        <w:jc w:val="both"/>
        <w:rPr>
          <w:rFonts w:ascii="Arial" w:hAnsi="Arial"/>
          <w:bCs/>
          <w:sz w:val="22"/>
          <w:szCs w:val="22"/>
        </w:rPr>
      </w:pPr>
      <w:r>
        <w:rPr>
          <w:rFonts w:ascii="Arial" w:hAnsi="Arial"/>
          <w:sz w:val="22"/>
        </w:rPr>
        <w:t xml:space="preserve">Dans un premier temps, une formation en ligne </w:t>
      </w:r>
      <w:r w:rsidR="00021E52">
        <w:rPr>
          <w:rFonts w:ascii="Arial" w:hAnsi="Arial"/>
          <w:sz w:val="22"/>
        </w:rPr>
        <w:t>a été/</w:t>
      </w:r>
      <w:r>
        <w:rPr>
          <w:rFonts w:ascii="Arial" w:hAnsi="Arial"/>
          <w:sz w:val="22"/>
        </w:rPr>
        <w:t xml:space="preserve">sera dispensée </w:t>
      </w:r>
      <w:r w:rsidR="00266C1A">
        <w:rPr>
          <w:rFonts w:ascii="Arial" w:hAnsi="Arial"/>
          <w:sz w:val="22"/>
        </w:rPr>
        <w:t>(</w:t>
      </w:r>
      <w:r w:rsidR="0077631F">
        <w:rPr>
          <w:rFonts w:ascii="Arial" w:hAnsi="Arial"/>
          <w:sz w:val="22"/>
        </w:rPr>
        <w:t xml:space="preserve">le </w:t>
      </w:r>
      <w:r>
        <w:rPr>
          <w:rFonts w:ascii="Arial" w:hAnsi="Arial"/>
          <w:sz w:val="22"/>
        </w:rPr>
        <w:t xml:space="preserve">26 octobre ainsi que </w:t>
      </w:r>
      <w:r w:rsidR="0077631F">
        <w:rPr>
          <w:rFonts w:ascii="Arial" w:hAnsi="Arial"/>
          <w:sz w:val="22"/>
        </w:rPr>
        <w:t xml:space="preserve">les </w:t>
      </w:r>
      <w:r>
        <w:rPr>
          <w:rFonts w:ascii="Arial" w:hAnsi="Arial"/>
          <w:sz w:val="22"/>
        </w:rPr>
        <w:t>2 et 9 novembre 2022</w:t>
      </w:r>
      <w:r w:rsidR="00266C1A">
        <w:rPr>
          <w:rFonts w:ascii="Arial" w:hAnsi="Arial"/>
          <w:sz w:val="22"/>
        </w:rPr>
        <w:t>)</w:t>
      </w:r>
      <w:r>
        <w:rPr>
          <w:rFonts w:ascii="Arial" w:hAnsi="Arial"/>
          <w:sz w:val="22"/>
        </w:rPr>
        <w:t xml:space="preserve"> à douze facilitateurs du réseau</w:t>
      </w:r>
      <w:r w:rsidR="009B200E">
        <w:rPr>
          <w:rFonts w:ascii="Arial" w:hAnsi="Arial"/>
          <w:sz w:val="22"/>
        </w:rPr>
        <w:t xml:space="preserve"> global</w:t>
      </w:r>
      <w:r>
        <w:rPr>
          <w:rFonts w:ascii="Arial" w:hAnsi="Arial"/>
          <w:sz w:val="22"/>
        </w:rPr>
        <w:t xml:space="preserve"> de renforcement des capacités en Afrique. Les facilitateurs seront initiés au mécanisme réformé d’élaboration de rapports périodiques et au Cadre global de résultats de la Convention </w:t>
      </w:r>
      <w:r>
        <w:rPr>
          <w:rFonts w:ascii="Arial" w:hAnsi="Arial"/>
          <w:sz w:val="22"/>
        </w:rPr>
        <w:lastRenderedPageBreak/>
        <w:t>afin de renforcer leurs connaissances et leurs compétences en vue de concevoir et mettre en œuvre des rapports participatifs axés sur les résultats</w:t>
      </w:r>
      <w:r w:rsidR="00913A51">
        <w:rPr>
          <w:rFonts w:ascii="Arial" w:hAnsi="Arial"/>
          <w:sz w:val="22"/>
        </w:rPr>
        <w:t> ;</w:t>
      </w:r>
      <w:r>
        <w:rPr>
          <w:rFonts w:ascii="Arial" w:hAnsi="Arial"/>
          <w:sz w:val="22"/>
        </w:rPr>
        <w:t xml:space="preserve"> </w:t>
      </w:r>
      <w:r w:rsidR="00913A51">
        <w:rPr>
          <w:rFonts w:ascii="Arial" w:hAnsi="Arial"/>
          <w:sz w:val="22"/>
        </w:rPr>
        <w:t>l</w:t>
      </w:r>
      <w:r>
        <w:rPr>
          <w:rFonts w:ascii="Arial" w:hAnsi="Arial"/>
          <w:sz w:val="22"/>
        </w:rPr>
        <w:t>a formation aidera également les facilitateurs à se familiariser avec l’outil d’élaboration de rapports en ligne.</w:t>
      </w:r>
    </w:p>
    <w:p w14:paraId="11A88144" w14:textId="093AC439" w:rsidR="00A02FAC" w:rsidRPr="00A02FAC" w:rsidRDefault="004A748B" w:rsidP="00AB6C1D">
      <w:pPr>
        <w:pStyle w:val="Sansinterligne2"/>
        <w:numPr>
          <w:ilvl w:val="0"/>
          <w:numId w:val="33"/>
        </w:numPr>
        <w:spacing w:after="120"/>
        <w:ind w:left="1134" w:hanging="567"/>
        <w:jc w:val="both"/>
        <w:rPr>
          <w:rFonts w:ascii="Arial" w:hAnsi="Arial"/>
          <w:bCs/>
          <w:sz w:val="22"/>
          <w:szCs w:val="22"/>
        </w:rPr>
      </w:pPr>
      <w:r>
        <w:rPr>
          <w:rFonts w:ascii="Arial" w:hAnsi="Arial"/>
          <w:sz w:val="22"/>
        </w:rPr>
        <w:t>La deuxième étape du processus de renforcement des capacités, prévue pour le début de 2023, sera axée sur la préparation des 44 points focaux nationaux de la région au processus d’élaboration de rapports périodiques, en attendant la disponibilité de fonds extrabudgétaires. Le groupe de facilitateurs formés par la formation en ligne susmentionnée devrait donner son avis sur la meilleure façon d’adapter la formation des points focaux nationaux au contexte africain. Les facilitateurs qui ont participé aux précédents cycles de rapports seront invités à la formation pour partager leurs expériences et les leçons apprises, facilitant ainsi l’apprentissage par les pairs et les échanges interrégionaux.</w:t>
      </w:r>
    </w:p>
    <w:p w14:paraId="285F967F" w14:textId="50064030" w:rsidR="00311F91" w:rsidRPr="00143D6A" w:rsidRDefault="00844832" w:rsidP="00405E1E">
      <w:pPr>
        <w:pStyle w:val="Sansinterligne2"/>
        <w:numPr>
          <w:ilvl w:val="0"/>
          <w:numId w:val="23"/>
        </w:numPr>
        <w:spacing w:after="120"/>
        <w:ind w:left="567" w:hanging="567"/>
        <w:jc w:val="both"/>
        <w:rPr>
          <w:rFonts w:asciiTheme="minorBidi" w:hAnsiTheme="minorBidi" w:cstheme="minorBidi"/>
          <w:snapToGrid w:val="0"/>
          <w:sz w:val="22"/>
          <w:szCs w:val="22"/>
        </w:rPr>
      </w:pPr>
      <w:r>
        <w:rPr>
          <w:rFonts w:ascii="Arial" w:hAnsi="Arial"/>
          <w:sz w:val="22"/>
        </w:rPr>
        <w:t>La mise en œuvre du processus de renforcement des capacités pour la région Afrique sera assurée par l’UNESCO et son réseau de bureaux</w:t>
      </w:r>
      <w:r w:rsidR="00B63A17">
        <w:rPr>
          <w:rFonts w:ascii="Arial" w:hAnsi="Arial"/>
          <w:sz w:val="22"/>
        </w:rPr>
        <w:t xml:space="preserve"> hors-Siège</w:t>
      </w:r>
      <w:r>
        <w:rPr>
          <w:rFonts w:ascii="Arial" w:hAnsi="Arial"/>
          <w:sz w:val="22"/>
        </w:rPr>
        <w:t xml:space="preserve"> dans la région, ainsi que grâce au soutien du</w:t>
      </w:r>
      <w:r w:rsidR="00EC5084">
        <w:rPr>
          <w:rFonts w:ascii="Arial" w:hAnsi="Arial"/>
          <w:sz w:val="22"/>
        </w:rPr>
        <w:t xml:space="preserve"> Centre de catégorie 2</w:t>
      </w:r>
      <w:r>
        <w:rPr>
          <w:rFonts w:ascii="Arial" w:hAnsi="Arial"/>
          <w:sz w:val="22"/>
        </w:rPr>
        <w:t xml:space="preserve"> Centre régional pour la sauvegarde du patrimoine culturel immatériel en Afrique (CRESPIAF). L’approche globale de renforcement des capacités dans la région permettra de s’assurer que les États africains sont pleinement soutenus dans la préparation de leurs rapports périodiques et que la stratégie opérationnelle pour la priorité Afrique 2022-2029 </w:t>
      </w:r>
      <w:r w:rsidR="00A86124">
        <w:rPr>
          <w:rFonts w:ascii="Arial" w:hAnsi="Arial"/>
          <w:sz w:val="22"/>
        </w:rPr>
        <w:t xml:space="preserve">de l’UNESCO </w:t>
      </w:r>
      <w:r>
        <w:rPr>
          <w:rFonts w:ascii="Arial" w:hAnsi="Arial"/>
          <w:sz w:val="22"/>
        </w:rPr>
        <w:t>est respectée.</w:t>
      </w:r>
    </w:p>
    <w:p w14:paraId="504DF684" w14:textId="2D3A8CA8" w:rsidR="00F96C50" w:rsidRPr="00143D6A" w:rsidRDefault="0059183F" w:rsidP="00405E1E">
      <w:pPr>
        <w:pStyle w:val="Sansinterligne2"/>
        <w:spacing w:before="240" w:after="120"/>
        <w:jc w:val="both"/>
        <w:rPr>
          <w:rFonts w:asciiTheme="minorBidi" w:hAnsiTheme="minorBidi" w:cstheme="minorBidi"/>
          <w:b/>
          <w:bCs/>
          <w:snapToGrid w:val="0"/>
          <w:sz w:val="22"/>
          <w:szCs w:val="22"/>
        </w:rPr>
      </w:pPr>
      <w:r>
        <w:rPr>
          <w:rFonts w:asciiTheme="minorBidi" w:hAnsiTheme="minorBidi"/>
          <w:b/>
          <w:snapToGrid w:val="0"/>
          <w:sz w:val="22"/>
        </w:rPr>
        <w:t>Voie à suivre</w:t>
      </w:r>
    </w:p>
    <w:p w14:paraId="56666ED4" w14:textId="7A88EF21" w:rsidR="00B82FEB" w:rsidRDefault="00657BC6" w:rsidP="00405E1E">
      <w:pPr>
        <w:pStyle w:val="Sansinterligne2"/>
        <w:numPr>
          <w:ilvl w:val="0"/>
          <w:numId w:val="23"/>
        </w:numPr>
        <w:spacing w:after="120"/>
        <w:ind w:left="567" w:hanging="567"/>
        <w:jc w:val="both"/>
        <w:rPr>
          <w:rFonts w:asciiTheme="minorBidi" w:hAnsiTheme="minorBidi" w:cstheme="minorBidi"/>
          <w:snapToGrid w:val="0"/>
          <w:sz w:val="22"/>
          <w:szCs w:val="22"/>
        </w:rPr>
      </w:pPr>
      <w:r>
        <w:rPr>
          <w:rFonts w:asciiTheme="minorBidi" w:hAnsiTheme="minorBidi"/>
          <w:snapToGrid w:val="0"/>
          <w:sz w:val="22"/>
        </w:rPr>
        <w:t>Bien qu</w:t>
      </w:r>
      <w:r w:rsidR="00C65A9B">
        <w:rPr>
          <w:rFonts w:asciiTheme="minorBidi" w:hAnsiTheme="minorBidi"/>
          <w:snapToGrid w:val="0"/>
          <w:sz w:val="22"/>
        </w:rPr>
        <w:t>e ce soit un défi</w:t>
      </w:r>
      <w:r>
        <w:rPr>
          <w:rFonts w:asciiTheme="minorBidi" w:hAnsiTheme="minorBidi"/>
          <w:snapToGrid w:val="0"/>
          <w:sz w:val="22"/>
        </w:rPr>
        <w:t xml:space="preserve"> d'accompagner quatre régions qui</w:t>
      </w:r>
      <w:r w:rsidR="00C65A9B">
        <w:rPr>
          <w:rFonts w:asciiTheme="minorBidi" w:hAnsiTheme="minorBidi"/>
          <w:snapToGrid w:val="0"/>
          <w:sz w:val="22"/>
        </w:rPr>
        <w:t xml:space="preserve"> mettent en œuvre l’excise de rapport périodique</w:t>
      </w:r>
      <w:r w:rsidR="00392642">
        <w:rPr>
          <w:rFonts w:asciiTheme="minorBidi" w:hAnsiTheme="minorBidi"/>
          <w:snapToGrid w:val="0"/>
          <w:sz w:val="22"/>
        </w:rPr>
        <w:t>,</w:t>
      </w:r>
      <w:r>
        <w:rPr>
          <w:rFonts w:asciiTheme="minorBidi" w:hAnsiTheme="minorBidi"/>
          <w:snapToGrid w:val="0"/>
          <w:sz w:val="22"/>
        </w:rPr>
        <w:t xml:space="preserve"> la situation permet au Secrétariat d’appliquer les leçons apprises d’une région aux autres. </w:t>
      </w:r>
      <w:r w:rsidR="001321D5">
        <w:rPr>
          <w:rFonts w:asciiTheme="minorBidi" w:hAnsiTheme="minorBidi"/>
          <w:snapToGrid w:val="0"/>
          <w:sz w:val="22"/>
        </w:rPr>
        <w:t xml:space="preserve">De nombreuses </w:t>
      </w:r>
      <w:r>
        <w:rPr>
          <w:rFonts w:asciiTheme="minorBidi" w:hAnsiTheme="minorBidi"/>
          <w:snapToGrid w:val="0"/>
          <w:sz w:val="22"/>
        </w:rPr>
        <w:t xml:space="preserve">expériences et observations tirées du premier cycle en Amérique latine et dans les Caraïbes </w:t>
      </w:r>
      <w:r w:rsidR="00F165F5">
        <w:rPr>
          <w:rFonts w:asciiTheme="minorBidi" w:hAnsiTheme="minorBidi"/>
          <w:snapToGrid w:val="0"/>
          <w:sz w:val="22"/>
        </w:rPr>
        <w:t>pourraient être décrites</w:t>
      </w:r>
      <w:r>
        <w:rPr>
          <w:rFonts w:asciiTheme="minorBidi" w:hAnsiTheme="minorBidi"/>
          <w:snapToGrid w:val="0"/>
          <w:sz w:val="22"/>
        </w:rPr>
        <w:t>, mais les principales recommandations qui sont immédiatement pertinentes pour les régions qui préparent ou vont préparer leurs rapports peuvent être résumées comme suit :</w:t>
      </w:r>
    </w:p>
    <w:p w14:paraId="5F4E3299" w14:textId="7049845B" w:rsidR="007D0CAC" w:rsidRDefault="009F7954" w:rsidP="00405E1E">
      <w:pPr>
        <w:pStyle w:val="Sansinterligne2"/>
        <w:numPr>
          <w:ilvl w:val="0"/>
          <w:numId w:val="35"/>
        </w:numPr>
        <w:spacing w:after="120"/>
        <w:ind w:left="1134" w:hanging="567"/>
        <w:jc w:val="both"/>
        <w:rPr>
          <w:rFonts w:asciiTheme="minorBidi" w:hAnsiTheme="minorBidi" w:cstheme="minorBidi"/>
          <w:snapToGrid w:val="0"/>
          <w:sz w:val="22"/>
          <w:szCs w:val="22"/>
        </w:rPr>
      </w:pPr>
      <w:r>
        <w:rPr>
          <w:rFonts w:asciiTheme="minorBidi" w:hAnsiTheme="minorBidi"/>
          <w:snapToGrid w:val="0"/>
          <w:sz w:val="22"/>
        </w:rPr>
        <w:t xml:space="preserve">Bien que la </w:t>
      </w:r>
      <w:r w:rsidR="00345046">
        <w:rPr>
          <w:rFonts w:asciiTheme="minorBidi" w:hAnsiTheme="minorBidi"/>
          <w:snapToGrid w:val="0"/>
          <w:sz w:val="22"/>
        </w:rPr>
        <w:t xml:space="preserve">soumission </w:t>
      </w:r>
      <w:r>
        <w:rPr>
          <w:rFonts w:asciiTheme="minorBidi" w:hAnsiTheme="minorBidi"/>
          <w:snapToGrid w:val="0"/>
          <w:sz w:val="22"/>
        </w:rPr>
        <w:t>d’un rapport soit une obligation statutaire, il est important d’inclure les perspectives de toutes les parties prenantes impliquées, en particulier les communautés, plutôt que de se concentrer exclusivement sur les actions de l’État.</w:t>
      </w:r>
    </w:p>
    <w:p w14:paraId="2448EA28" w14:textId="0098C36A" w:rsidR="007D0CAC" w:rsidRDefault="0020254A" w:rsidP="00405E1E">
      <w:pPr>
        <w:pStyle w:val="Sansinterligne2"/>
        <w:numPr>
          <w:ilvl w:val="0"/>
          <w:numId w:val="35"/>
        </w:numPr>
        <w:spacing w:after="120"/>
        <w:ind w:left="1134" w:hanging="567"/>
        <w:jc w:val="both"/>
        <w:rPr>
          <w:rFonts w:asciiTheme="minorBidi" w:hAnsiTheme="minorBidi" w:cstheme="minorBidi"/>
          <w:snapToGrid w:val="0"/>
          <w:sz w:val="22"/>
          <w:szCs w:val="22"/>
        </w:rPr>
      </w:pPr>
      <w:r>
        <w:rPr>
          <w:rFonts w:asciiTheme="minorBidi" w:hAnsiTheme="minorBidi"/>
          <w:snapToGrid w:val="0"/>
          <w:sz w:val="22"/>
        </w:rPr>
        <w:t>De même, les rapports ne devraient pas seulement couvrir les actions liées aux éléments inventoriés ou inscrits, mais le patrimoine culturel immatériel en général, afin de présenter une plus grande variété d’exemples d’activités de sauvegarde.</w:t>
      </w:r>
    </w:p>
    <w:p w14:paraId="15378DBE" w14:textId="3219C9E4" w:rsidR="0020254A" w:rsidRDefault="00CC4C64" w:rsidP="00405E1E">
      <w:pPr>
        <w:pStyle w:val="Sansinterligne2"/>
        <w:numPr>
          <w:ilvl w:val="0"/>
          <w:numId w:val="35"/>
        </w:numPr>
        <w:spacing w:after="120"/>
        <w:ind w:left="1134" w:hanging="567"/>
        <w:jc w:val="both"/>
        <w:rPr>
          <w:rFonts w:asciiTheme="minorBidi" w:hAnsiTheme="minorBidi" w:cstheme="minorBidi"/>
          <w:snapToGrid w:val="0"/>
          <w:sz w:val="22"/>
          <w:szCs w:val="22"/>
        </w:rPr>
      </w:pPr>
      <w:r>
        <w:rPr>
          <w:rFonts w:asciiTheme="minorBidi" w:hAnsiTheme="minorBidi"/>
          <w:snapToGrid w:val="0"/>
          <w:sz w:val="22"/>
        </w:rPr>
        <w:t xml:space="preserve">Il pourrait être utile que les pays </w:t>
      </w:r>
      <w:r w:rsidR="00BF0CEE">
        <w:rPr>
          <w:rFonts w:asciiTheme="minorBidi" w:hAnsiTheme="minorBidi"/>
          <w:snapToGrid w:val="0"/>
          <w:sz w:val="22"/>
        </w:rPr>
        <w:t>soumissionnaires</w:t>
      </w:r>
      <w:r>
        <w:rPr>
          <w:rFonts w:asciiTheme="minorBidi" w:hAnsiTheme="minorBidi"/>
          <w:snapToGrid w:val="0"/>
          <w:sz w:val="22"/>
        </w:rPr>
        <w:t xml:space="preserve"> différencient clairement les notions d’actions, de résultats et d’impacts, au lieu de se concentrer principalement sur les activités de sauvegarde entreprises. Les États devraient également être encouragés à fournir des preuves à l’appui des affirmations faites dans les rapports.</w:t>
      </w:r>
    </w:p>
    <w:p w14:paraId="3A46CBAB" w14:textId="1DB52915" w:rsidR="00CE1D80" w:rsidRPr="00105CE6" w:rsidRDefault="000F2E6B" w:rsidP="00405E1E">
      <w:pPr>
        <w:pStyle w:val="Sansinterligne2"/>
        <w:numPr>
          <w:ilvl w:val="0"/>
          <w:numId w:val="23"/>
        </w:numPr>
        <w:spacing w:after="120"/>
        <w:ind w:left="567" w:hanging="567"/>
        <w:jc w:val="both"/>
        <w:rPr>
          <w:rFonts w:asciiTheme="minorBidi" w:hAnsiTheme="minorBidi" w:cstheme="minorBidi"/>
          <w:snapToGrid w:val="0"/>
          <w:sz w:val="22"/>
          <w:szCs w:val="22"/>
        </w:rPr>
      </w:pPr>
      <w:r>
        <w:rPr>
          <w:rFonts w:asciiTheme="minorBidi" w:hAnsiTheme="minorBidi"/>
          <w:snapToGrid w:val="0"/>
          <w:sz w:val="22"/>
        </w:rPr>
        <w:t>L’expérience acquise jusqu’à présent a mis en évidence des problèmes techniques ou structurels qui nécessitent une attention particulière afin d’améliorer le mécanisme de rapport périodique. Par exemple, les questions des formulaires doivent être rationalisées, car il y a plus de cent questions et certaines demandent des informations similaires. En outre, certaines questions ont été interprétées de différentes manières par les pays</w:t>
      </w:r>
      <w:r w:rsidR="00FA6247">
        <w:rPr>
          <w:rFonts w:asciiTheme="minorBidi" w:hAnsiTheme="minorBidi"/>
          <w:snapToGrid w:val="0"/>
          <w:sz w:val="22"/>
        </w:rPr>
        <w:t xml:space="preserve"> soumissionnaires</w:t>
      </w:r>
      <w:r>
        <w:rPr>
          <w:rFonts w:asciiTheme="minorBidi" w:hAnsiTheme="minorBidi"/>
          <w:snapToGrid w:val="0"/>
          <w:sz w:val="22"/>
        </w:rPr>
        <w:t>, tout comme des termes tels que « élément », « diversité » et « inclusivité ». Le Secrétariat s’efforcera de traiter les questions soulevées lorsqu’elles sont d’ordre technique (notamment en ce qui concerne la collecte et l’analyse des données) et qu’elles peuvent être traitées rapidement ; les questions qui nécessitent des solutions structurelles seront examinées attentivement au cours de l’année de réflexion qui sera menée à la fin du premier cycle de rapport en 2026.</w:t>
      </w:r>
    </w:p>
    <w:p w14:paraId="622F59C2" w14:textId="6A237DF6" w:rsidR="00105CE6" w:rsidRPr="00105CE6" w:rsidRDefault="0093024D" w:rsidP="00105CE6">
      <w:pPr>
        <w:pStyle w:val="Sansinterligne2"/>
        <w:numPr>
          <w:ilvl w:val="0"/>
          <w:numId w:val="23"/>
        </w:numPr>
        <w:spacing w:after="120"/>
        <w:ind w:left="567" w:hanging="567"/>
        <w:jc w:val="both"/>
        <w:rPr>
          <w:rFonts w:asciiTheme="minorBidi" w:hAnsiTheme="minorBidi" w:cstheme="minorBidi"/>
          <w:snapToGrid w:val="0"/>
          <w:sz w:val="22"/>
          <w:szCs w:val="22"/>
        </w:rPr>
      </w:pPr>
      <w:r w:rsidRPr="0093024D">
        <w:rPr>
          <w:rFonts w:asciiTheme="minorBidi" w:hAnsiTheme="minorBidi" w:cstheme="minorBidi"/>
          <w:snapToGrid w:val="0"/>
          <w:sz w:val="22"/>
          <w:szCs w:val="22"/>
        </w:rPr>
        <w:t xml:space="preserve">Enfin, il faut rappeler que la </w:t>
      </w:r>
      <w:hyperlink r:id="rId20" w:history="1">
        <w:r w:rsidRPr="00044AAC">
          <w:rPr>
            <w:rStyle w:val="Lienhypertexte"/>
            <w:rFonts w:asciiTheme="minorBidi" w:hAnsiTheme="minorBidi" w:cstheme="minorBidi"/>
            <w:snapToGrid w:val="0"/>
            <w:sz w:val="22"/>
            <w:szCs w:val="22"/>
          </w:rPr>
          <w:t>Déclaration finale</w:t>
        </w:r>
      </w:hyperlink>
      <w:r w:rsidRPr="0093024D">
        <w:rPr>
          <w:rFonts w:asciiTheme="minorBidi" w:hAnsiTheme="minorBidi" w:cstheme="minorBidi"/>
          <w:snapToGrid w:val="0"/>
          <w:sz w:val="22"/>
          <w:szCs w:val="22"/>
        </w:rPr>
        <w:t xml:space="preserve"> de la Conférence mondiale de l'UNESCO sur les politiques culturelles et le développement durable (réunion Mondiacult), qui s'est tenue récemment, appelle l'UNESCO à produire un Rapport global sur les politiques culturelles sur une base quadriennale; ce rapport </w:t>
      </w:r>
      <w:r w:rsidRPr="00C1687E">
        <w:rPr>
          <w:rFonts w:asciiTheme="minorBidi" w:hAnsiTheme="minorBidi" w:cstheme="minorBidi"/>
          <w:snapToGrid w:val="0"/>
          <w:sz w:val="22"/>
          <w:szCs w:val="22"/>
        </w:rPr>
        <w:t xml:space="preserve">est censé s'appuyer sur les informations, les données et </w:t>
      </w:r>
      <w:r w:rsidRPr="00C1687E">
        <w:rPr>
          <w:rFonts w:asciiTheme="minorBidi" w:hAnsiTheme="minorBidi" w:cstheme="minorBidi"/>
          <w:snapToGrid w:val="0"/>
          <w:sz w:val="22"/>
          <w:szCs w:val="22"/>
        </w:rPr>
        <w:lastRenderedPageBreak/>
        <w:t xml:space="preserve">les indicateurs existants fournis par ses </w:t>
      </w:r>
      <w:r w:rsidR="00C1687E" w:rsidRPr="00105CE6">
        <w:rPr>
          <w:rFonts w:asciiTheme="minorBidi" w:hAnsiTheme="minorBidi" w:cstheme="minorBidi"/>
          <w:snapToGrid w:val="0"/>
          <w:sz w:val="22"/>
          <w:szCs w:val="22"/>
        </w:rPr>
        <w:t>É</w:t>
      </w:r>
      <w:r w:rsidRPr="00C1687E">
        <w:rPr>
          <w:rFonts w:asciiTheme="minorBidi" w:hAnsiTheme="minorBidi" w:cstheme="minorBidi"/>
          <w:snapToGrid w:val="0"/>
          <w:sz w:val="22"/>
          <w:szCs w:val="22"/>
        </w:rPr>
        <w:t>tats membres, notamment dans le cadre des rapports périodiques de l'ensemble des instruments normatifs de l'UNESCO dans le domaine de la culture. Il sera donc important, alors que la</w:t>
      </w:r>
      <w:r w:rsidRPr="0093024D">
        <w:rPr>
          <w:rFonts w:asciiTheme="minorBidi" w:hAnsiTheme="minorBidi" w:cstheme="minorBidi"/>
          <w:snapToGrid w:val="0"/>
          <w:sz w:val="22"/>
          <w:szCs w:val="22"/>
        </w:rPr>
        <w:t xml:space="preserve"> Convention finalise son premier cycle</w:t>
      </w:r>
      <w:r w:rsidR="00C1687E">
        <w:rPr>
          <w:rFonts w:asciiTheme="minorBidi" w:hAnsiTheme="minorBidi" w:cstheme="minorBidi"/>
          <w:snapToGrid w:val="0"/>
          <w:sz w:val="22"/>
          <w:szCs w:val="22"/>
        </w:rPr>
        <w:t xml:space="preserve"> réformé</w:t>
      </w:r>
      <w:r w:rsidRPr="0093024D">
        <w:rPr>
          <w:rFonts w:asciiTheme="minorBidi" w:hAnsiTheme="minorBidi" w:cstheme="minorBidi"/>
          <w:snapToGrid w:val="0"/>
          <w:sz w:val="22"/>
          <w:szCs w:val="22"/>
        </w:rPr>
        <w:t xml:space="preserve"> de rapport périodique, de commencer à explorer la meilleure façon d'ajuster le processus afin que les informations qu'elle produit puissent également contribuer efficacement à cette initiative.</w:t>
      </w:r>
    </w:p>
    <w:p w14:paraId="21604511" w14:textId="5A30FDA7" w:rsidR="00EF19C2" w:rsidRPr="00EF19C2" w:rsidRDefault="00EF19C2" w:rsidP="00405E1E">
      <w:pPr>
        <w:pStyle w:val="Sansinterligne2"/>
        <w:numPr>
          <w:ilvl w:val="0"/>
          <w:numId w:val="23"/>
        </w:numPr>
        <w:spacing w:after="120"/>
        <w:ind w:left="567" w:hanging="567"/>
        <w:jc w:val="both"/>
        <w:rPr>
          <w:rFonts w:asciiTheme="minorBidi" w:hAnsiTheme="minorBidi" w:cstheme="minorBidi"/>
          <w:snapToGrid w:val="0"/>
          <w:sz w:val="22"/>
          <w:szCs w:val="22"/>
        </w:rPr>
      </w:pPr>
      <w:r>
        <w:rPr>
          <w:rFonts w:asciiTheme="minorBidi" w:hAnsiTheme="minorBidi"/>
          <w:sz w:val="22"/>
        </w:rPr>
        <w:t>Le Comité souhaitera peut-être adopter la décision suivante :</w:t>
      </w:r>
    </w:p>
    <w:p w14:paraId="0546626A" w14:textId="3F955ECA" w:rsidR="00EF19C2" w:rsidRPr="00FD624F" w:rsidRDefault="00EF19C2" w:rsidP="00EF19C2">
      <w:pPr>
        <w:pStyle w:val="COMTitleDecision"/>
        <w:rPr>
          <w:rFonts w:eastAsia="SimSun"/>
        </w:rPr>
      </w:pPr>
      <w:r>
        <w:t>PROJET DE DÉCISION 17.COM 6.c</w:t>
      </w:r>
    </w:p>
    <w:p w14:paraId="783A29B0" w14:textId="77777777" w:rsidR="00EF19C2" w:rsidRPr="00285BB4" w:rsidRDefault="00EF19C2" w:rsidP="00EF19C2">
      <w:pPr>
        <w:pStyle w:val="COMPreambulaDecisions"/>
        <w:rPr>
          <w:rFonts w:eastAsia="SimSun"/>
        </w:rPr>
      </w:pPr>
      <w:r>
        <w:t>Le Comité,</w:t>
      </w:r>
    </w:p>
    <w:p w14:paraId="6A5E3314" w14:textId="25C9E4FA" w:rsidR="00EF19C2" w:rsidRPr="00345CB4" w:rsidRDefault="00EF19C2" w:rsidP="00EF19C2">
      <w:pPr>
        <w:pStyle w:val="COMParaDecision"/>
        <w:ind w:left="1134" w:hanging="567"/>
      </w:pPr>
      <w:r>
        <w:t>Ayant examiné</w:t>
      </w:r>
      <w:r>
        <w:rPr>
          <w:u w:val="none"/>
        </w:rPr>
        <w:t xml:space="preserve"> le document LHE/22/17.COM/6.c,</w:t>
      </w:r>
    </w:p>
    <w:p w14:paraId="2D72F966" w14:textId="69915230" w:rsidR="006814DD" w:rsidRDefault="006814DD" w:rsidP="00EF19C2">
      <w:pPr>
        <w:pStyle w:val="COMParaDecision"/>
        <w:ind w:left="1134" w:hanging="567"/>
      </w:pPr>
      <w:r>
        <w:t>Rappelant</w:t>
      </w:r>
      <w:r>
        <w:rPr>
          <w:u w:val="none"/>
        </w:rPr>
        <w:t xml:space="preserve"> les </w:t>
      </w:r>
      <w:r w:rsidR="00AE52F1">
        <w:rPr>
          <w:u w:val="none"/>
        </w:rPr>
        <w:t>a</w:t>
      </w:r>
      <w:r>
        <w:rPr>
          <w:u w:val="none"/>
        </w:rPr>
        <w:t>rticles 7, 29 et 30 de la Convention concernant les rapports des États parties et le chapitre V des Directives opérationnelles,</w:t>
      </w:r>
    </w:p>
    <w:p w14:paraId="3ADA8711" w14:textId="096679F3" w:rsidR="00EF19C2" w:rsidRPr="003E72BA" w:rsidRDefault="006814DD" w:rsidP="003E72BA">
      <w:pPr>
        <w:pStyle w:val="COMParaDecision"/>
        <w:ind w:left="1134" w:hanging="567"/>
      </w:pPr>
      <w:r>
        <w:t>Rappelant également</w:t>
      </w:r>
      <w:r w:rsidRPr="003E72BA">
        <w:rPr>
          <w:u w:val="none"/>
        </w:rPr>
        <w:t xml:space="preserve"> la </w:t>
      </w:r>
      <w:r w:rsidR="00D722A6">
        <w:rPr>
          <w:u w:val="none"/>
        </w:rPr>
        <w:t>r</w:t>
      </w:r>
      <w:r w:rsidRPr="003E72BA">
        <w:rPr>
          <w:u w:val="none"/>
        </w:rPr>
        <w:t>ésolution </w:t>
      </w:r>
      <w:hyperlink r:id="rId21" w:history="1">
        <w:r w:rsidR="001D56BB" w:rsidRPr="007222F7">
          <w:rPr>
            <w:rStyle w:val="Lienhypertexte"/>
          </w:rPr>
          <w:t>7.GA</w:t>
        </w:r>
        <w:r w:rsidR="00405E1E">
          <w:rPr>
            <w:rStyle w:val="Lienhypertexte"/>
          </w:rPr>
          <w:t> </w:t>
        </w:r>
        <w:r w:rsidR="001D56BB" w:rsidRPr="007222F7">
          <w:rPr>
            <w:rStyle w:val="Lienhypertexte"/>
          </w:rPr>
          <w:t>9</w:t>
        </w:r>
      </w:hyperlink>
      <w:r w:rsidR="00FF7AAF">
        <w:rPr>
          <w:u w:val="none"/>
        </w:rPr>
        <w:t xml:space="preserve"> et</w:t>
      </w:r>
      <w:r w:rsidRPr="003E72BA">
        <w:rPr>
          <w:u w:val="none"/>
        </w:rPr>
        <w:t xml:space="preserve"> les </w:t>
      </w:r>
      <w:r w:rsidR="00FF7AAF">
        <w:rPr>
          <w:u w:val="none"/>
        </w:rPr>
        <w:t>d</w:t>
      </w:r>
      <w:r w:rsidRPr="003E72BA">
        <w:rPr>
          <w:u w:val="none"/>
        </w:rPr>
        <w:t>écisions </w:t>
      </w:r>
      <w:hyperlink r:id="rId22" w:history="1">
        <w:r w:rsidR="000F3BAA" w:rsidRPr="00637CC8">
          <w:rPr>
            <w:rStyle w:val="Lienhypertexte"/>
          </w:rPr>
          <w:t>12.COM</w:t>
        </w:r>
        <w:r w:rsidR="00405E1E">
          <w:rPr>
            <w:rStyle w:val="Lienhypertexte"/>
          </w:rPr>
          <w:t> </w:t>
        </w:r>
        <w:r w:rsidR="000F3BAA" w:rsidRPr="00637CC8">
          <w:rPr>
            <w:rStyle w:val="Lienhypertexte"/>
          </w:rPr>
          <w:t>10</w:t>
        </w:r>
      </w:hyperlink>
      <w:r w:rsidR="000F3BAA" w:rsidRPr="003E72BA">
        <w:rPr>
          <w:u w:val="none"/>
        </w:rPr>
        <w:t xml:space="preserve">, </w:t>
      </w:r>
      <w:hyperlink r:id="rId23" w:history="1">
        <w:r w:rsidR="000F3BAA" w:rsidRPr="00637CC8">
          <w:rPr>
            <w:rStyle w:val="Lienhypertexte"/>
          </w:rPr>
          <w:t>13.COM</w:t>
        </w:r>
        <w:r w:rsidR="00405E1E">
          <w:rPr>
            <w:rStyle w:val="Lienhypertexte"/>
          </w:rPr>
          <w:t> </w:t>
        </w:r>
        <w:r w:rsidR="000F3BAA" w:rsidRPr="00637CC8">
          <w:rPr>
            <w:rStyle w:val="Lienhypertexte"/>
          </w:rPr>
          <w:t>8</w:t>
        </w:r>
      </w:hyperlink>
      <w:r w:rsidR="000F3BAA" w:rsidRPr="003E72BA">
        <w:rPr>
          <w:u w:val="none"/>
        </w:rPr>
        <w:t xml:space="preserve">, </w:t>
      </w:r>
      <w:hyperlink r:id="rId24" w:history="1">
        <w:r w:rsidR="000F3BAA" w:rsidRPr="00637CC8">
          <w:rPr>
            <w:rStyle w:val="Lienhypertexte"/>
          </w:rPr>
          <w:t>14.COM</w:t>
        </w:r>
        <w:r w:rsidR="00405E1E">
          <w:rPr>
            <w:rStyle w:val="Lienhypertexte"/>
          </w:rPr>
          <w:t> </w:t>
        </w:r>
        <w:r w:rsidR="000F3BAA" w:rsidRPr="00637CC8">
          <w:rPr>
            <w:rStyle w:val="Lienhypertexte"/>
          </w:rPr>
          <w:t>8</w:t>
        </w:r>
      </w:hyperlink>
      <w:r w:rsidR="000F3BAA" w:rsidRPr="003E72BA">
        <w:rPr>
          <w:u w:val="none"/>
        </w:rPr>
        <w:t xml:space="preserve"> </w:t>
      </w:r>
      <w:r w:rsidR="00E05D01">
        <w:rPr>
          <w:u w:val="none"/>
        </w:rPr>
        <w:t>et</w:t>
      </w:r>
      <w:r w:rsidR="000F3BAA" w:rsidRPr="003E72BA">
        <w:rPr>
          <w:u w:val="none"/>
        </w:rPr>
        <w:t xml:space="preserve"> </w:t>
      </w:r>
      <w:hyperlink r:id="rId25" w:history="1">
        <w:r w:rsidR="000F3BAA" w:rsidRPr="00150631">
          <w:rPr>
            <w:rStyle w:val="Lienhypertexte"/>
          </w:rPr>
          <w:t>16.COM</w:t>
        </w:r>
        <w:r w:rsidR="00405E1E">
          <w:rPr>
            <w:rStyle w:val="Lienhypertexte"/>
          </w:rPr>
          <w:t> </w:t>
        </w:r>
        <w:r w:rsidR="000F3BAA" w:rsidRPr="00150631">
          <w:rPr>
            <w:rStyle w:val="Lienhypertexte"/>
          </w:rPr>
          <w:t>7.b</w:t>
        </w:r>
      </w:hyperlink>
      <w:r w:rsidR="000F3BAA" w:rsidRPr="003E72BA">
        <w:rPr>
          <w:u w:val="none"/>
        </w:rPr>
        <w:t>,</w:t>
      </w:r>
    </w:p>
    <w:p w14:paraId="6791494B" w14:textId="3B612676" w:rsidR="00EF19C2" w:rsidRPr="00105CE6" w:rsidRDefault="006814DD" w:rsidP="00EF19C2">
      <w:pPr>
        <w:pStyle w:val="COMParaDecision"/>
        <w:ind w:left="1134" w:hanging="567"/>
      </w:pPr>
      <w:r>
        <w:t>Exprime sa satisfaction</w:t>
      </w:r>
      <w:r>
        <w:rPr>
          <w:u w:val="none"/>
        </w:rPr>
        <w:t xml:space="preserve"> concernant le fait que le premier cycle de rapport périodique </w:t>
      </w:r>
      <w:r w:rsidR="0022686C">
        <w:rPr>
          <w:u w:val="none"/>
        </w:rPr>
        <w:t xml:space="preserve">progresse bien dans les régions qui l’ont entrepris </w:t>
      </w:r>
      <w:r>
        <w:rPr>
          <w:u w:val="none"/>
        </w:rPr>
        <w:t>et</w:t>
      </w:r>
      <w:r w:rsidR="0022686C">
        <w:rPr>
          <w:u w:val="none"/>
        </w:rPr>
        <w:t xml:space="preserve"> </w:t>
      </w:r>
      <w:r w:rsidR="0022686C" w:rsidRPr="00105CE6">
        <w:t>remercie</w:t>
      </w:r>
      <w:r w:rsidR="0022686C">
        <w:rPr>
          <w:u w:val="none"/>
        </w:rPr>
        <w:t xml:space="preserve"> l</w:t>
      </w:r>
      <w:r>
        <w:rPr>
          <w:u w:val="none"/>
        </w:rPr>
        <w:t>es personnes concernées</w:t>
      </w:r>
      <w:r w:rsidR="0022686C">
        <w:rPr>
          <w:u w:val="none"/>
        </w:rPr>
        <w:t xml:space="preserve"> pour leur engagement et leur dévouement</w:t>
      </w:r>
      <w:r>
        <w:rPr>
          <w:u w:val="none"/>
        </w:rPr>
        <w:t>, en particulier les points focaux nationaux pour les rapports périodiques</w:t>
      </w:r>
      <w:r w:rsidR="00044D98">
        <w:rPr>
          <w:u w:val="none"/>
        </w:rPr>
        <w:t>, les autorités nationales,</w:t>
      </w:r>
      <w:r>
        <w:rPr>
          <w:u w:val="none"/>
        </w:rPr>
        <w:t xml:space="preserve"> les facilitateurs</w:t>
      </w:r>
      <w:r w:rsidR="00044D98">
        <w:rPr>
          <w:u w:val="none"/>
        </w:rPr>
        <w:t xml:space="preserve"> et les Centres de catégories 2 sous l’égide de l’UNESCO qui sont actifs dans le domaine du patrimoine culturel immatériel ;</w:t>
      </w:r>
    </w:p>
    <w:p w14:paraId="1F300F4C" w14:textId="74DB1E4D" w:rsidR="00481752" w:rsidRPr="00105CE6" w:rsidRDefault="00481752" w:rsidP="00EF19C2">
      <w:pPr>
        <w:pStyle w:val="COMParaDecision"/>
        <w:ind w:left="1134" w:hanging="567"/>
        <w:rPr>
          <w:u w:val="none"/>
        </w:rPr>
      </w:pPr>
      <w:r w:rsidRPr="00105CE6">
        <w:t>P</w:t>
      </w:r>
      <w:r w:rsidRPr="000321E9">
        <w:t>rend note avec intérêt</w:t>
      </w:r>
      <w:r w:rsidRPr="00105CE6">
        <w:rPr>
          <w:u w:val="none"/>
        </w:rPr>
        <w:t xml:space="preserve"> du </w:t>
      </w:r>
      <w:r w:rsidR="00AB6C1D">
        <w:rPr>
          <w:u w:val="none"/>
        </w:rPr>
        <w:t>« </w:t>
      </w:r>
      <w:r w:rsidR="008218FC">
        <w:rPr>
          <w:u w:val="none"/>
        </w:rPr>
        <w:t>R</w:t>
      </w:r>
      <w:r w:rsidRPr="00105CE6">
        <w:rPr>
          <w:u w:val="none"/>
        </w:rPr>
        <w:t xml:space="preserve">apport analytique </w:t>
      </w:r>
      <w:r w:rsidR="008218FC">
        <w:rPr>
          <w:u w:val="none"/>
        </w:rPr>
        <w:t xml:space="preserve">du </w:t>
      </w:r>
      <w:r w:rsidRPr="00105CE6">
        <w:rPr>
          <w:u w:val="none"/>
        </w:rPr>
        <w:t>premier cycle de rapport périodique sur la mise en œuvre de la Convention et sur l'état actuel des éléments inscrits sur la Liste représentative du patrimoine culturel immatériel de l'humanité par les États parties d'Amérique latine et des Caraïbes</w:t>
      </w:r>
      <w:r w:rsidR="00AB6C1D">
        <w:rPr>
          <w:u w:val="none"/>
        </w:rPr>
        <w:t> »</w:t>
      </w:r>
      <w:r w:rsidRPr="00105CE6">
        <w:rPr>
          <w:u w:val="none"/>
        </w:rPr>
        <w:t xml:space="preserve"> tel qu'il figure dans le document LHE/22/17.COM/INF/6.c,</w:t>
      </w:r>
      <w:r w:rsidR="00AB6C1D">
        <w:rPr>
          <w:u w:val="none"/>
        </w:rPr>
        <w:t xml:space="preserve"> et</w:t>
      </w:r>
      <w:r w:rsidRPr="00105CE6">
        <w:rPr>
          <w:u w:val="none"/>
        </w:rPr>
        <w:t xml:space="preserve"> </w:t>
      </w:r>
      <w:r w:rsidRPr="000321E9">
        <w:t>se félicite</w:t>
      </w:r>
      <w:r w:rsidRPr="00105CE6">
        <w:rPr>
          <w:u w:val="none"/>
        </w:rPr>
        <w:t xml:space="preserve"> des principales conclusions mises en évidence dans le rapport ainsi que des informations détaillées sur la mesure dans laquelle les États parties</w:t>
      </w:r>
      <w:r w:rsidR="00EE2EF0">
        <w:rPr>
          <w:u w:val="none"/>
        </w:rPr>
        <w:t xml:space="preserve"> soumissionnaires</w:t>
      </w:r>
      <w:r w:rsidRPr="00105CE6">
        <w:rPr>
          <w:u w:val="none"/>
        </w:rPr>
        <w:t xml:space="preserve"> ont atteint les indicateurs de base ainsi que sur les objectifs fixés pour le prochain cycle de rapports</w:t>
      </w:r>
      <w:r w:rsidR="008A5A89">
        <w:rPr>
          <w:u w:val="none"/>
        </w:rPr>
        <w:t> </w:t>
      </w:r>
      <w:r w:rsidRPr="00105CE6">
        <w:rPr>
          <w:u w:val="none"/>
        </w:rPr>
        <w:t>;</w:t>
      </w:r>
    </w:p>
    <w:p w14:paraId="70C9DB7E" w14:textId="0C642227" w:rsidR="002C279D" w:rsidRPr="008F4E3F" w:rsidRDefault="002C279D" w:rsidP="00EF19C2">
      <w:pPr>
        <w:pStyle w:val="COMParaDecision"/>
        <w:ind w:left="1134" w:hanging="567"/>
      </w:pPr>
      <w:r>
        <w:t>Apprécie</w:t>
      </w:r>
      <w:r>
        <w:rPr>
          <w:u w:val="none"/>
        </w:rPr>
        <w:t xml:space="preserve"> le travail du Secrétariat qui apporte un soutien continu et pertinent aux États parties concernés dans le cadre du processus d’élaboration des rapports sous la forme d’activités de renforcement des capacités et d</w:t>
      </w:r>
      <w:r w:rsidR="00AB6C1D">
        <w:rPr>
          <w:u w:val="none"/>
        </w:rPr>
        <w:t>e</w:t>
      </w:r>
      <w:r>
        <w:rPr>
          <w:u w:val="none"/>
        </w:rPr>
        <w:t xml:space="preserve"> suivi </w:t>
      </w:r>
      <w:r w:rsidR="00AB6C1D">
        <w:rPr>
          <w:u w:val="none"/>
        </w:rPr>
        <w:t>continu</w:t>
      </w:r>
      <w:r>
        <w:rPr>
          <w:u w:val="none"/>
        </w:rPr>
        <w:t> ;</w:t>
      </w:r>
    </w:p>
    <w:p w14:paraId="3AF20678" w14:textId="76F1EF59" w:rsidR="008F4E3F" w:rsidRPr="00105CE6" w:rsidRDefault="008F4E3F" w:rsidP="00EF19C2">
      <w:pPr>
        <w:pStyle w:val="COMParaDecision"/>
        <w:ind w:left="1134" w:hanging="567"/>
      </w:pPr>
      <w:r>
        <w:t>Encourage</w:t>
      </w:r>
      <w:r>
        <w:rPr>
          <w:u w:val="none"/>
        </w:rPr>
        <w:t xml:space="preserve"> les États parties qui se préparent à soumettre leurs rapports à tenir compte des expériences, des observations et des enseignements tirés des États parties qui ont déjà soumis leurs rapports ;</w:t>
      </w:r>
    </w:p>
    <w:p w14:paraId="3A7814A1" w14:textId="55F41C5A" w:rsidR="00713D18" w:rsidRPr="00105CE6" w:rsidRDefault="00713D18" w:rsidP="00EF19C2">
      <w:pPr>
        <w:pStyle w:val="COMParaDecision"/>
        <w:ind w:left="1134" w:hanging="567"/>
        <w:rPr>
          <w:u w:val="none"/>
        </w:rPr>
      </w:pPr>
      <w:r w:rsidRPr="00AC4C0C">
        <w:t>Invite</w:t>
      </w:r>
      <w:r w:rsidRPr="00105CE6">
        <w:rPr>
          <w:u w:val="none"/>
        </w:rPr>
        <w:t xml:space="preserve"> les États parties, les </w:t>
      </w:r>
      <w:r w:rsidR="00EF7F8A">
        <w:rPr>
          <w:u w:val="none"/>
        </w:rPr>
        <w:t>C</w:t>
      </w:r>
      <w:r w:rsidRPr="00105CE6">
        <w:rPr>
          <w:u w:val="none"/>
        </w:rPr>
        <w:t>entres de catégorie 2 et les autres parties prenantes à envisager la possibilité de fournir des contributions financières, selon la modalité de leur choix, pour soutenir la mise en œuvre du premier cycle de rapport périodique dans la région Afrique, y compris les activités de renforcement des capacités</w:t>
      </w:r>
      <w:r w:rsidR="008A5A89">
        <w:rPr>
          <w:u w:val="none"/>
        </w:rPr>
        <w:t> </w:t>
      </w:r>
      <w:r w:rsidRPr="00105CE6">
        <w:rPr>
          <w:u w:val="none"/>
        </w:rPr>
        <w:t>;</w:t>
      </w:r>
    </w:p>
    <w:p w14:paraId="7A99F369" w14:textId="485224C8" w:rsidR="008F4E3F" w:rsidRPr="004F116C" w:rsidRDefault="008F4E3F" w:rsidP="00EF19C2">
      <w:pPr>
        <w:pStyle w:val="COMParaDecision"/>
        <w:ind w:left="1134" w:hanging="567"/>
        <w:rPr>
          <w:u w:val="none"/>
        </w:rPr>
      </w:pPr>
      <w:r>
        <w:t>Demande</w:t>
      </w:r>
      <w:r>
        <w:rPr>
          <w:u w:val="none"/>
        </w:rPr>
        <w:t xml:space="preserve"> au Secrétariat de présenter un rapport sur l</w:t>
      </w:r>
      <w:r w:rsidR="00FA47B2">
        <w:rPr>
          <w:u w:val="none"/>
        </w:rPr>
        <w:t>’avancement de l’exercice de rapport périodique</w:t>
      </w:r>
      <w:r>
        <w:rPr>
          <w:u w:val="none"/>
        </w:rPr>
        <w:t xml:space="preserve"> </w:t>
      </w:r>
      <w:r w:rsidR="00FA47B2">
        <w:rPr>
          <w:u w:val="none"/>
        </w:rPr>
        <w:t>sur</w:t>
      </w:r>
      <w:r>
        <w:rPr>
          <w:u w:val="none"/>
        </w:rPr>
        <w:t xml:space="preserve"> la mise en œuvre de la Convention et l’état actuel des éléments inscrits sur la Liste représentative du patrimoine culturel immatériel de l’humanité pour examen lors de la dix-huitième session du Comité.</w:t>
      </w:r>
    </w:p>
    <w:sectPr w:rsidR="008F4E3F" w:rsidRPr="004F116C" w:rsidSect="00655736">
      <w:headerReference w:type="even" r:id="rId26"/>
      <w:headerReference w:type="default" r:id="rId27"/>
      <w:headerReference w:type="first" r:id="rId2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EDAE" w14:textId="77777777" w:rsidR="004A0DF9" w:rsidRDefault="004A0DF9" w:rsidP="00655736">
      <w:r>
        <w:separator/>
      </w:r>
    </w:p>
  </w:endnote>
  <w:endnote w:type="continuationSeparator" w:id="0">
    <w:p w14:paraId="675A55E2" w14:textId="77777777" w:rsidR="004A0DF9" w:rsidRDefault="004A0D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DF19" w14:textId="77777777" w:rsidR="004A0DF9" w:rsidRDefault="004A0DF9" w:rsidP="00655736">
      <w:r>
        <w:separator/>
      </w:r>
    </w:p>
  </w:footnote>
  <w:footnote w:type="continuationSeparator" w:id="0">
    <w:p w14:paraId="063E647D" w14:textId="77777777" w:rsidR="004A0DF9" w:rsidRDefault="004A0DF9" w:rsidP="00655736">
      <w:r>
        <w:continuationSeparator/>
      </w:r>
    </w:p>
  </w:footnote>
  <w:footnote w:id="1">
    <w:p w14:paraId="1BFF76E7" w14:textId="3442BA5D" w:rsidR="00FB27FC" w:rsidRPr="00AB6C1D" w:rsidRDefault="00FB27FC" w:rsidP="00105CE6">
      <w:pPr>
        <w:pStyle w:val="Notedebasdepage"/>
        <w:ind w:left="567" w:hanging="567"/>
        <w:jc w:val="both"/>
      </w:pPr>
      <w:r w:rsidRPr="008A5A89">
        <w:rPr>
          <w:rStyle w:val="Appelnotedebasdep"/>
        </w:rPr>
        <w:footnoteRef/>
      </w:r>
      <w:r w:rsidRPr="00AB6C1D">
        <w:tab/>
      </w:r>
      <w:r w:rsidR="00AC2E33" w:rsidRPr="00AB6C1D">
        <w:rPr>
          <w:rFonts w:asciiTheme="minorBidi" w:hAnsiTheme="minorBidi" w:cstheme="minorBidi"/>
          <w:szCs w:val="18"/>
        </w:rPr>
        <w:t>Une équipe de recherche a été constituée pour entreprendre la mission d'une analyse qualitative et quantitative des rapports périodiques. L'équipe était</w:t>
      </w:r>
      <w:r w:rsidR="00313B75" w:rsidRPr="00AB6C1D">
        <w:rPr>
          <w:rFonts w:asciiTheme="minorBidi" w:hAnsiTheme="minorBidi" w:cstheme="minorBidi"/>
          <w:szCs w:val="18"/>
        </w:rPr>
        <w:t xml:space="preserve"> </w:t>
      </w:r>
      <w:r w:rsidR="00AC2E33" w:rsidRPr="00AB6C1D">
        <w:rPr>
          <w:rFonts w:asciiTheme="minorBidi" w:hAnsiTheme="minorBidi" w:cstheme="minorBidi"/>
          <w:szCs w:val="18"/>
        </w:rPr>
        <w:t>composée</w:t>
      </w:r>
      <w:r w:rsidR="00313B75" w:rsidRPr="00AB6C1D">
        <w:rPr>
          <w:rFonts w:asciiTheme="minorBidi" w:hAnsiTheme="minorBidi" w:cstheme="minorBidi"/>
          <w:szCs w:val="18"/>
        </w:rPr>
        <w:t xml:space="preserve"> de</w:t>
      </w:r>
      <w:r w:rsidR="00AC2E33" w:rsidRPr="00AB6C1D">
        <w:rPr>
          <w:rFonts w:asciiTheme="minorBidi" w:hAnsiTheme="minorBidi" w:cstheme="minorBidi"/>
          <w:szCs w:val="18"/>
        </w:rPr>
        <w:t xml:space="preserve"> Mme Cristina </w:t>
      </w:r>
      <w:proofErr w:type="spellStart"/>
      <w:r w:rsidR="00AC2E33" w:rsidRPr="00AB6C1D">
        <w:rPr>
          <w:rFonts w:asciiTheme="minorBidi" w:hAnsiTheme="minorBidi" w:cstheme="minorBidi"/>
          <w:szCs w:val="18"/>
        </w:rPr>
        <w:t>Amescua</w:t>
      </w:r>
      <w:proofErr w:type="spellEnd"/>
      <w:r w:rsidR="00AC2E33" w:rsidRPr="00AB6C1D">
        <w:rPr>
          <w:rFonts w:asciiTheme="minorBidi" w:hAnsiTheme="minorBidi" w:cstheme="minorBidi"/>
          <w:szCs w:val="18"/>
        </w:rPr>
        <w:t>, titulaire de la chaire UNESCO «</w:t>
      </w:r>
      <w:r w:rsidR="008A5A89">
        <w:rPr>
          <w:rFonts w:asciiTheme="minorBidi" w:hAnsiTheme="minorBidi" w:cstheme="minorBidi"/>
          <w:szCs w:val="18"/>
        </w:rPr>
        <w:t> </w:t>
      </w:r>
      <w:proofErr w:type="spellStart"/>
      <w:r w:rsidR="00AC2E33" w:rsidRPr="00AB6C1D">
        <w:rPr>
          <w:rFonts w:asciiTheme="minorBidi" w:hAnsiTheme="minorBidi" w:cstheme="minorBidi"/>
          <w:szCs w:val="18"/>
        </w:rPr>
        <w:t>Universidad</w:t>
      </w:r>
      <w:proofErr w:type="spellEnd"/>
      <w:r w:rsidR="00AC2E33" w:rsidRPr="00AB6C1D">
        <w:rPr>
          <w:rFonts w:asciiTheme="minorBidi" w:hAnsiTheme="minorBidi" w:cstheme="minorBidi"/>
          <w:szCs w:val="18"/>
        </w:rPr>
        <w:t xml:space="preserve"> </w:t>
      </w:r>
      <w:proofErr w:type="spellStart"/>
      <w:r w:rsidR="00AC2E33" w:rsidRPr="00AB6C1D">
        <w:rPr>
          <w:rFonts w:asciiTheme="minorBidi" w:hAnsiTheme="minorBidi" w:cstheme="minorBidi"/>
          <w:szCs w:val="18"/>
        </w:rPr>
        <w:t>Nacional</w:t>
      </w:r>
      <w:proofErr w:type="spellEnd"/>
      <w:r w:rsidR="00AC2E33" w:rsidRPr="00AB6C1D">
        <w:rPr>
          <w:rFonts w:asciiTheme="minorBidi" w:hAnsiTheme="minorBidi" w:cstheme="minorBidi"/>
          <w:szCs w:val="18"/>
        </w:rPr>
        <w:t xml:space="preserve"> </w:t>
      </w:r>
      <w:proofErr w:type="spellStart"/>
      <w:r w:rsidR="00AC2E33" w:rsidRPr="00AB6C1D">
        <w:rPr>
          <w:rFonts w:asciiTheme="minorBidi" w:hAnsiTheme="minorBidi" w:cstheme="minorBidi"/>
          <w:szCs w:val="18"/>
        </w:rPr>
        <w:t>Autónoma</w:t>
      </w:r>
      <w:proofErr w:type="spellEnd"/>
      <w:r w:rsidR="00AC2E33" w:rsidRPr="00AB6C1D">
        <w:rPr>
          <w:rFonts w:asciiTheme="minorBidi" w:hAnsiTheme="minorBidi" w:cstheme="minorBidi"/>
          <w:szCs w:val="18"/>
        </w:rPr>
        <w:t xml:space="preserve"> de México – Centro </w:t>
      </w:r>
      <w:proofErr w:type="spellStart"/>
      <w:r w:rsidR="00AC2E33" w:rsidRPr="00AB6C1D">
        <w:rPr>
          <w:rFonts w:asciiTheme="minorBidi" w:hAnsiTheme="minorBidi" w:cstheme="minorBidi"/>
          <w:szCs w:val="18"/>
        </w:rPr>
        <w:t>Regional</w:t>
      </w:r>
      <w:proofErr w:type="spellEnd"/>
      <w:r w:rsidR="00AC2E33" w:rsidRPr="00AB6C1D">
        <w:rPr>
          <w:rFonts w:asciiTheme="minorBidi" w:hAnsiTheme="minorBidi" w:cstheme="minorBidi"/>
          <w:szCs w:val="18"/>
        </w:rPr>
        <w:t xml:space="preserve"> de </w:t>
      </w:r>
      <w:proofErr w:type="spellStart"/>
      <w:r w:rsidR="00AC2E33" w:rsidRPr="00AB6C1D">
        <w:rPr>
          <w:rFonts w:asciiTheme="minorBidi" w:hAnsiTheme="minorBidi" w:cstheme="minorBidi"/>
          <w:szCs w:val="18"/>
        </w:rPr>
        <w:t>Investigaciones</w:t>
      </w:r>
      <w:proofErr w:type="spellEnd"/>
      <w:r w:rsidR="00AC2E33" w:rsidRPr="00AB6C1D">
        <w:rPr>
          <w:rFonts w:asciiTheme="minorBidi" w:hAnsiTheme="minorBidi" w:cstheme="minorBidi"/>
          <w:szCs w:val="18"/>
        </w:rPr>
        <w:t xml:space="preserve"> </w:t>
      </w:r>
      <w:proofErr w:type="spellStart"/>
      <w:r w:rsidR="00AC2E33" w:rsidRPr="00AB6C1D">
        <w:rPr>
          <w:rFonts w:asciiTheme="minorBidi" w:hAnsiTheme="minorBidi" w:cstheme="minorBidi"/>
          <w:szCs w:val="18"/>
        </w:rPr>
        <w:t>Multidisciplinarias</w:t>
      </w:r>
      <w:proofErr w:type="spellEnd"/>
      <w:r w:rsidR="008A5A89">
        <w:rPr>
          <w:rFonts w:asciiTheme="minorBidi" w:hAnsiTheme="minorBidi" w:cstheme="minorBidi"/>
          <w:szCs w:val="18"/>
        </w:rPr>
        <w:t> </w:t>
      </w:r>
      <w:r w:rsidR="00AC2E33" w:rsidRPr="00AB6C1D">
        <w:rPr>
          <w:rFonts w:asciiTheme="minorBidi" w:hAnsiTheme="minorBidi" w:cstheme="minorBidi"/>
          <w:szCs w:val="18"/>
        </w:rPr>
        <w:t>», a</w:t>
      </w:r>
      <w:r w:rsidR="008B2AA7" w:rsidRPr="00AB6C1D">
        <w:rPr>
          <w:rFonts w:asciiTheme="minorBidi" w:hAnsiTheme="minorBidi" w:cstheme="minorBidi"/>
          <w:szCs w:val="18"/>
        </w:rPr>
        <w:t>vec l’assistant de recherche</w:t>
      </w:r>
      <w:r w:rsidR="00AC2E33" w:rsidRPr="00AB6C1D">
        <w:rPr>
          <w:rFonts w:asciiTheme="minorBidi" w:hAnsiTheme="minorBidi" w:cstheme="minorBidi"/>
          <w:szCs w:val="18"/>
        </w:rPr>
        <w:t xml:space="preserve"> M </w:t>
      </w:r>
      <w:proofErr w:type="spellStart"/>
      <w:r w:rsidR="00AC2E33" w:rsidRPr="00AB6C1D">
        <w:rPr>
          <w:rFonts w:asciiTheme="minorBidi" w:hAnsiTheme="minorBidi" w:cstheme="minorBidi"/>
          <w:szCs w:val="18"/>
        </w:rPr>
        <w:t>Jesús</w:t>
      </w:r>
      <w:proofErr w:type="spellEnd"/>
      <w:r w:rsidR="00AC2E33" w:rsidRPr="00AB6C1D">
        <w:rPr>
          <w:rFonts w:asciiTheme="minorBidi" w:hAnsiTheme="minorBidi" w:cstheme="minorBidi"/>
          <w:szCs w:val="18"/>
        </w:rPr>
        <w:t xml:space="preserve"> Mendoza </w:t>
      </w:r>
      <w:proofErr w:type="spellStart"/>
      <w:r w:rsidR="00AC2E33" w:rsidRPr="00AB6C1D">
        <w:rPr>
          <w:rFonts w:asciiTheme="minorBidi" w:hAnsiTheme="minorBidi" w:cstheme="minorBidi"/>
          <w:szCs w:val="18"/>
        </w:rPr>
        <w:t>Mejía</w:t>
      </w:r>
      <w:proofErr w:type="spellEnd"/>
      <w:r w:rsidR="005E354A" w:rsidRPr="00AB6C1D">
        <w:rPr>
          <w:rFonts w:asciiTheme="minorBidi" w:hAnsiTheme="minorBidi" w:cstheme="minorBidi"/>
          <w:szCs w:val="18"/>
        </w:rPr>
        <w:t>,</w:t>
      </w:r>
      <w:r w:rsidR="00AC2E33" w:rsidRPr="00AB6C1D">
        <w:rPr>
          <w:rFonts w:asciiTheme="minorBidi" w:hAnsiTheme="minorBidi" w:cstheme="minorBidi"/>
          <w:szCs w:val="18"/>
        </w:rPr>
        <w:t xml:space="preserve"> et  </w:t>
      </w:r>
      <w:r w:rsidRPr="00AB6C1D">
        <w:rPr>
          <w:rStyle w:val="Lienhypertexte"/>
          <w:rFonts w:asciiTheme="minorBidi" w:hAnsiTheme="minorBidi" w:cstheme="minorBidi"/>
          <w:snapToGrid w:val="0"/>
          <w:color w:val="auto"/>
          <w:szCs w:val="18"/>
          <w:u w:val="none"/>
        </w:rPr>
        <w:t xml:space="preserve">Mme Harriet Deacon, facilitatrice </w:t>
      </w:r>
      <w:r w:rsidR="00AC2E33" w:rsidRPr="00AB6C1D">
        <w:rPr>
          <w:rStyle w:val="Lienhypertexte"/>
          <w:rFonts w:asciiTheme="minorBidi" w:hAnsiTheme="minorBidi" w:cstheme="minorBidi"/>
          <w:snapToGrid w:val="0"/>
          <w:color w:val="auto"/>
          <w:szCs w:val="18"/>
          <w:u w:val="none"/>
        </w:rPr>
        <w:t xml:space="preserve">expérimentée </w:t>
      </w:r>
      <w:r w:rsidRPr="00AB6C1D">
        <w:rPr>
          <w:rStyle w:val="Lienhypertexte"/>
          <w:rFonts w:asciiTheme="minorBidi" w:hAnsiTheme="minorBidi" w:cstheme="minorBidi"/>
          <w:snapToGrid w:val="0"/>
          <w:color w:val="auto"/>
          <w:szCs w:val="18"/>
          <w:u w:val="none"/>
        </w:rPr>
        <w:t xml:space="preserve">de l’UNESCO pour le programme </w:t>
      </w:r>
      <w:r w:rsidR="00AE1EE5" w:rsidRPr="00AB6C1D">
        <w:rPr>
          <w:rStyle w:val="Lienhypertexte"/>
          <w:rFonts w:asciiTheme="minorBidi" w:hAnsiTheme="minorBidi" w:cstheme="minorBidi"/>
          <w:snapToGrid w:val="0"/>
          <w:color w:val="auto"/>
          <w:szCs w:val="18"/>
          <w:u w:val="none"/>
        </w:rPr>
        <w:t>global</w:t>
      </w:r>
      <w:r w:rsidRPr="00AB6C1D">
        <w:rPr>
          <w:rStyle w:val="Lienhypertexte"/>
          <w:rFonts w:asciiTheme="minorBidi" w:hAnsiTheme="minorBidi" w:cstheme="minorBidi"/>
          <w:snapToGrid w:val="0"/>
          <w:color w:val="auto"/>
          <w:szCs w:val="18"/>
          <w:u w:val="none"/>
        </w:rPr>
        <w:t xml:space="preserve"> de renforcement des capacités de la Convention, </w:t>
      </w:r>
      <w:r w:rsidR="00AC2E33" w:rsidRPr="00AB6C1D">
        <w:rPr>
          <w:rStyle w:val="Lienhypertexte"/>
          <w:rFonts w:asciiTheme="minorBidi" w:hAnsiTheme="minorBidi" w:cstheme="minorBidi"/>
          <w:snapToGrid w:val="0"/>
          <w:color w:val="auto"/>
          <w:szCs w:val="18"/>
          <w:u w:val="none"/>
        </w:rPr>
        <w:t>qui a également participé à l’élaboration du Cadre global de résultats de la Convention; l’équipe a collaboré étroitement avec une</w:t>
      </w:r>
      <w:r w:rsidRPr="00AB6C1D">
        <w:rPr>
          <w:rStyle w:val="Lienhypertexte"/>
          <w:rFonts w:asciiTheme="minorBidi" w:hAnsiTheme="minorBidi" w:cstheme="minorBidi"/>
          <w:snapToGrid w:val="0"/>
          <w:color w:val="auto"/>
          <w:szCs w:val="18"/>
          <w:u w:val="none"/>
        </w:rPr>
        <w:t xml:space="preserve"> spécialiste des données de Stat sans Limites</w:t>
      </w:r>
      <w:r w:rsidR="00AC2E33" w:rsidRPr="00AB6C1D">
        <w:rPr>
          <w:rStyle w:val="Lienhypertexte"/>
          <w:rFonts w:asciiTheme="minorBidi" w:hAnsiTheme="minorBidi" w:cstheme="minorBidi"/>
          <w:snapToGrid w:val="0"/>
          <w:color w:val="auto"/>
          <w:szCs w:val="18"/>
          <w:u w:val="none"/>
        </w:rPr>
        <w:t xml:space="preserve">, Mme Ioulia </w:t>
      </w:r>
      <w:proofErr w:type="spellStart"/>
      <w:r w:rsidR="00AC2E33" w:rsidRPr="00AB6C1D">
        <w:rPr>
          <w:rStyle w:val="Lienhypertexte"/>
          <w:rFonts w:asciiTheme="minorBidi" w:hAnsiTheme="minorBidi" w:cstheme="minorBidi"/>
          <w:snapToGrid w:val="0"/>
          <w:color w:val="auto"/>
          <w:szCs w:val="18"/>
          <w:u w:val="none"/>
        </w:rPr>
        <w:t>Sementchouk</w:t>
      </w:r>
      <w:proofErr w:type="spellEnd"/>
      <w:r w:rsidR="00AC2E33" w:rsidRPr="00AB6C1D">
        <w:rPr>
          <w:rStyle w:val="Lienhypertexte"/>
          <w:rFonts w:asciiTheme="minorBidi" w:hAnsiTheme="minorBidi" w:cstheme="minorBidi"/>
          <w:snapToGrid w:val="0"/>
          <w:color w:val="auto"/>
          <w:szCs w:val="18"/>
          <w:u w:val="none"/>
        </w:rPr>
        <w:t>.</w:t>
      </w:r>
    </w:p>
  </w:footnote>
  <w:footnote w:id="2">
    <w:p w14:paraId="6AB42BAF" w14:textId="4ABED0F2" w:rsidR="00AE75A6" w:rsidRPr="00AB6C1D" w:rsidRDefault="00AE75A6" w:rsidP="00405E1E">
      <w:pPr>
        <w:pStyle w:val="Notedebasdepage"/>
        <w:ind w:left="567" w:hanging="567"/>
      </w:pPr>
      <w:r w:rsidRPr="00AB6C1D">
        <w:rPr>
          <w:rStyle w:val="Appelnotedebasdep"/>
          <w:rFonts w:asciiTheme="minorBidi" w:hAnsiTheme="minorBidi" w:cstheme="minorBidi"/>
          <w:szCs w:val="18"/>
          <w:vertAlign w:val="baseline"/>
        </w:rPr>
        <w:footnoteRef/>
      </w:r>
      <w:r w:rsidR="00AB6C1D">
        <w:t>.</w:t>
      </w:r>
      <w:r w:rsidRPr="00AB6C1D">
        <w:t xml:space="preserve"> </w:t>
      </w:r>
      <w:r w:rsidR="00405E1E" w:rsidRPr="00AB6C1D">
        <w:tab/>
      </w:r>
      <w:r w:rsidR="00C72416" w:rsidRPr="00AB6C1D">
        <w:rPr>
          <w:rStyle w:val="Lienhypertexte"/>
          <w:snapToGrid w:val="0"/>
          <w:color w:val="auto"/>
          <w:u w:val="none"/>
        </w:rPr>
        <w:t>D</w:t>
      </w:r>
      <w:r w:rsidRPr="00AB6C1D">
        <w:rPr>
          <w:rStyle w:val="Lienhypertexte"/>
          <w:snapToGrid w:val="0"/>
          <w:color w:val="auto"/>
          <w:u w:val="none"/>
        </w:rPr>
        <w:t>ocuments</w:t>
      </w:r>
      <w:r w:rsidRPr="00AB6C1D">
        <w:t xml:space="preserve"> </w:t>
      </w:r>
      <w:hyperlink r:id="rId1" w:history="1">
        <w:r w:rsidRPr="00AB6C1D">
          <w:rPr>
            <w:rStyle w:val="Lienhypertexte"/>
            <w:rFonts w:asciiTheme="minorBidi" w:hAnsiTheme="minorBidi" w:cstheme="minorBidi"/>
            <w:szCs w:val="18"/>
          </w:rPr>
          <w:t>LHE/21/16.COM/10 Rev</w:t>
        </w:r>
      </w:hyperlink>
      <w:r w:rsidRPr="00AB6C1D">
        <w:t xml:space="preserve">. </w:t>
      </w:r>
      <w:proofErr w:type="gramStart"/>
      <w:r w:rsidRPr="00AB6C1D">
        <w:t>et</w:t>
      </w:r>
      <w:proofErr w:type="gramEnd"/>
      <w:r w:rsidRPr="00AB6C1D">
        <w:t xml:space="preserve"> </w:t>
      </w:r>
      <w:hyperlink r:id="rId2" w:history="1">
        <w:r w:rsidR="00176E60" w:rsidRPr="00AB6C1D">
          <w:rPr>
            <w:rStyle w:val="Lienhypertexte"/>
            <w:rFonts w:asciiTheme="minorBidi" w:hAnsiTheme="minorBidi" w:cstheme="minorBidi"/>
            <w:szCs w:val="18"/>
          </w:rPr>
          <w:t>LHE/21/16.COM/INF.10 Rev</w:t>
        </w:r>
        <w:r w:rsidRPr="00AB6C1D">
          <w:rPr>
            <w:rStyle w:val="Lienhypertexte"/>
            <w:rFonts w:asciiTheme="minorBidi" w:hAnsiTheme="minorBidi" w:cstheme="minorBidi"/>
            <w:szCs w:val="18"/>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96C542D" w:rsidR="00C6509C" w:rsidRPr="00C23A97" w:rsidRDefault="00C6509C" w:rsidP="00C5776D">
    <w:pPr>
      <w:pStyle w:val="En-tte"/>
      <w:rPr>
        <w:rFonts w:ascii="Arial" w:hAnsi="Arial" w:cs="Arial"/>
      </w:rPr>
    </w:pPr>
    <w:r>
      <w:rPr>
        <w:rFonts w:ascii="Arial" w:hAnsi="Arial"/>
        <w:sz w:val="20"/>
      </w:rPr>
      <w:t>LHE/22/17.COM/6.c – page </w:t>
    </w:r>
    <w:r w:rsidRPr="00C23A97">
      <w:rPr>
        <w:rStyle w:val="Numrodepage"/>
        <w:rFonts w:ascii="Arial" w:hAnsi="Arial" w:cs="Arial"/>
        <w:sz w:val="20"/>
      </w:rPr>
      <w:fldChar w:fldCharType="begin"/>
    </w:r>
    <w:r w:rsidRPr="00C23A97">
      <w:rPr>
        <w:rStyle w:val="Numrodepage"/>
        <w:rFonts w:ascii="Arial" w:hAnsi="Arial" w:cs="Arial"/>
        <w:sz w:val="20"/>
      </w:rPr>
      <w:instrText xml:space="preserve"> PAGE </w:instrText>
    </w:r>
    <w:r w:rsidRPr="00C23A97">
      <w:rPr>
        <w:rStyle w:val="Numrodepage"/>
        <w:rFonts w:ascii="Arial" w:hAnsi="Arial" w:cs="Arial"/>
        <w:sz w:val="20"/>
      </w:rPr>
      <w:fldChar w:fldCharType="separate"/>
    </w:r>
    <w:r>
      <w:rPr>
        <w:rStyle w:val="Numrodepage"/>
        <w:rFonts w:ascii="Arial" w:hAnsi="Arial" w:cs="Arial"/>
        <w:sz w:val="20"/>
      </w:rPr>
      <w:t>2</w:t>
    </w:r>
    <w:r w:rsidRPr="00C23A97">
      <w:rPr>
        <w:rStyle w:val="Numrodepage"/>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0E98FC7" w:rsidR="00C6509C" w:rsidRPr="0063300C" w:rsidRDefault="00C6509C" w:rsidP="00C5776D">
    <w:pPr>
      <w:pStyle w:val="En-tte"/>
      <w:jc w:val="right"/>
      <w:rPr>
        <w:rFonts w:ascii="Arial" w:hAnsi="Arial" w:cs="Arial"/>
      </w:rPr>
    </w:pPr>
    <w:r>
      <w:rPr>
        <w:rFonts w:ascii="Arial" w:hAnsi="Arial"/>
        <w:sz w:val="20"/>
      </w:rPr>
      <w:t>LHE/22/17.COM/6.c – page </w:t>
    </w:r>
    <w:r w:rsidRPr="0063300C">
      <w:rPr>
        <w:rStyle w:val="Numrodepage"/>
        <w:rFonts w:ascii="Arial" w:hAnsi="Arial" w:cs="Arial"/>
        <w:sz w:val="20"/>
      </w:rPr>
      <w:fldChar w:fldCharType="begin"/>
    </w:r>
    <w:r w:rsidRPr="0063300C">
      <w:rPr>
        <w:rStyle w:val="Numrodepage"/>
        <w:rFonts w:ascii="Arial" w:hAnsi="Arial" w:cs="Arial"/>
        <w:sz w:val="20"/>
      </w:rPr>
      <w:instrText xml:space="preserve"> PAGE </w:instrText>
    </w:r>
    <w:r w:rsidRPr="0063300C">
      <w:rPr>
        <w:rStyle w:val="Numrodepage"/>
        <w:rFonts w:ascii="Arial" w:hAnsi="Arial" w:cs="Arial"/>
        <w:sz w:val="20"/>
      </w:rPr>
      <w:fldChar w:fldCharType="separate"/>
    </w:r>
    <w:r>
      <w:rPr>
        <w:rStyle w:val="Numrodepage"/>
        <w:rFonts w:ascii="Arial" w:hAnsi="Arial" w:cs="Arial"/>
        <w:sz w:val="20"/>
      </w:rPr>
      <w:t>3</w:t>
    </w:r>
    <w:r w:rsidRPr="0063300C">
      <w:rPr>
        <w:rStyle w:val="Numrodepage"/>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328E0E33" w:rsidR="00C6509C" w:rsidRPr="00E95AE2" w:rsidRDefault="00050312">
    <w:pPr>
      <w:pStyle w:val="En-tte"/>
      <w:rPr>
        <w:sz w:val="22"/>
        <w:szCs w:val="22"/>
      </w:rPr>
    </w:pPr>
    <w:r>
      <w:rPr>
        <w:noProof/>
        <w:sz w:val="22"/>
        <w:szCs w:val="22"/>
      </w:rPr>
      <w:drawing>
        <wp:anchor distT="0" distB="0" distL="114300" distR="114300" simplePos="0" relativeHeight="251661312" behindDoc="0" locked="0" layoutInCell="1" allowOverlap="1" wp14:anchorId="00B4B326" wp14:editId="17E07315">
          <wp:simplePos x="0" y="0"/>
          <wp:positionH relativeFrom="column">
            <wp:posOffset>38100</wp:posOffset>
          </wp:positionH>
          <wp:positionV relativeFrom="paragraph">
            <wp:posOffset>57150</wp:posOffset>
          </wp:positionV>
          <wp:extent cx="1657350" cy="139192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05BF336" w:rsidR="00C6509C" w:rsidRPr="00D7105A" w:rsidRDefault="00C6509C" w:rsidP="00C5776D">
    <w:pPr>
      <w:pStyle w:val="En-tte"/>
      <w:spacing w:after="520"/>
      <w:jc w:val="right"/>
      <w:rPr>
        <w:rFonts w:ascii="Arial" w:hAnsi="Arial" w:cs="Arial"/>
        <w:b/>
        <w:sz w:val="44"/>
        <w:szCs w:val="44"/>
      </w:rPr>
    </w:pPr>
    <w:r>
      <w:rPr>
        <w:rFonts w:ascii="Arial" w:hAnsi="Arial"/>
        <w:b/>
        <w:sz w:val="44"/>
      </w:rPr>
      <w:t>17 COM</w:t>
    </w:r>
  </w:p>
  <w:p w14:paraId="306484B8" w14:textId="391FA42B" w:rsidR="00C6509C" w:rsidRPr="00D7105A" w:rsidRDefault="00C6509C" w:rsidP="00C5776D">
    <w:pPr>
      <w:jc w:val="right"/>
      <w:rPr>
        <w:rFonts w:ascii="Arial" w:hAnsi="Arial" w:cs="Arial"/>
        <w:b/>
        <w:sz w:val="22"/>
        <w:szCs w:val="22"/>
      </w:rPr>
    </w:pPr>
    <w:r>
      <w:rPr>
        <w:rFonts w:ascii="Arial" w:hAnsi="Arial"/>
        <w:b/>
        <w:sz w:val="22"/>
      </w:rPr>
      <w:t>LHE/22/17.COM/6.c</w:t>
    </w:r>
  </w:p>
  <w:p w14:paraId="1B4446C3" w14:textId="5B661504" w:rsidR="00C6509C" w:rsidRPr="00D7105A" w:rsidRDefault="00C6509C" w:rsidP="00655736">
    <w:pPr>
      <w:jc w:val="right"/>
      <w:rPr>
        <w:rFonts w:ascii="Arial" w:eastAsiaTheme="minorEastAsia" w:hAnsi="Arial" w:cs="Arial"/>
        <w:b/>
        <w:sz w:val="22"/>
        <w:szCs w:val="22"/>
      </w:rPr>
    </w:pPr>
    <w:r>
      <w:rPr>
        <w:rFonts w:ascii="Arial" w:hAnsi="Arial"/>
        <w:b/>
        <w:sz w:val="22"/>
      </w:rPr>
      <w:t xml:space="preserve">Paris, le </w:t>
    </w:r>
    <w:r w:rsidR="00855936">
      <w:rPr>
        <w:rFonts w:ascii="Arial" w:hAnsi="Arial"/>
        <w:b/>
        <w:sz w:val="22"/>
      </w:rPr>
      <w:t>31 octobre</w:t>
    </w:r>
    <w:r w:rsidR="00AB6C1D">
      <w:rPr>
        <w:rFonts w:ascii="Arial" w:hAnsi="Arial"/>
        <w:b/>
        <w:sz w:val="22"/>
      </w:rPr>
      <w:t xml:space="preserve"> 2022</w:t>
    </w:r>
  </w:p>
  <w:p w14:paraId="3C4B8B1B" w14:textId="3529E08C" w:rsidR="00C6509C" w:rsidRPr="00050312" w:rsidRDefault="00C6509C" w:rsidP="00CD7046">
    <w:pPr>
      <w:spacing w:after="360"/>
      <w:jc w:val="right"/>
      <w:rPr>
        <w:sz w:val="22"/>
        <w:szCs w:val="22"/>
      </w:rPr>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446"/>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23533CA"/>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21614DF9"/>
    <w:multiLevelType w:val="hybridMultilevel"/>
    <w:tmpl w:val="202CA6FC"/>
    <w:lvl w:ilvl="0" w:tplc="3A88FBB0">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375DA"/>
    <w:multiLevelType w:val="hybridMultilevel"/>
    <w:tmpl w:val="14A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520DE"/>
    <w:multiLevelType w:val="hybridMultilevel"/>
    <w:tmpl w:val="22E88E68"/>
    <w:lvl w:ilvl="0" w:tplc="D6A89610">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1B2FCC"/>
    <w:multiLevelType w:val="hybridMultilevel"/>
    <w:tmpl w:val="A520357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5F07BFE"/>
    <w:multiLevelType w:val="hybridMultilevel"/>
    <w:tmpl w:val="439AC4DA"/>
    <w:lvl w:ilvl="0" w:tplc="76CAC304">
      <w:start w:val="1"/>
      <w:numFmt w:val="decimal"/>
      <w:pStyle w:val="COMPara"/>
      <w:lvlText w:val="%1."/>
      <w:lvlJc w:val="left"/>
      <w:pPr>
        <w:ind w:left="390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8821994"/>
    <w:multiLevelType w:val="hybridMultilevel"/>
    <w:tmpl w:val="B34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F7735D"/>
    <w:multiLevelType w:val="hybridMultilevel"/>
    <w:tmpl w:val="F1A4EAA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3E894944"/>
    <w:multiLevelType w:val="hybridMultilevel"/>
    <w:tmpl w:val="AB44F2CC"/>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1504"/>
    <w:multiLevelType w:val="hybridMultilevel"/>
    <w:tmpl w:val="7C624CFE"/>
    <w:lvl w:ilvl="0" w:tplc="0CDA5C2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4FDD27AB"/>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5014559E"/>
    <w:multiLevelType w:val="hybridMultilevel"/>
    <w:tmpl w:val="B7FE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1AD4"/>
    <w:multiLevelType w:val="hybridMultilevel"/>
    <w:tmpl w:val="CA688ECE"/>
    <w:lvl w:ilvl="0" w:tplc="69905B24">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56C34595"/>
    <w:multiLevelType w:val="hybridMultilevel"/>
    <w:tmpl w:val="C040CFAC"/>
    <w:lvl w:ilvl="0" w:tplc="AC0A893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2" w15:restartNumberingAfterBreak="0">
    <w:nsid w:val="570054C1"/>
    <w:multiLevelType w:val="hybridMultilevel"/>
    <w:tmpl w:val="FF8887A4"/>
    <w:lvl w:ilvl="0" w:tplc="3288FB0C">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59460CF3"/>
    <w:multiLevelType w:val="hybridMultilevel"/>
    <w:tmpl w:val="202CA6FC"/>
    <w:lvl w:ilvl="0" w:tplc="3A88FBB0">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601A5"/>
    <w:multiLevelType w:val="hybridMultilevel"/>
    <w:tmpl w:val="571A0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87A59"/>
    <w:multiLevelType w:val="hybridMultilevel"/>
    <w:tmpl w:val="F3824B22"/>
    <w:lvl w:ilvl="0" w:tplc="38405CCE">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2F39B8"/>
    <w:multiLevelType w:val="hybridMultilevel"/>
    <w:tmpl w:val="23CA4234"/>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BA261EE"/>
    <w:multiLevelType w:val="hybridMultilevel"/>
    <w:tmpl w:val="BD2230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E801EE"/>
    <w:multiLevelType w:val="hybridMultilevel"/>
    <w:tmpl w:val="F43EB7E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7C96592A"/>
    <w:multiLevelType w:val="hybridMultilevel"/>
    <w:tmpl w:val="3864A84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EC2AE6"/>
    <w:multiLevelType w:val="hybridMultilevel"/>
    <w:tmpl w:val="3C6A083C"/>
    <w:lvl w:ilvl="0" w:tplc="A9EAE2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E735D"/>
    <w:multiLevelType w:val="hybridMultilevel"/>
    <w:tmpl w:val="0A8604C0"/>
    <w:lvl w:ilvl="0" w:tplc="CE7269BE">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1"/>
  </w:num>
  <w:num w:numId="2">
    <w:abstractNumId w:val="8"/>
  </w:num>
  <w:num w:numId="3">
    <w:abstractNumId w:val="11"/>
  </w:num>
  <w:num w:numId="4">
    <w:abstractNumId w:val="12"/>
  </w:num>
  <w:num w:numId="5">
    <w:abstractNumId w:val="6"/>
  </w:num>
  <w:num w:numId="6">
    <w:abstractNumId w:val="17"/>
  </w:num>
  <w:num w:numId="7">
    <w:abstractNumId w:val="2"/>
  </w:num>
  <w:num w:numId="8">
    <w:abstractNumId w:val="15"/>
  </w:num>
  <w:num w:numId="9">
    <w:abstractNumId w:val="17"/>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26"/>
  </w:num>
  <w:num w:numId="14">
    <w:abstractNumId w:val="20"/>
  </w:num>
  <w:num w:numId="15">
    <w:abstractNumId w:val="29"/>
  </w:num>
  <w:num w:numId="16">
    <w:abstractNumId w:val="0"/>
  </w:num>
  <w:num w:numId="17">
    <w:abstractNumId w:val="24"/>
  </w:num>
  <w:num w:numId="18">
    <w:abstractNumId w:val="10"/>
  </w:num>
  <w:num w:numId="19">
    <w:abstractNumId w:val="5"/>
  </w:num>
  <w:num w:numId="20">
    <w:abstractNumId w:val="19"/>
  </w:num>
  <w:num w:numId="21">
    <w:abstractNumId w:val="32"/>
  </w:num>
  <w:num w:numId="22">
    <w:abstractNumId w:val="22"/>
  </w:num>
  <w:num w:numId="23">
    <w:abstractNumId w:val="16"/>
  </w:num>
  <w:num w:numId="24">
    <w:abstractNumId w:val="27"/>
  </w:num>
  <w:num w:numId="25">
    <w:abstractNumId w:val="4"/>
  </w:num>
  <w:num w:numId="26">
    <w:abstractNumId w:val="31"/>
  </w:num>
  <w:num w:numId="27">
    <w:abstractNumId w:val="23"/>
  </w:num>
  <w:num w:numId="28">
    <w:abstractNumId w:val="30"/>
  </w:num>
  <w:num w:numId="29">
    <w:abstractNumId w:val="9"/>
  </w:num>
  <w:num w:numId="30">
    <w:abstractNumId w:val="3"/>
  </w:num>
  <w:num w:numId="31">
    <w:abstractNumId w:val="18"/>
  </w:num>
  <w:num w:numId="32">
    <w:abstractNumId w:val="13"/>
  </w:num>
  <w:num w:numId="33">
    <w:abstractNumId w:val="7"/>
  </w:num>
  <w:num w:numId="34">
    <w:abstractNumId w:val="28"/>
  </w:num>
  <w:num w:numId="35">
    <w:abstractNumId w:val="21"/>
  </w:num>
  <w:num w:numId="36">
    <w:abstractNumId w:val="33"/>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7F"/>
    <w:rsid w:val="00000E07"/>
    <w:rsid w:val="00002328"/>
    <w:rsid w:val="00002EA1"/>
    <w:rsid w:val="00002FA6"/>
    <w:rsid w:val="00003813"/>
    <w:rsid w:val="00004055"/>
    <w:rsid w:val="000041DF"/>
    <w:rsid w:val="000048ED"/>
    <w:rsid w:val="0000558A"/>
    <w:rsid w:val="000059D1"/>
    <w:rsid w:val="00006AA3"/>
    <w:rsid w:val="0000726D"/>
    <w:rsid w:val="00010439"/>
    <w:rsid w:val="00010CE5"/>
    <w:rsid w:val="00011D03"/>
    <w:rsid w:val="00012976"/>
    <w:rsid w:val="000130C0"/>
    <w:rsid w:val="00013D4E"/>
    <w:rsid w:val="00014915"/>
    <w:rsid w:val="00015874"/>
    <w:rsid w:val="00015CD2"/>
    <w:rsid w:val="000164AB"/>
    <w:rsid w:val="00016CFE"/>
    <w:rsid w:val="00016F8F"/>
    <w:rsid w:val="000173EF"/>
    <w:rsid w:val="00017F5D"/>
    <w:rsid w:val="00021E52"/>
    <w:rsid w:val="00022089"/>
    <w:rsid w:val="0002230F"/>
    <w:rsid w:val="00024380"/>
    <w:rsid w:val="000318B7"/>
    <w:rsid w:val="000321E9"/>
    <w:rsid w:val="00040084"/>
    <w:rsid w:val="00041A66"/>
    <w:rsid w:val="00041BE0"/>
    <w:rsid w:val="000421F4"/>
    <w:rsid w:val="00042374"/>
    <w:rsid w:val="00042D88"/>
    <w:rsid w:val="00043158"/>
    <w:rsid w:val="000436C4"/>
    <w:rsid w:val="0004443C"/>
    <w:rsid w:val="00044AAC"/>
    <w:rsid w:val="00044D5F"/>
    <w:rsid w:val="00044D98"/>
    <w:rsid w:val="00045174"/>
    <w:rsid w:val="00050312"/>
    <w:rsid w:val="0005176E"/>
    <w:rsid w:val="0005199B"/>
    <w:rsid w:val="00052788"/>
    <w:rsid w:val="00053324"/>
    <w:rsid w:val="000533F3"/>
    <w:rsid w:val="000535F3"/>
    <w:rsid w:val="000545FE"/>
    <w:rsid w:val="00056255"/>
    <w:rsid w:val="000565EB"/>
    <w:rsid w:val="000579F8"/>
    <w:rsid w:val="00057B70"/>
    <w:rsid w:val="00060940"/>
    <w:rsid w:val="000616EC"/>
    <w:rsid w:val="00062650"/>
    <w:rsid w:val="00062E52"/>
    <w:rsid w:val="0006362A"/>
    <w:rsid w:val="00063D2B"/>
    <w:rsid w:val="00065D2E"/>
    <w:rsid w:val="000674C4"/>
    <w:rsid w:val="000678FE"/>
    <w:rsid w:val="00070D84"/>
    <w:rsid w:val="00070E63"/>
    <w:rsid w:val="00071B3C"/>
    <w:rsid w:val="000720C4"/>
    <w:rsid w:val="00072544"/>
    <w:rsid w:val="00072E7C"/>
    <w:rsid w:val="0007383B"/>
    <w:rsid w:val="00073D7C"/>
    <w:rsid w:val="00073E79"/>
    <w:rsid w:val="00073EA7"/>
    <w:rsid w:val="00074360"/>
    <w:rsid w:val="00074BE6"/>
    <w:rsid w:val="00075F6B"/>
    <w:rsid w:val="000765F7"/>
    <w:rsid w:val="00077600"/>
    <w:rsid w:val="00077AB7"/>
    <w:rsid w:val="000805F1"/>
    <w:rsid w:val="00080A6C"/>
    <w:rsid w:val="00081896"/>
    <w:rsid w:val="00081CD8"/>
    <w:rsid w:val="0008277C"/>
    <w:rsid w:val="0008384C"/>
    <w:rsid w:val="00083FFA"/>
    <w:rsid w:val="000853C0"/>
    <w:rsid w:val="00085FC4"/>
    <w:rsid w:val="000866DF"/>
    <w:rsid w:val="00086A82"/>
    <w:rsid w:val="00087066"/>
    <w:rsid w:val="00087FF9"/>
    <w:rsid w:val="000905D6"/>
    <w:rsid w:val="000917BE"/>
    <w:rsid w:val="000918A2"/>
    <w:rsid w:val="00092874"/>
    <w:rsid w:val="00093ECF"/>
    <w:rsid w:val="000955CA"/>
    <w:rsid w:val="00096572"/>
    <w:rsid w:val="0009726B"/>
    <w:rsid w:val="00097AB0"/>
    <w:rsid w:val="00097F99"/>
    <w:rsid w:val="000A0C22"/>
    <w:rsid w:val="000A12F8"/>
    <w:rsid w:val="000A20B2"/>
    <w:rsid w:val="000A3AB5"/>
    <w:rsid w:val="000A430B"/>
    <w:rsid w:val="000A43F6"/>
    <w:rsid w:val="000A479B"/>
    <w:rsid w:val="000A4F0D"/>
    <w:rsid w:val="000A5A8D"/>
    <w:rsid w:val="000A68A8"/>
    <w:rsid w:val="000A7161"/>
    <w:rsid w:val="000A728A"/>
    <w:rsid w:val="000A7F0E"/>
    <w:rsid w:val="000B1B6D"/>
    <w:rsid w:val="000B1C8F"/>
    <w:rsid w:val="000B2579"/>
    <w:rsid w:val="000B2627"/>
    <w:rsid w:val="000B36AC"/>
    <w:rsid w:val="000B39FC"/>
    <w:rsid w:val="000B3E84"/>
    <w:rsid w:val="000B4C44"/>
    <w:rsid w:val="000B5E10"/>
    <w:rsid w:val="000B670D"/>
    <w:rsid w:val="000B714E"/>
    <w:rsid w:val="000C0782"/>
    <w:rsid w:val="000C0D61"/>
    <w:rsid w:val="000C17D7"/>
    <w:rsid w:val="000C206F"/>
    <w:rsid w:val="000C2A31"/>
    <w:rsid w:val="000C31A5"/>
    <w:rsid w:val="000C3415"/>
    <w:rsid w:val="000C3703"/>
    <w:rsid w:val="000C7434"/>
    <w:rsid w:val="000D0F11"/>
    <w:rsid w:val="000D269A"/>
    <w:rsid w:val="000D2D59"/>
    <w:rsid w:val="000D2F25"/>
    <w:rsid w:val="000D4050"/>
    <w:rsid w:val="000D54D6"/>
    <w:rsid w:val="000D68A2"/>
    <w:rsid w:val="000D6D5E"/>
    <w:rsid w:val="000D7744"/>
    <w:rsid w:val="000E1F11"/>
    <w:rsid w:val="000E3C46"/>
    <w:rsid w:val="000E4E72"/>
    <w:rsid w:val="000E708A"/>
    <w:rsid w:val="000E7929"/>
    <w:rsid w:val="000E7933"/>
    <w:rsid w:val="000F03AB"/>
    <w:rsid w:val="000F0920"/>
    <w:rsid w:val="000F0D8D"/>
    <w:rsid w:val="000F142F"/>
    <w:rsid w:val="000F2E6B"/>
    <w:rsid w:val="000F301E"/>
    <w:rsid w:val="000F3815"/>
    <w:rsid w:val="000F39D4"/>
    <w:rsid w:val="000F3A3F"/>
    <w:rsid w:val="000F3BAA"/>
    <w:rsid w:val="000F5BDC"/>
    <w:rsid w:val="000F5BF7"/>
    <w:rsid w:val="000F6145"/>
    <w:rsid w:val="000F64F9"/>
    <w:rsid w:val="0010082C"/>
    <w:rsid w:val="0010160D"/>
    <w:rsid w:val="00101E54"/>
    <w:rsid w:val="00102557"/>
    <w:rsid w:val="00103055"/>
    <w:rsid w:val="001054CE"/>
    <w:rsid w:val="00105CE6"/>
    <w:rsid w:val="00106BBD"/>
    <w:rsid w:val="00107274"/>
    <w:rsid w:val="00111119"/>
    <w:rsid w:val="00113397"/>
    <w:rsid w:val="001136DE"/>
    <w:rsid w:val="001148C4"/>
    <w:rsid w:val="00114B18"/>
    <w:rsid w:val="0011557F"/>
    <w:rsid w:val="001168D5"/>
    <w:rsid w:val="0011703A"/>
    <w:rsid w:val="00117C48"/>
    <w:rsid w:val="001201D9"/>
    <w:rsid w:val="00120304"/>
    <w:rsid w:val="00121BD0"/>
    <w:rsid w:val="001224F7"/>
    <w:rsid w:val="001232D8"/>
    <w:rsid w:val="001249AA"/>
    <w:rsid w:val="001270D5"/>
    <w:rsid w:val="00131C21"/>
    <w:rsid w:val="00131FED"/>
    <w:rsid w:val="001321D5"/>
    <w:rsid w:val="00133671"/>
    <w:rsid w:val="00133F28"/>
    <w:rsid w:val="00134243"/>
    <w:rsid w:val="00134C9E"/>
    <w:rsid w:val="00134CF7"/>
    <w:rsid w:val="00134DAD"/>
    <w:rsid w:val="00135B19"/>
    <w:rsid w:val="001367F7"/>
    <w:rsid w:val="00136BEA"/>
    <w:rsid w:val="001370BB"/>
    <w:rsid w:val="00137217"/>
    <w:rsid w:val="001373FF"/>
    <w:rsid w:val="00141B05"/>
    <w:rsid w:val="0014225C"/>
    <w:rsid w:val="00142EC7"/>
    <w:rsid w:val="001437C9"/>
    <w:rsid w:val="00143D6A"/>
    <w:rsid w:val="001443F9"/>
    <w:rsid w:val="00144930"/>
    <w:rsid w:val="00145A03"/>
    <w:rsid w:val="00147618"/>
    <w:rsid w:val="001479C0"/>
    <w:rsid w:val="00150631"/>
    <w:rsid w:val="00151863"/>
    <w:rsid w:val="001548EA"/>
    <w:rsid w:val="00154DC6"/>
    <w:rsid w:val="001553FF"/>
    <w:rsid w:val="001556B8"/>
    <w:rsid w:val="001563B5"/>
    <w:rsid w:val="00157315"/>
    <w:rsid w:val="00160A83"/>
    <w:rsid w:val="0016137F"/>
    <w:rsid w:val="001614BE"/>
    <w:rsid w:val="00161B77"/>
    <w:rsid w:val="00161D9F"/>
    <w:rsid w:val="00161E70"/>
    <w:rsid w:val="00162DE2"/>
    <w:rsid w:val="0016346A"/>
    <w:rsid w:val="00163C2E"/>
    <w:rsid w:val="00164857"/>
    <w:rsid w:val="00164B39"/>
    <w:rsid w:val="00164D56"/>
    <w:rsid w:val="0016501B"/>
    <w:rsid w:val="00165836"/>
    <w:rsid w:val="001670F8"/>
    <w:rsid w:val="00167A9E"/>
    <w:rsid w:val="00167B10"/>
    <w:rsid w:val="00167C08"/>
    <w:rsid w:val="00170F6E"/>
    <w:rsid w:val="0017192E"/>
    <w:rsid w:val="00172D2C"/>
    <w:rsid w:val="00173894"/>
    <w:rsid w:val="0017402F"/>
    <w:rsid w:val="001740C5"/>
    <w:rsid w:val="0017562B"/>
    <w:rsid w:val="001763E3"/>
    <w:rsid w:val="001764B1"/>
    <w:rsid w:val="00176E60"/>
    <w:rsid w:val="00181760"/>
    <w:rsid w:val="00183462"/>
    <w:rsid w:val="00183EB8"/>
    <w:rsid w:val="00184C15"/>
    <w:rsid w:val="00187C17"/>
    <w:rsid w:val="00190205"/>
    <w:rsid w:val="00190C71"/>
    <w:rsid w:val="00191EA4"/>
    <w:rsid w:val="00192AF1"/>
    <w:rsid w:val="00192E8F"/>
    <w:rsid w:val="0019348C"/>
    <w:rsid w:val="00193D41"/>
    <w:rsid w:val="00195359"/>
    <w:rsid w:val="00195ADA"/>
    <w:rsid w:val="001964D5"/>
    <w:rsid w:val="00196C1B"/>
    <w:rsid w:val="00197672"/>
    <w:rsid w:val="001A00DE"/>
    <w:rsid w:val="001A0A28"/>
    <w:rsid w:val="001A203D"/>
    <w:rsid w:val="001A22BF"/>
    <w:rsid w:val="001A3200"/>
    <w:rsid w:val="001A33C3"/>
    <w:rsid w:val="001A3F42"/>
    <w:rsid w:val="001A46AB"/>
    <w:rsid w:val="001A4F49"/>
    <w:rsid w:val="001A5B6D"/>
    <w:rsid w:val="001A71C7"/>
    <w:rsid w:val="001B0F73"/>
    <w:rsid w:val="001B183F"/>
    <w:rsid w:val="001B274E"/>
    <w:rsid w:val="001B3326"/>
    <w:rsid w:val="001B38A0"/>
    <w:rsid w:val="001B3996"/>
    <w:rsid w:val="001B39E9"/>
    <w:rsid w:val="001B6727"/>
    <w:rsid w:val="001B7781"/>
    <w:rsid w:val="001C0B73"/>
    <w:rsid w:val="001C1290"/>
    <w:rsid w:val="001C2DB7"/>
    <w:rsid w:val="001C2DF7"/>
    <w:rsid w:val="001C3F3C"/>
    <w:rsid w:val="001C5237"/>
    <w:rsid w:val="001C533C"/>
    <w:rsid w:val="001C55E4"/>
    <w:rsid w:val="001C5726"/>
    <w:rsid w:val="001C5CC9"/>
    <w:rsid w:val="001C653A"/>
    <w:rsid w:val="001C722D"/>
    <w:rsid w:val="001C7D54"/>
    <w:rsid w:val="001C7DC2"/>
    <w:rsid w:val="001D0554"/>
    <w:rsid w:val="001D0BB6"/>
    <w:rsid w:val="001D0C53"/>
    <w:rsid w:val="001D14FE"/>
    <w:rsid w:val="001D4C7B"/>
    <w:rsid w:val="001D4CCE"/>
    <w:rsid w:val="001D549B"/>
    <w:rsid w:val="001D56BB"/>
    <w:rsid w:val="001D5C04"/>
    <w:rsid w:val="001D7FA7"/>
    <w:rsid w:val="001E156E"/>
    <w:rsid w:val="001E1D8F"/>
    <w:rsid w:val="001E2665"/>
    <w:rsid w:val="001E2CA3"/>
    <w:rsid w:val="001E2D82"/>
    <w:rsid w:val="001E3C6F"/>
    <w:rsid w:val="001E5BC3"/>
    <w:rsid w:val="001E5CEE"/>
    <w:rsid w:val="001E6B13"/>
    <w:rsid w:val="001E7A23"/>
    <w:rsid w:val="001F1079"/>
    <w:rsid w:val="001F1E14"/>
    <w:rsid w:val="001F26CF"/>
    <w:rsid w:val="001F29A8"/>
    <w:rsid w:val="001F314E"/>
    <w:rsid w:val="001F4BBE"/>
    <w:rsid w:val="001F50A0"/>
    <w:rsid w:val="001F5A46"/>
    <w:rsid w:val="001F5F5D"/>
    <w:rsid w:val="001F6D88"/>
    <w:rsid w:val="001F775B"/>
    <w:rsid w:val="00200795"/>
    <w:rsid w:val="002007FB"/>
    <w:rsid w:val="00200860"/>
    <w:rsid w:val="0020254A"/>
    <w:rsid w:val="00202BB2"/>
    <w:rsid w:val="0020326B"/>
    <w:rsid w:val="0020327A"/>
    <w:rsid w:val="00204992"/>
    <w:rsid w:val="00205F94"/>
    <w:rsid w:val="002068C8"/>
    <w:rsid w:val="002076E5"/>
    <w:rsid w:val="00207995"/>
    <w:rsid w:val="00210437"/>
    <w:rsid w:val="0021046E"/>
    <w:rsid w:val="0021245A"/>
    <w:rsid w:val="002151F3"/>
    <w:rsid w:val="002154AA"/>
    <w:rsid w:val="002157E1"/>
    <w:rsid w:val="00216907"/>
    <w:rsid w:val="00217048"/>
    <w:rsid w:val="00217EB2"/>
    <w:rsid w:val="00221D48"/>
    <w:rsid w:val="00222A0C"/>
    <w:rsid w:val="00222A2D"/>
    <w:rsid w:val="00223029"/>
    <w:rsid w:val="002232D6"/>
    <w:rsid w:val="00223317"/>
    <w:rsid w:val="002234EE"/>
    <w:rsid w:val="00224FAD"/>
    <w:rsid w:val="0022555C"/>
    <w:rsid w:val="0022686C"/>
    <w:rsid w:val="00226F61"/>
    <w:rsid w:val="002271A3"/>
    <w:rsid w:val="002274B4"/>
    <w:rsid w:val="002315F5"/>
    <w:rsid w:val="00232409"/>
    <w:rsid w:val="00233EF1"/>
    <w:rsid w:val="00234745"/>
    <w:rsid w:val="00234F5D"/>
    <w:rsid w:val="002351A6"/>
    <w:rsid w:val="0023556D"/>
    <w:rsid w:val="002358CB"/>
    <w:rsid w:val="00236B07"/>
    <w:rsid w:val="00236C96"/>
    <w:rsid w:val="00236DB0"/>
    <w:rsid w:val="002407AF"/>
    <w:rsid w:val="002411A1"/>
    <w:rsid w:val="00242952"/>
    <w:rsid w:val="00243060"/>
    <w:rsid w:val="00243B5E"/>
    <w:rsid w:val="00244673"/>
    <w:rsid w:val="00246155"/>
    <w:rsid w:val="0024710B"/>
    <w:rsid w:val="00250341"/>
    <w:rsid w:val="00250571"/>
    <w:rsid w:val="00252189"/>
    <w:rsid w:val="00252B95"/>
    <w:rsid w:val="002562F9"/>
    <w:rsid w:val="00256584"/>
    <w:rsid w:val="002567A5"/>
    <w:rsid w:val="0025703D"/>
    <w:rsid w:val="00257520"/>
    <w:rsid w:val="0025762E"/>
    <w:rsid w:val="002601AE"/>
    <w:rsid w:val="00260EDC"/>
    <w:rsid w:val="00262E0E"/>
    <w:rsid w:val="00264299"/>
    <w:rsid w:val="002646AA"/>
    <w:rsid w:val="00265443"/>
    <w:rsid w:val="0026548C"/>
    <w:rsid w:val="002655F6"/>
    <w:rsid w:val="00266C1A"/>
    <w:rsid w:val="00270539"/>
    <w:rsid w:val="00270BEA"/>
    <w:rsid w:val="002736CC"/>
    <w:rsid w:val="00273DB2"/>
    <w:rsid w:val="00274633"/>
    <w:rsid w:val="0027466B"/>
    <w:rsid w:val="0027695C"/>
    <w:rsid w:val="002807D8"/>
    <w:rsid w:val="00280B6A"/>
    <w:rsid w:val="0028121A"/>
    <w:rsid w:val="002817E8"/>
    <w:rsid w:val="002838A5"/>
    <w:rsid w:val="00283922"/>
    <w:rsid w:val="00283A4D"/>
    <w:rsid w:val="002843F7"/>
    <w:rsid w:val="00284422"/>
    <w:rsid w:val="002852F7"/>
    <w:rsid w:val="00285BB4"/>
    <w:rsid w:val="00287BDF"/>
    <w:rsid w:val="00293C63"/>
    <w:rsid w:val="002942B0"/>
    <w:rsid w:val="00294CB3"/>
    <w:rsid w:val="002959ED"/>
    <w:rsid w:val="00296BAE"/>
    <w:rsid w:val="002A2357"/>
    <w:rsid w:val="002A33B4"/>
    <w:rsid w:val="002A4251"/>
    <w:rsid w:val="002B3364"/>
    <w:rsid w:val="002B3BE2"/>
    <w:rsid w:val="002B493A"/>
    <w:rsid w:val="002B50B0"/>
    <w:rsid w:val="002B6030"/>
    <w:rsid w:val="002B639D"/>
    <w:rsid w:val="002B6867"/>
    <w:rsid w:val="002B6A70"/>
    <w:rsid w:val="002B7079"/>
    <w:rsid w:val="002C09E3"/>
    <w:rsid w:val="002C225F"/>
    <w:rsid w:val="002C26D5"/>
    <w:rsid w:val="002C279D"/>
    <w:rsid w:val="002C2C5C"/>
    <w:rsid w:val="002C3705"/>
    <w:rsid w:val="002C4006"/>
    <w:rsid w:val="002C430C"/>
    <w:rsid w:val="002C4C3B"/>
    <w:rsid w:val="002C607B"/>
    <w:rsid w:val="002C626F"/>
    <w:rsid w:val="002C6291"/>
    <w:rsid w:val="002C64A5"/>
    <w:rsid w:val="002C7060"/>
    <w:rsid w:val="002D1244"/>
    <w:rsid w:val="002D189C"/>
    <w:rsid w:val="002D1D12"/>
    <w:rsid w:val="002D2B42"/>
    <w:rsid w:val="002D38FC"/>
    <w:rsid w:val="002D4E97"/>
    <w:rsid w:val="002D5CC6"/>
    <w:rsid w:val="002D6026"/>
    <w:rsid w:val="002E0297"/>
    <w:rsid w:val="002E0E16"/>
    <w:rsid w:val="002E1185"/>
    <w:rsid w:val="002E19A0"/>
    <w:rsid w:val="002E2034"/>
    <w:rsid w:val="002E3382"/>
    <w:rsid w:val="002E3E56"/>
    <w:rsid w:val="002E5040"/>
    <w:rsid w:val="002E56C1"/>
    <w:rsid w:val="002E6033"/>
    <w:rsid w:val="002E64BA"/>
    <w:rsid w:val="002E66CB"/>
    <w:rsid w:val="002E6FC9"/>
    <w:rsid w:val="002F1DDC"/>
    <w:rsid w:val="002F2B0E"/>
    <w:rsid w:val="002F2B15"/>
    <w:rsid w:val="002F3DB6"/>
    <w:rsid w:val="002F57B6"/>
    <w:rsid w:val="002F6A58"/>
    <w:rsid w:val="002F700E"/>
    <w:rsid w:val="002F7884"/>
    <w:rsid w:val="00301F7D"/>
    <w:rsid w:val="0030216B"/>
    <w:rsid w:val="00302232"/>
    <w:rsid w:val="0030479B"/>
    <w:rsid w:val="00305E12"/>
    <w:rsid w:val="00306A90"/>
    <w:rsid w:val="00306C33"/>
    <w:rsid w:val="003072C0"/>
    <w:rsid w:val="00307B86"/>
    <w:rsid w:val="00307D44"/>
    <w:rsid w:val="0031081E"/>
    <w:rsid w:val="003109FF"/>
    <w:rsid w:val="00310D73"/>
    <w:rsid w:val="0031145A"/>
    <w:rsid w:val="003115C7"/>
    <w:rsid w:val="00311F13"/>
    <w:rsid w:val="00311F91"/>
    <w:rsid w:val="00313B75"/>
    <w:rsid w:val="00313F48"/>
    <w:rsid w:val="00314980"/>
    <w:rsid w:val="00314C7B"/>
    <w:rsid w:val="00316C8D"/>
    <w:rsid w:val="003209B3"/>
    <w:rsid w:val="00321225"/>
    <w:rsid w:val="0032155D"/>
    <w:rsid w:val="00321DB4"/>
    <w:rsid w:val="00321E0E"/>
    <w:rsid w:val="00322226"/>
    <w:rsid w:val="00322BDF"/>
    <w:rsid w:val="003255B4"/>
    <w:rsid w:val="00325A0B"/>
    <w:rsid w:val="00326161"/>
    <w:rsid w:val="00330741"/>
    <w:rsid w:val="00330A5F"/>
    <w:rsid w:val="00331344"/>
    <w:rsid w:val="0033220C"/>
    <w:rsid w:val="00332AEF"/>
    <w:rsid w:val="00335AE0"/>
    <w:rsid w:val="00335AE7"/>
    <w:rsid w:val="00336A0F"/>
    <w:rsid w:val="00336BB9"/>
    <w:rsid w:val="003375B3"/>
    <w:rsid w:val="00337A85"/>
    <w:rsid w:val="00337CEB"/>
    <w:rsid w:val="003417C5"/>
    <w:rsid w:val="003422C9"/>
    <w:rsid w:val="00343857"/>
    <w:rsid w:val="00343AA1"/>
    <w:rsid w:val="003444D3"/>
    <w:rsid w:val="003446B4"/>
    <w:rsid w:val="00344B58"/>
    <w:rsid w:val="00345046"/>
    <w:rsid w:val="0034539A"/>
    <w:rsid w:val="00345CB4"/>
    <w:rsid w:val="00346981"/>
    <w:rsid w:val="00350CFC"/>
    <w:rsid w:val="00352837"/>
    <w:rsid w:val="00352D1B"/>
    <w:rsid w:val="00354BE7"/>
    <w:rsid w:val="00360108"/>
    <w:rsid w:val="003608FB"/>
    <w:rsid w:val="00360945"/>
    <w:rsid w:val="003614BE"/>
    <w:rsid w:val="00361E13"/>
    <w:rsid w:val="00361EE7"/>
    <w:rsid w:val="0036308D"/>
    <w:rsid w:val="0036333A"/>
    <w:rsid w:val="00363F1D"/>
    <w:rsid w:val="00365DD5"/>
    <w:rsid w:val="0036676C"/>
    <w:rsid w:val="00367C72"/>
    <w:rsid w:val="003708D3"/>
    <w:rsid w:val="003715C6"/>
    <w:rsid w:val="00371AA6"/>
    <w:rsid w:val="00371BC3"/>
    <w:rsid w:val="00371BED"/>
    <w:rsid w:val="003729BC"/>
    <w:rsid w:val="003738DB"/>
    <w:rsid w:val="00375D42"/>
    <w:rsid w:val="0038034D"/>
    <w:rsid w:val="003809A6"/>
    <w:rsid w:val="0038133C"/>
    <w:rsid w:val="00381605"/>
    <w:rsid w:val="00382857"/>
    <w:rsid w:val="00383631"/>
    <w:rsid w:val="00386CFD"/>
    <w:rsid w:val="003870B1"/>
    <w:rsid w:val="003875A2"/>
    <w:rsid w:val="00390455"/>
    <w:rsid w:val="00390788"/>
    <w:rsid w:val="00390C6D"/>
    <w:rsid w:val="00391548"/>
    <w:rsid w:val="00392642"/>
    <w:rsid w:val="003927B5"/>
    <w:rsid w:val="00393FCB"/>
    <w:rsid w:val="0039457B"/>
    <w:rsid w:val="00394DCB"/>
    <w:rsid w:val="00394E87"/>
    <w:rsid w:val="00395760"/>
    <w:rsid w:val="003A0B63"/>
    <w:rsid w:val="003A24D8"/>
    <w:rsid w:val="003A290D"/>
    <w:rsid w:val="003A30C9"/>
    <w:rsid w:val="003A56F6"/>
    <w:rsid w:val="003A6129"/>
    <w:rsid w:val="003A724C"/>
    <w:rsid w:val="003B01DA"/>
    <w:rsid w:val="003B0D23"/>
    <w:rsid w:val="003B0D7E"/>
    <w:rsid w:val="003B2ECC"/>
    <w:rsid w:val="003B39DC"/>
    <w:rsid w:val="003B508E"/>
    <w:rsid w:val="003B54F6"/>
    <w:rsid w:val="003B7066"/>
    <w:rsid w:val="003C1388"/>
    <w:rsid w:val="003C154A"/>
    <w:rsid w:val="003C1F53"/>
    <w:rsid w:val="003C24F1"/>
    <w:rsid w:val="003C2A12"/>
    <w:rsid w:val="003C4DF3"/>
    <w:rsid w:val="003C51FB"/>
    <w:rsid w:val="003C5883"/>
    <w:rsid w:val="003C615E"/>
    <w:rsid w:val="003C6D8A"/>
    <w:rsid w:val="003C70E3"/>
    <w:rsid w:val="003C74ED"/>
    <w:rsid w:val="003C784D"/>
    <w:rsid w:val="003D069C"/>
    <w:rsid w:val="003D0D69"/>
    <w:rsid w:val="003D25B7"/>
    <w:rsid w:val="003D29A3"/>
    <w:rsid w:val="003D2D6E"/>
    <w:rsid w:val="003D4442"/>
    <w:rsid w:val="003D4D6C"/>
    <w:rsid w:val="003D55BB"/>
    <w:rsid w:val="003D5939"/>
    <w:rsid w:val="003D5F0F"/>
    <w:rsid w:val="003D6640"/>
    <w:rsid w:val="003D66F1"/>
    <w:rsid w:val="003D6BCD"/>
    <w:rsid w:val="003D74FA"/>
    <w:rsid w:val="003D7646"/>
    <w:rsid w:val="003D795B"/>
    <w:rsid w:val="003D7E4A"/>
    <w:rsid w:val="003E0074"/>
    <w:rsid w:val="003E05B0"/>
    <w:rsid w:val="003E0F96"/>
    <w:rsid w:val="003E3F4A"/>
    <w:rsid w:val="003E473E"/>
    <w:rsid w:val="003E4C8C"/>
    <w:rsid w:val="003E72BA"/>
    <w:rsid w:val="003E7D3C"/>
    <w:rsid w:val="003F0152"/>
    <w:rsid w:val="003F113A"/>
    <w:rsid w:val="003F32A3"/>
    <w:rsid w:val="003F3E63"/>
    <w:rsid w:val="003F3EE0"/>
    <w:rsid w:val="003F44B1"/>
    <w:rsid w:val="003F4749"/>
    <w:rsid w:val="003F4F03"/>
    <w:rsid w:val="003F76B8"/>
    <w:rsid w:val="003F788B"/>
    <w:rsid w:val="00401C11"/>
    <w:rsid w:val="004025C9"/>
    <w:rsid w:val="00403A78"/>
    <w:rsid w:val="00403D74"/>
    <w:rsid w:val="00404E98"/>
    <w:rsid w:val="004050E2"/>
    <w:rsid w:val="00405703"/>
    <w:rsid w:val="00405E1E"/>
    <w:rsid w:val="00406186"/>
    <w:rsid w:val="00406A5E"/>
    <w:rsid w:val="00407307"/>
    <w:rsid w:val="00407480"/>
    <w:rsid w:val="0040748D"/>
    <w:rsid w:val="004113CF"/>
    <w:rsid w:val="00412120"/>
    <w:rsid w:val="004124EC"/>
    <w:rsid w:val="00413070"/>
    <w:rsid w:val="00413839"/>
    <w:rsid w:val="00414643"/>
    <w:rsid w:val="0041573C"/>
    <w:rsid w:val="004160C6"/>
    <w:rsid w:val="004174A2"/>
    <w:rsid w:val="00417566"/>
    <w:rsid w:val="004213A0"/>
    <w:rsid w:val="00422C73"/>
    <w:rsid w:val="00422F6F"/>
    <w:rsid w:val="004237B2"/>
    <w:rsid w:val="00424C19"/>
    <w:rsid w:val="00424ED7"/>
    <w:rsid w:val="0042523E"/>
    <w:rsid w:val="00427D4C"/>
    <w:rsid w:val="00430EC5"/>
    <w:rsid w:val="00430FB1"/>
    <w:rsid w:val="00431E04"/>
    <w:rsid w:val="004331B4"/>
    <w:rsid w:val="004343EE"/>
    <w:rsid w:val="0043489E"/>
    <w:rsid w:val="00435EED"/>
    <w:rsid w:val="004413DE"/>
    <w:rsid w:val="004421E5"/>
    <w:rsid w:val="00442522"/>
    <w:rsid w:val="00442E92"/>
    <w:rsid w:val="0044388C"/>
    <w:rsid w:val="004445A0"/>
    <w:rsid w:val="00444719"/>
    <w:rsid w:val="00445BC6"/>
    <w:rsid w:val="00447E86"/>
    <w:rsid w:val="00452284"/>
    <w:rsid w:val="004527C8"/>
    <w:rsid w:val="00452B10"/>
    <w:rsid w:val="004532B9"/>
    <w:rsid w:val="00453A18"/>
    <w:rsid w:val="00453B7C"/>
    <w:rsid w:val="00457050"/>
    <w:rsid w:val="004572CB"/>
    <w:rsid w:val="00457C8E"/>
    <w:rsid w:val="00460257"/>
    <w:rsid w:val="00460E37"/>
    <w:rsid w:val="004612FD"/>
    <w:rsid w:val="00461DEF"/>
    <w:rsid w:val="00461F7C"/>
    <w:rsid w:val="004625B6"/>
    <w:rsid w:val="0046495F"/>
    <w:rsid w:val="0046550D"/>
    <w:rsid w:val="00467216"/>
    <w:rsid w:val="004677FD"/>
    <w:rsid w:val="00470125"/>
    <w:rsid w:val="004708E7"/>
    <w:rsid w:val="004711F7"/>
    <w:rsid w:val="00471307"/>
    <w:rsid w:val="004714C6"/>
    <w:rsid w:val="00472D5D"/>
    <w:rsid w:val="00473577"/>
    <w:rsid w:val="00474BFF"/>
    <w:rsid w:val="00476077"/>
    <w:rsid w:val="00476B8F"/>
    <w:rsid w:val="00477B68"/>
    <w:rsid w:val="0048009A"/>
    <w:rsid w:val="004803D0"/>
    <w:rsid w:val="00481192"/>
    <w:rsid w:val="0048149B"/>
    <w:rsid w:val="00481752"/>
    <w:rsid w:val="0048263E"/>
    <w:rsid w:val="0048290E"/>
    <w:rsid w:val="0048456A"/>
    <w:rsid w:val="00484750"/>
    <w:rsid w:val="00485260"/>
    <w:rsid w:val="004854D6"/>
    <w:rsid w:val="004856CA"/>
    <w:rsid w:val="00486AB4"/>
    <w:rsid w:val="00487A71"/>
    <w:rsid w:val="00487E67"/>
    <w:rsid w:val="00487FB3"/>
    <w:rsid w:val="00490219"/>
    <w:rsid w:val="00490DEF"/>
    <w:rsid w:val="00492180"/>
    <w:rsid w:val="00492B37"/>
    <w:rsid w:val="004938A2"/>
    <w:rsid w:val="0049470E"/>
    <w:rsid w:val="0049526C"/>
    <w:rsid w:val="00495326"/>
    <w:rsid w:val="00495CD6"/>
    <w:rsid w:val="0049705E"/>
    <w:rsid w:val="004A09A7"/>
    <w:rsid w:val="004A0DF9"/>
    <w:rsid w:val="004A2875"/>
    <w:rsid w:val="004A3444"/>
    <w:rsid w:val="004A34A0"/>
    <w:rsid w:val="004A3CA8"/>
    <w:rsid w:val="004A4212"/>
    <w:rsid w:val="004A4299"/>
    <w:rsid w:val="004A5C0C"/>
    <w:rsid w:val="004A623F"/>
    <w:rsid w:val="004A6462"/>
    <w:rsid w:val="004A6B2B"/>
    <w:rsid w:val="004A6C50"/>
    <w:rsid w:val="004A72D5"/>
    <w:rsid w:val="004A748B"/>
    <w:rsid w:val="004A7DEE"/>
    <w:rsid w:val="004B2DD1"/>
    <w:rsid w:val="004B38EA"/>
    <w:rsid w:val="004B4ECB"/>
    <w:rsid w:val="004B5711"/>
    <w:rsid w:val="004B6C85"/>
    <w:rsid w:val="004B7C3F"/>
    <w:rsid w:val="004C1D6A"/>
    <w:rsid w:val="004C1FB2"/>
    <w:rsid w:val="004C3881"/>
    <w:rsid w:val="004C3927"/>
    <w:rsid w:val="004C3BB7"/>
    <w:rsid w:val="004C44E1"/>
    <w:rsid w:val="004C46DC"/>
    <w:rsid w:val="004C5E61"/>
    <w:rsid w:val="004C63EA"/>
    <w:rsid w:val="004C65AA"/>
    <w:rsid w:val="004C6CE5"/>
    <w:rsid w:val="004C757D"/>
    <w:rsid w:val="004C7C82"/>
    <w:rsid w:val="004D0F18"/>
    <w:rsid w:val="004D1494"/>
    <w:rsid w:val="004D3148"/>
    <w:rsid w:val="004D50AE"/>
    <w:rsid w:val="004E02D8"/>
    <w:rsid w:val="004E1F60"/>
    <w:rsid w:val="004E2DFE"/>
    <w:rsid w:val="004E5E7D"/>
    <w:rsid w:val="004E6A48"/>
    <w:rsid w:val="004E76F3"/>
    <w:rsid w:val="004F06FA"/>
    <w:rsid w:val="004F116C"/>
    <w:rsid w:val="004F28A5"/>
    <w:rsid w:val="004F305C"/>
    <w:rsid w:val="004F33D5"/>
    <w:rsid w:val="004F3C57"/>
    <w:rsid w:val="004F5051"/>
    <w:rsid w:val="004F6FCB"/>
    <w:rsid w:val="004F773A"/>
    <w:rsid w:val="00500327"/>
    <w:rsid w:val="005007AB"/>
    <w:rsid w:val="005008A8"/>
    <w:rsid w:val="00501B4D"/>
    <w:rsid w:val="00503FA9"/>
    <w:rsid w:val="00504500"/>
    <w:rsid w:val="00505293"/>
    <w:rsid w:val="00505343"/>
    <w:rsid w:val="005058AB"/>
    <w:rsid w:val="00506FD6"/>
    <w:rsid w:val="00507E76"/>
    <w:rsid w:val="005114C7"/>
    <w:rsid w:val="005126EC"/>
    <w:rsid w:val="00513121"/>
    <w:rsid w:val="005153D6"/>
    <w:rsid w:val="00515BC0"/>
    <w:rsid w:val="00517150"/>
    <w:rsid w:val="00517C49"/>
    <w:rsid w:val="00517FD8"/>
    <w:rsid w:val="00521477"/>
    <w:rsid w:val="0052373C"/>
    <w:rsid w:val="005241FA"/>
    <w:rsid w:val="00524645"/>
    <w:rsid w:val="00526B7B"/>
    <w:rsid w:val="00527508"/>
    <w:rsid w:val="005302DE"/>
    <w:rsid w:val="005308CE"/>
    <w:rsid w:val="00530CFF"/>
    <w:rsid w:val="00530F88"/>
    <w:rsid w:val="0053318C"/>
    <w:rsid w:val="00533B95"/>
    <w:rsid w:val="00534582"/>
    <w:rsid w:val="00534F8B"/>
    <w:rsid w:val="00535389"/>
    <w:rsid w:val="005358A2"/>
    <w:rsid w:val="0053609A"/>
    <w:rsid w:val="00536624"/>
    <w:rsid w:val="00536A2F"/>
    <w:rsid w:val="00540970"/>
    <w:rsid w:val="00540FF6"/>
    <w:rsid w:val="00542024"/>
    <w:rsid w:val="00542FD7"/>
    <w:rsid w:val="0054304E"/>
    <w:rsid w:val="00543F14"/>
    <w:rsid w:val="0054464D"/>
    <w:rsid w:val="00544F2F"/>
    <w:rsid w:val="00545554"/>
    <w:rsid w:val="00545A74"/>
    <w:rsid w:val="00545CAD"/>
    <w:rsid w:val="00546DFD"/>
    <w:rsid w:val="0054788F"/>
    <w:rsid w:val="0055038E"/>
    <w:rsid w:val="005524B1"/>
    <w:rsid w:val="005531DB"/>
    <w:rsid w:val="00554056"/>
    <w:rsid w:val="00555037"/>
    <w:rsid w:val="00556152"/>
    <w:rsid w:val="005567F4"/>
    <w:rsid w:val="00557FB6"/>
    <w:rsid w:val="00560B19"/>
    <w:rsid w:val="00561E39"/>
    <w:rsid w:val="00562038"/>
    <w:rsid w:val="00562762"/>
    <w:rsid w:val="005627FC"/>
    <w:rsid w:val="005637BC"/>
    <w:rsid w:val="005639AB"/>
    <w:rsid w:val="00563C59"/>
    <w:rsid w:val="00564B21"/>
    <w:rsid w:val="00565062"/>
    <w:rsid w:val="005650B5"/>
    <w:rsid w:val="00565AAB"/>
    <w:rsid w:val="00566E7D"/>
    <w:rsid w:val="00567DA0"/>
    <w:rsid w:val="00570334"/>
    <w:rsid w:val="00571D18"/>
    <w:rsid w:val="00573336"/>
    <w:rsid w:val="005737BF"/>
    <w:rsid w:val="00573D9C"/>
    <w:rsid w:val="0057439C"/>
    <w:rsid w:val="00574E98"/>
    <w:rsid w:val="0057505E"/>
    <w:rsid w:val="005761F6"/>
    <w:rsid w:val="005776F3"/>
    <w:rsid w:val="005812F2"/>
    <w:rsid w:val="0058131D"/>
    <w:rsid w:val="005816B6"/>
    <w:rsid w:val="00581AAD"/>
    <w:rsid w:val="00581BB9"/>
    <w:rsid w:val="00581E3C"/>
    <w:rsid w:val="00582507"/>
    <w:rsid w:val="005832D2"/>
    <w:rsid w:val="00583C92"/>
    <w:rsid w:val="00584480"/>
    <w:rsid w:val="0058527C"/>
    <w:rsid w:val="005875F8"/>
    <w:rsid w:val="00587C88"/>
    <w:rsid w:val="00587DDD"/>
    <w:rsid w:val="005908EF"/>
    <w:rsid w:val="00590993"/>
    <w:rsid w:val="00590AAD"/>
    <w:rsid w:val="00590B74"/>
    <w:rsid w:val="005914DA"/>
    <w:rsid w:val="0059183F"/>
    <w:rsid w:val="00591B8C"/>
    <w:rsid w:val="00592508"/>
    <w:rsid w:val="00592A2C"/>
    <w:rsid w:val="00592CA4"/>
    <w:rsid w:val="0059380B"/>
    <w:rsid w:val="00594519"/>
    <w:rsid w:val="0059489A"/>
    <w:rsid w:val="00594D33"/>
    <w:rsid w:val="0059514F"/>
    <w:rsid w:val="00595291"/>
    <w:rsid w:val="00595B1C"/>
    <w:rsid w:val="00596D39"/>
    <w:rsid w:val="00597808"/>
    <w:rsid w:val="005A0A0A"/>
    <w:rsid w:val="005A3397"/>
    <w:rsid w:val="005A3C88"/>
    <w:rsid w:val="005A4064"/>
    <w:rsid w:val="005A407B"/>
    <w:rsid w:val="005A6720"/>
    <w:rsid w:val="005B0127"/>
    <w:rsid w:val="005B1487"/>
    <w:rsid w:val="005B3743"/>
    <w:rsid w:val="005B44D3"/>
    <w:rsid w:val="005B506F"/>
    <w:rsid w:val="005B71E3"/>
    <w:rsid w:val="005B7A35"/>
    <w:rsid w:val="005C0094"/>
    <w:rsid w:val="005C0BB3"/>
    <w:rsid w:val="005C0D9C"/>
    <w:rsid w:val="005C1F37"/>
    <w:rsid w:val="005C200E"/>
    <w:rsid w:val="005C2249"/>
    <w:rsid w:val="005C3150"/>
    <w:rsid w:val="005C4B73"/>
    <w:rsid w:val="005C4ECA"/>
    <w:rsid w:val="005C59FE"/>
    <w:rsid w:val="005C5E78"/>
    <w:rsid w:val="005C638C"/>
    <w:rsid w:val="005C73B3"/>
    <w:rsid w:val="005C7415"/>
    <w:rsid w:val="005C7EC6"/>
    <w:rsid w:val="005D09A0"/>
    <w:rsid w:val="005D0C1C"/>
    <w:rsid w:val="005D105B"/>
    <w:rsid w:val="005D12FB"/>
    <w:rsid w:val="005D3B4A"/>
    <w:rsid w:val="005D49E3"/>
    <w:rsid w:val="005D546C"/>
    <w:rsid w:val="005D5B58"/>
    <w:rsid w:val="005E05A6"/>
    <w:rsid w:val="005E0B0E"/>
    <w:rsid w:val="005E18E4"/>
    <w:rsid w:val="005E1B31"/>
    <w:rsid w:val="005E1D2B"/>
    <w:rsid w:val="005E1EFC"/>
    <w:rsid w:val="005E3042"/>
    <w:rsid w:val="005E354A"/>
    <w:rsid w:val="005E3D6D"/>
    <w:rsid w:val="005E7074"/>
    <w:rsid w:val="005E7D02"/>
    <w:rsid w:val="005F0E8E"/>
    <w:rsid w:val="005F1073"/>
    <w:rsid w:val="005F1639"/>
    <w:rsid w:val="005F16C3"/>
    <w:rsid w:val="005F23EF"/>
    <w:rsid w:val="005F2723"/>
    <w:rsid w:val="005F2BAF"/>
    <w:rsid w:val="005F3E55"/>
    <w:rsid w:val="005F5F91"/>
    <w:rsid w:val="005F6C57"/>
    <w:rsid w:val="005F6F98"/>
    <w:rsid w:val="005F79DA"/>
    <w:rsid w:val="00600A50"/>
    <w:rsid w:val="00600D93"/>
    <w:rsid w:val="00601801"/>
    <w:rsid w:val="006020AD"/>
    <w:rsid w:val="00603267"/>
    <w:rsid w:val="00606E44"/>
    <w:rsid w:val="00611639"/>
    <w:rsid w:val="006123F3"/>
    <w:rsid w:val="006134C8"/>
    <w:rsid w:val="00614319"/>
    <w:rsid w:val="006157C5"/>
    <w:rsid w:val="006164C4"/>
    <w:rsid w:val="00617A1E"/>
    <w:rsid w:val="00621CBD"/>
    <w:rsid w:val="00621F57"/>
    <w:rsid w:val="00623573"/>
    <w:rsid w:val="00623779"/>
    <w:rsid w:val="00623BC2"/>
    <w:rsid w:val="00625097"/>
    <w:rsid w:val="00626BEA"/>
    <w:rsid w:val="00627E34"/>
    <w:rsid w:val="00632721"/>
    <w:rsid w:val="006329D2"/>
    <w:rsid w:val="0063300C"/>
    <w:rsid w:val="0063324B"/>
    <w:rsid w:val="006339E0"/>
    <w:rsid w:val="00634471"/>
    <w:rsid w:val="00634FDA"/>
    <w:rsid w:val="0063555F"/>
    <w:rsid w:val="00637CC8"/>
    <w:rsid w:val="00637FCD"/>
    <w:rsid w:val="00640084"/>
    <w:rsid w:val="00643866"/>
    <w:rsid w:val="00644644"/>
    <w:rsid w:val="00650FD3"/>
    <w:rsid w:val="00651A5B"/>
    <w:rsid w:val="006525BA"/>
    <w:rsid w:val="00652698"/>
    <w:rsid w:val="0065280B"/>
    <w:rsid w:val="00653BF3"/>
    <w:rsid w:val="00654218"/>
    <w:rsid w:val="006544DE"/>
    <w:rsid w:val="00655736"/>
    <w:rsid w:val="00656243"/>
    <w:rsid w:val="0065769A"/>
    <w:rsid w:val="006577F4"/>
    <w:rsid w:val="00657BC6"/>
    <w:rsid w:val="00660102"/>
    <w:rsid w:val="00660BAB"/>
    <w:rsid w:val="0066159F"/>
    <w:rsid w:val="006615F3"/>
    <w:rsid w:val="006623E4"/>
    <w:rsid w:val="00662519"/>
    <w:rsid w:val="00662AAD"/>
    <w:rsid w:val="00663B8D"/>
    <w:rsid w:val="006640EF"/>
    <w:rsid w:val="00664B42"/>
    <w:rsid w:val="00664C3B"/>
    <w:rsid w:val="0066520A"/>
    <w:rsid w:val="0067087A"/>
    <w:rsid w:val="00670B87"/>
    <w:rsid w:val="00671D1F"/>
    <w:rsid w:val="0067218F"/>
    <w:rsid w:val="00672407"/>
    <w:rsid w:val="00672F5A"/>
    <w:rsid w:val="00674F26"/>
    <w:rsid w:val="00680058"/>
    <w:rsid w:val="006814DD"/>
    <w:rsid w:val="006837E1"/>
    <w:rsid w:val="00683EEF"/>
    <w:rsid w:val="006841CE"/>
    <w:rsid w:val="00687261"/>
    <w:rsid w:val="0069120B"/>
    <w:rsid w:val="00691F57"/>
    <w:rsid w:val="0069289F"/>
    <w:rsid w:val="006929AC"/>
    <w:rsid w:val="006931FA"/>
    <w:rsid w:val="00694CDA"/>
    <w:rsid w:val="00695808"/>
    <w:rsid w:val="00695A06"/>
    <w:rsid w:val="00695C8C"/>
    <w:rsid w:val="006963E5"/>
    <w:rsid w:val="00696604"/>
    <w:rsid w:val="00696C8D"/>
    <w:rsid w:val="00697891"/>
    <w:rsid w:val="00697BC5"/>
    <w:rsid w:val="006A031E"/>
    <w:rsid w:val="006A1BC9"/>
    <w:rsid w:val="006A296F"/>
    <w:rsid w:val="006A2AC2"/>
    <w:rsid w:val="006A3196"/>
    <w:rsid w:val="006A3617"/>
    <w:rsid w:val="006A48AB"/>
    <w:rsid w:val="006A4B70"/>
    <w:rsid w:val="006A4CAA"/>
    <w:rsid w:val="006B0D97"/>
    <w:rsid w:val="006B2C2E"/>
    <w:rsid w:val="006B428F"/>
    <w:rsid w:val="006B4452"/>
    <w:rsid w:val="006B4966"/>
    <w:rsid w:val="006B5D77"/>
    <w:rsid w:val="006B6587"/>
    <w:rsid w:val="006B7C58"/>
    <w:rsid w:val="006C0253"/>
    <w:rsid w:val="006C0942"/>
    <w:rsid w:val="006C0C64"/>
    <w:rsid w:val="006C2B52"/>
    <w:rsid w:val="006C2DBF"/>
    <w:rsid w:val="006C3C1E"/>
    <w:rsid w:val="006C4C16"/>
    <w:rsid w:val="006C5484"/>
    <w:rsid w:val="006C588D"/>
    <w:rsid w:val="006C7393"/>
    <w:rsid w:val="006D0303"/>
    <w:rsid w:val="006D0A3B"/>
    <w:rsid w:val="006D175F"/>
    <w:rsid w:val="006D326A"/>
    <w:rsid w:val="006D430D"/>
    <w:rsid w:val="006D4435"/>
    <w:rsid w:val="006D4E33"/>
    <w:rsid w:val="006D4F94"/>
    <w:rsid w:val="006D7414"/>
    <w:rsid w:val="006E082F"/>
    <w:rsid w:val="006E0EA2"/>
    <w:rsid w:val="006E0F5C"/>
    <w:rsid w:val="006E16AD"/>
    <w:rsid w:val="006E3201"/>
    <w:rsid w:val="006E34BF"/>
    <w:rsid w:val="006E46E4"/>
    <w:rsid w:val="006E4908"/>
    <w:rsid w:val="006E4B92"/>
    <w:rsid w:val="006E505B"/>
    <w:rsid w:val="006E56D8"/>
    <w:rsid w:val="006E5C60"/>
    <w:rsid w:val="006E5CDB"/>
    <w:rsid w:val="006E65B4"/>
    <w:rsid w:val="006E6826"/>
    <w:rsid w:val="006E7081"/>
    <w:rsid w:val="006E7394"/>
    <w:rsid w:val="006E75EB"/>
    <w:rsid w:val="006E787F"/>
    <w:rsid w:val="006F04F6"/>
    <w:rsid w:val="006F0DAD"/>
    <w:rsid w:val="006F19C1"/>
    <w:rsid w:val="006F34B9"/>
    <w:rsid w:val="006F4127"/>
    <w:rsid w:val="006F4A0A"/>
    <w:rsid w:val="006F4E06"/>
    <w:rsid w:val="006F5AD5"/>
    <w:rsid w:val="006F62E0"/>
    <w:rsid w:val="006F6405"/>
    <w:rsid w:val="006F6698"/>
    <w:rsid w:val="006F6FDE"/>
    <w:rsid w:val="006F7161"/>
    <w:rsid w:val="006F7511"/>
    <w:rsid w:val="00701F62"/>
    <w:rsid w:val="00701FD6"/>
    <w:rsid w:val="00703552"/>
    <w:rsid w:val="007046FA"/>
    <w:rsid w:val="00705E3C"/>
    <w:rsid w:val="00705E4C"/>
    <w:rsid w:val="007065A3"/>
    <w:rsid w:val="00707493"/>
    <w:rsid w:val="007076DD"/>
    <w:rsid w:val="00710562"/>
    <w:rsid w:val="0071058F"/>
    <w:rsid w:val="00710A4F"/>
    <w:rsid w:val="00711271"/>
    <w:rsid w:val="007119ED"/>
    <w:rsid w:val="00711C32"/>
    <w:rsid w:val="007128C7"/>
    <w:rsid w:val="00712DAD"/>
    <w:rsid w:val="0071338B"/>
    <w:rsid w:val="007137FC"/>
    <w:rsid w:val="00713D18"/>
    <w:rsid w:val="00714BF7"/>
    <w:rsid w:val="0071547D"/>
    <w:rsid w:val="007156FE"/>
    <w:rsid w:val="00715A48"/>
    <w:rsid w:val="00715E7D"/>
    <w:rsid w:val="00717DA5"/>
    <w:rsid w:val="007222F7"/>
    <w:rsid w:val="007263C2"/>
    <w:rsid w:val="00731280"/>
    <w:rsid w:val="00733026"/>
    <w:rsid w:val="007344B9"/>
    <w:rsid w:val="007351F5"/>
    <w:rsid w:val="007369FE"/>
    <w:rsid w:val="0074043A"/>
    <w:rsid w:val="00743CA8"/>
    <w:rsid w:val="00744357"/>
    <w:rsid w:val="00744484"/>
    <w:rsid w:val="00744B1B"/>
    <w:rsid w:val="007450CD"/>
    <w:rsid w:val="00746ECC"/>
    <w:rsid w:val="00746FF4"/>
    <w:rsid w:val="00747566"/>
    <w:rsid w:val="00747695"/>
    <w:rsid w:val="00751B8F"/>
    <w:rsid w:val="00751D23"/>
    <w:rsid w:val="007536CA"/>
    <w:rsid w:val="00753C38"/>
    <w:rsid w:val="007555D6"/>
    <w:rsid w:val="0075719B"/>
    <w:rsid w:val="0076023E"/>
    <w:rsid w:val="00762D55"/>
    <w:rsid w:val="0076330F"/>
    <w:rsid w:val="007634E2"/>
    <w:rsid w:val="00763667"/>
    <w:rsid w:val="00764307"/>
    <w:rsid w:val="007643F7"/>
    <w:rsid w:val="007654F3"/>
    <w:rsid w:val="007670A1"/>
    <w:rsid w:val="00767DE1"/>
    <w:rsid w:val="00767F02"/>
    <w:rsid w:val="00771E87"/>
    <w:rsid w:val="007729F8"/>
    <w:rsid w:val="00773188"/>
    <w:rsid w:val="0077494D"/>
    <w:rsid w:val="0077539C"/>
    <w:rsid w:val="00775B22"/>
    <w:rsid w:val="0077631F"/>
    <w:rsid w:val="00776F5D"/>
    <w:rsid w:val="00777581"/>
    <w:rsid w:val="00781B3E"/>
    <w:rsid w:val="007828D0"/>
    <w:rsid w:val="00783782"/>
    <w:rsid w:val="00783FFE"/>
    <w:rsid w:val="00784B8C"/>
    <w:rsid w:val="00784E6B"/>
    <w:rsid w:val="0078733F"/>
    <w:rsid w:val="007879E1"/>
    <w:rsid w:val="00787EC2"/>
    <w:rsid w:val="007908BE"/>
    <w:rsid w:val="007934F3"/>
    <w:rsid w:val="0079595F"/>
    <w:rsid w:val="00797772"/>
    <w:rsid w:val="007A022A"/>
    <w:rsid w:val="007A08A9"/>
    <w:rsid w:val="007A0EBC"/>
    <w:rsid w:val="007A2C04"/>
    <w:rsid w:val="007A2C99"/>
    <w:rsid w:val="007A4324"/>
    <w:rsid w:val="007A4FDB"/>
    <w:rsid w:val="007A5212"/>
    <w:rsid w:val="007A556B"/>
    <w:rsid w:val="007A63E0"/>
    <w:rsid w:val="007B046F"/>
    <w:rsid w:val="007B0C85"/>
    <w:rsid w:val="007B21B2"/>
    <w:rsid w:val="007B2B8D"/>
    <w:rsid w:val="007B3049"/>
    <w:rsid w:val="007B328F"/>
    <w:rsid w:val="007B3E03"/>
    <w:rsid w:val="007B40D6"/>
    <w:rsid w:val="007B7945"/>
    <w:rsid w:val="007B7AEC"/>
    <w:rsid w:val="007B7CC1"/>
    <w:rsid w:val="007C095B"/>
    <w:rsid w:val="007C29B9"/>
    <w:rsid w:val="007C3058"/>
    <w:rsid w:val="007C79FF"/>
    <w:rsid w:val="007C7AAA"/>
    <w:rsid w:val="007D0000"/>
    <w:rsid w:val="007D0814"/>
    <w:rsid w:val="007D0CAC"/>
    <w:rsid w:val="007D1146"/>
    <w:rsid w:val="007D27E3"/>
    <w:rsid w:val="007D477C"/>
    <w:rsid w:val="007D5073"/>
    <w:rsid w:val="007D57BC"/>
    <w:rsid w:val="007D76F9"/>
    <w:rsid w:val="007D7E2D"/>
    <w:rsid w:val="007E023E"/>
    <w:rsid w:val="007E02CE"/>
    <w:rsid w:val="007E3DBD"/>
    <w:rsid w:val="007E4826"/>
    <w:rsid w:val="007E496F"/>
    <w:rsid w:val="007E4C3A"/>
    <w:rsid w:val="007E4C75"/>
    <w:rsid w:val="007E4FE8"/>
    <w:rsid w:val="007E5410"/>
    <w:rsid w:val="007E5893"/>
    <w:rsid w:val="007E6623"/>
    <w:rsid w:val="007E6EB4"/>
    <w:rsid w:val="007E7285"/>
    <w:rsid w:val="007E7886"/>
    <w:rsid w:val="007F0148"/>
    <w:rsid w:val="007F0151"/>
    <w:rsid w:val="007F041D"/>
    <w:rsid w:val="007F106A"/>
    <w:rsid w:val="007F1E46"/>
    <w:rsid w:val="007F2165"/>
    <w:rsid w:val="007F21EC"/>
    <w:rsid w:val="007F3674"/>
    <w:rsid w:val="007F3BF1"/>
    <w:rsid w:val="0080166A"/>
    <w:rsid w:val="0080176F"/>
    <w:rsid w:val="0080314B"/>
    <w:rsid w:val="00803291"/>
    <w:rsid w:val="00803AC6"/>
    <w:rsid w:val="00803F16"/>
    <w:rsid w:val="008058F4"/>
    <w:rsid w:val="00805945"/>
    <w:rsid w:val="00805C68"/>
    <w:rsid w:val="00805FF1"/>
    <w:rsid w:val="008061A3"/>
    <w:rsid w:val="00806647"/>
    <w:rsid w:val="008077C9"/>
    <w:rsid w:val="008117BF"/>
    <w:rsid w:val="0081239E"/>
    <w:rsid w:val="00812767"/>
    <w:rsid w:val="00813354"/>
    <w:rsid w:val="00813357"/>
    <w:rsid w:val="0081345F"/>
    <w:rsid w:val="00813E6D"/>
    <w:rsid w:val="00815BEF"/>
    <w:rsid w:val="008173E2"/>
    <w:rsid w:val="008174CA"/>
    <w:rsid w:val="00817DC5"/>
    <w:rsid w:val="008218FC"/>
    <w:rsid w:val="00823263"/>
    <w:rsid w:val="00823494"/>
    <w:rsid w:val="00823576"/>
    <w:rsid w:val="00823A11"/>
    <w:rsid w:val="008252BA"/>
    <w:rsid w:val="008307B8"/>
    <w:rsid w:val="008317BA"/>
    <w:rsid w:val="0083254A"/>
    <w:rsid w:val="00833015"/>
    <w:rsid w:val="008350F5"/>
    <w:rsid w:val="0083567A"/>
    <w:rsid w:val="00835C52"/>
    <w:rsid w:val="00835FBE"/>
    <w:rsid w:val="008408C3"/>
    <w:rsid w:val="00843020"/>
    <w:rsid w:val="00843296"/>
    <w:rsid w:val="00843B7A"/>
    <w:rsid w:val="00843FC8"/>
    <w:rsid w:val="00844832"/>
    <w:rsid w:val="00844B17"/>
    <w:rsid w:val="00847423"/>
    <w:rsid w:val="00850064"/>
    <w:rsid w:val="008508EB"/>
    <w:rsid w:val="0085112E"/>
    <w:rsid w:val="00851234"/>
    <w:rsid w:val="00852724"/>
    <w:rsid w:val="0085307C"/>
    <w:rsid w:val="00853B84"/>
    <w:rsid w:val="0085405E"/>
    <w:rsid w:val="0085414A"/>
    <w:rsid w:val="00854AE1"/>
    <w:rsid w:val="00855677"/>
    <w:rsid w:val="00855936"/>
    <w:rsid w:val="008559D7"/>
    <w:rsid w:val="00855B3E"/>
    <w:rsid w:val="00855ED2"/>
    <w:rsid w:val="00856023"/>
    <w:rsid w:val="0085697A"/>
    <w:rsid w:val="00856A95"/>
    <w:rsid w:val="00857CE4"/>
    <w:rsid w:val="00857EB9"/>
    <w:rsid w:val="0086093B"/>
    <w:rsid w:val="00861507"/>
    <w:rsid w:val="00861984"/>
    <w:rsid w:val="0086269D"/>
    <w:rsid w:val="008635D8"/>
    <w:rsid w:val="008643AF"/>
    <w:rsid w:val="0086543A"/>
    <w:rsid w:val="0086613B"/>
    <w:rsid w:val="00867957"/>
    <w:rsid w:val="00870F8A"/>
    <w:rsid w:val="0087234E"/>
    <w:rsid w:val="008724E5"/>
    <w:rsid w:val="00872579"/>
    <w:rsid w:val="0087361D"/>
    <w:rsid w:val="0087416A"/>
    <w:rsid w:val="00874CD6"/>
    <w:rsid w:val="00876F3C"/>
    <w:rsid w:val="00877C27"/>
    <w:rsid w:val="008819A8"/>
    <w:rsid w:val="00882C80"/>
    <w:rsid w:val="00884A9D"/>
    <w:rsid w:val="0088500E"/>
    <w:rsid w:val="0088512B"/>
    <w:rsid w:val="00885CB0"/>
    <w:rsid w:val="00887ABD"/>
    <w:rsid w:val="00892793"/>
    <w:rsid w:val="008928AE"/>
    <w:rsid w:val="00894D91"/>
    <w:rsid w:val="008966E5"/>
    <w:rsid w:val="0089675D"/>
    <w:rsid w:val="008A014D"/>
    <w:rsid w:val="008A0BB4"/>
    <w:rsid w:val="008A212E"/>
    <w:rsid w:val="008A2569"/>
    <w:rsid w:val="008A2B2D"/>
    <w:rsid w:val="008A2D96"/>
    <w:rsid w:val="008A3DE8"/>
    <w:rsid w:val="008A4111"/>
    <w:rsid w:val="008A48F6"/>
    <w:rsid w:val="008A4E1E"/>
    <w:rsid w:val="008A5A89"/>
    <w:rsid w:val="008A743D"/>
    <w:rsid w:val="008A758C"/>
    <w:rsid w:val="008A7CC2"/>
    <w:rsid w:val="008B077F"/>
    <w:rsid w:val="008B088A"/>
    <w:rsid w:val="008B15D1"/>
    <w:rsid w:val="008B2AA7"/>
    <w:rsid w:val="008B30EE"/>
    <w:rsid w:val="008B4634"/>
    <w:rsid w:val="008B4887"/>
    <w:rsid w:val="008B526C"/>
    <w:rsid w:val="008B5BC0"/>
    <w:rsid w:val="008B7827"/>
    <w:rsid w:val="008B7F7F"/>
    <w:rsid w:val="008C01DE"/>
    <w:rsid w:val="008C0426"/>
    <w:rsid w:val="008C110B"/>
    <w:rsid w:val="008C1919"/>
    <w:rsid w:val="008C195F"/>
    <w:rsid w:val="008C23B4"/>
    <w:rsid w:val="008C296C"/>
    <w:rsid w:val="008C7023"/>
    <w:rsid w:val="008C730D"/>
    <w:rsid w:val="008C7FBD"/>
    <w:rsid w:val="008D041C"/>
    <w:rsid w:val="008D4305"/>
    <w:rsid w:val="008D4716"/>
    <w:rsid w:val="008D6B45"/>
    <w:rsid w:val="008D6CDF"/>
    <w:rsid w:val="008D6D15"/>
    <w:rsid w:val="008E0426"/>
    <w:rsid w:val="008E0B6E"/>
    <w:rsid w:val="008E1A85"/>
    <w:rsid w:val="008E2C69"/>
    <w:rsid w:val="008E2FCC"/>
    <w:rsid w:val="008E3C87"/>
    <w:rsid w:val="008E4473"/>
    <w:rsid w:val="008E63B7"/>
    <w:rsid w:val="008E7F5A"/>
    <w:rsid w:val="008F089E"/>
    <w:rsid w:val="008F0FE3"/>
    <w:rsid w:val="008F1A9A"/>
    <w:rsid w:val="008F1DD7"/>
    <w:rsid w:val="008F34A4"/>
    <w:rsid w:val="008F4DB5"/>
    <w:rsid w:val="008F4E3F"/>
    <w:rsid w:val="008F5AC1"/>
    <w:rsid w:val="008F6602"/>
    <w:rsid w:val="008F7252"/>
    <w:rsid w:val="00900529"/>
    <w:rsid w:val="00900866"/>
    <w:rsid w:val="009012EB"/>
    <w:rsid w:val="00901915"/>
    <w:rsid w:val="009033F8"/>
    <w:rsid w:val="009052B7"/>
    <w:rsid w:val="00906837"/>
    <w:rsid w:val="0090778B"/>
    <w:rsid w:val="009105EA"/>
    <w:rsid w:val="00913925"/>
    <w:rsid w:val="00913A51"/>
    <w:rsid w:val="00914DFF"/>
    <w:rsid w:val="0091504A"/>
    <w:rsid w:val="009150FF"/>
    <w:rsid w:val="009163A7"/>
    <w:rsid w:val="009176CD"/>
    <w:rsid w:val="0092121B"/>
    <w:rsid w:val="0092183B"/>
    <w:rsid w:val="00922514"/>
    <w:rsid w:val="009228CD"/>
    <w:rsid w:val="00922E0D"/>
    <w:rsid w:val="009240EB"/>
    <w:rsid w:val="00924412"/>
    <w:rsid w:val="009255B1"/>
    <w:rsid w:val="0092574B"/>
    <w:rsid w:val="00926291"/>
    <w:rsid w:val="0093024D"/>
    <w:rsid w:val="00931650"/>
    <w:rsid w:val="00933C47"/>
    <w:rsid w:val="00933C8B"/>
    <w:rsid w:val="009351BF"/>
    <w:rsid w:val="00940E64"/>
    <w:rsid w:val="00940F93"/>
    <w:rsid w:val="00941812"/>
    <w:rsid w:val="00942FE1"/>
    <w:rsid w:val="00944A1D"/>
    <w:rsid w:val="0094500F"/>
    <w:rsid w:val="00945BF2"/>
    <w:rsid w:val="00946D0B"/>
    <w:rsid w:val="00946F5B"/>
    <w:rsid w:val="0095106F"/>
    <w:rsid w:val="00951FA6"/>
    <w:rsid w:val="009526F0"/>
    <w:rsid w:val="009534DB"/>
    <w:rsid w:val="009535D5"/>
    <w:rsid w:val="00953A90"/>
    <w:rsid w:val="00954B1E"/>
    <w:rsid w:val="00955877"/>
    <w:rsid w:val="009560DF"/>
    <w:rsid w:val="0095691C"/>
    <w:rsid w:val="00956B26"/>
    <w:rsid w:val="00956BBF"/>
    <w:rsid w:val="009574EB"/>
    <w:rsid w:val="00961F12"/>
    <w:rsid w:val="00967C31"/>
    <w:rsid w:val="00967DE2"/>
    <w:rsid w:val="00967F6E"/>
    <w:rsid w:val="0097199A"/>
    <w:rsid w:val="0097323C"/>
    <w:rsid w:val="0097335F"/>
    <w:rsid w:val="00973615"/>
    <w:rsid w:val="00973DFD"/>
    <w:rsid w:val="009744CB"/>
    <w:rsid w:val="009748CA"/>
    <w:rsid w:val="00980432"/>
    <w:rsid w:val="00980710"/>
    <w:rsid w:val="00984D25"/>
    <w:rsid w:val="00985C7E"/>
    <w:rsid w:val="009865FD"/>
    <w:rsid w:val="009866DA"/>
    <w:rsid w:val="0098705A"/>
    <w:rsid w:val="009912B0"/>
    <w:rsid w:val="009912EF"/>
    <w:rsid w:val="00991F86"/>
    <w:rsid w:val="00992723"/>
    <w:rsid w:val="0099369D"/>
    <w:rsid w:val="0099457F"/>
    <w:rsid w:val="009945DC"/>
    <w:rsid w:val="00994BB0"/>
    <w:rsid w:val="00994CA3"/>
    <w:rsid w:val="0099520B"/>
    <w:rsid w:val="009960A0"/>
    <w:rsid w:val="00996135"/>
    <w:rsid w:val="00997700"/>
    <w:rsid w:val="009A18CD"/>
    <w:rsid w:val="009A2260"/>
    <w:rsid w:val="009A57DA"/>
    <w:rsid w:val="009A619E"/>
    <w:rsid w:val="009A6CA3"/>
    <w:rsid w:val="009A6CC3"/>
    <w:rsid w:val="009A723F"/>
    <w:rsid w:val="009A7726"/>
    <w:rsid w:val="009B0670"/>
    <w:rsid w:val="009B106A"/>
    <w:rsid w:val="009B11FA"/>
    <w:rsid w:val="009B1765"/>
    <w:rsid w:val="009B200E"/>
    <w:rsid w:val="009B3F8E"/>
    <w:rsid w:val="009B4533"/>
    <w:rsid w:val="009B4E83"/>
    <w:rsid w:val="009B5EB9"/>
    <w:rsid w:val="009B64D7"/>
    <w:rsid w:val="009B6AFF"/>
    <w:rsid w:val="009B6BBC"/>
    <w:rsid w:val="009B6E06"/>
    <w:rsid w:val="009B6F7D"/>
    <w:rsid w:val="009C0B87"/>
    <w:rsid w:val="009C104C"/>
    <w:rsid w:val="009C284B"/>
    <w:rsid w:val="009C2873"/>
    <w:rsid w:val="009C4507"/>
    <w:rsid w:val="009C4722"/>
    <w:rsid w:val="009C6216"/>
    <w:rsid w:val="009C70FD"/>
    <w:rsid w:val="009D1911"/>
    <w:rsid w:val="009D1C97"/>
    <w:rsid w:val="009D330D"/>
    <w:rsid w:val="009D3406"/>
    <w:rsid w:val="009D49F9"/>
    <w:rsid w:val="009D5428"/>
    <w:rsid w:val="009D69C3"/>
    <w:rsid w:val="009E1CCA"/>
    <w:rsid w:val="009E4491"/>
    <w:rsid w:val="009E5329"/>
    <w:rsid w:val="009E56E5"/>
    <w:rsid w:val="009E5A93"/>
    <w:rsid w:val="009E7A45"/>
    <w:rsid w:val="009F059E"/>
    <w:rsid w:val="009F4544"/>
    <w:rsid w:val="009F4ACD"/>
    <w:rsid w:val="009F4DD5"/>
    <w:rsid w:val="009F7954"/>
    <w:rsid w:val="009F7AA3"/>
    <w:rsid w:val="00A00324"/>
    <w:rsid w:val="00A005CA"/>
    <w:rsid w:val="00A00D88"/>
    <w:rsid w:val="00A02827"/>
    <w:rsid w:val="00A02ED7"/>
    <w:rsid w:val="00A02FAC"/>
    <w:rsid w:val="00A03370"/>
    <w:rsid w:val="00A037A8"/>
    <w:rsid w:val="00A03BF8"/>
    <w:rsid w:val="00A06C1B"/>
    <w:rsid w:val="00A0755E"/>
    <w:rsid w:val="00A102CB"/>
    <w:rsid w:val="00A1152B"/>
    <w:rsid w:val="00A12558"/>
    <w:rsid w:val="00A1259D"/>
    <w:rsid w:val="00A128F0"/>
    <w:rsid w:val="00A13340"/>
    <w:rsid w:val="00A13903"/>
    <w:rsid w:val="00A13B8E"/>
    <w:rsid w:val="00A155F6"/>
    <w:rsid w:val="00A15B84"/>
    <w:rsid w:val="00A2169D"/>
    <w:rsid w:val="00A22AE5"/>
    <w:rsid w:val="00A23645"/>
    <w:rsid w:val="00A24A3B"/>
    <w:rsid w:val="00A24FFA"/>
    <w:rsid w:val="00A25466"/>
    <w:rsid w:val="00A26AAF"/>
    <w:rsid w:val="00A302F0"/>
    <w:rsid w:val="00A30425"/>
    <w:rsid w:val="00A30517"/>
    <w:rsid w:val="00A30C56"/>
    <w:rsid w:val="00A317EC"/>
    <w:rsid w:val="00A34ED5"/>
    <w:rsid w:val="00A35661"/>
    <w:rsid w:val="00A36821"/>
    <w:rsid w:val="00A40497"/>
    <w:rsid w:val="00A418D0"/>
    <w:rsid w:val="00A4352F"/>
    <w:rsid w:val="00A43A29"/>
    <w:rsid w:val="00A440E2"/>
    <w:rsid w:val="00A446E0"/>
    <w:rsid w:val="00A44B92"/>
    <w:rsid w:val="00A44C64"/>
    <w:rsid w:val="00A454DC"/>
    <w:rsid w:val="00A45DBF"/>
    <w:rsid w:val="00A46453"/>
    <w:rsid w:val="00A52423"/>
    <w:rsid w:val="00A539A7"/>
    <w:rsid w:val="00A55757"/>
    <w:rsid w:val="00A600B8"/>
    <w:rsid w:val="00A60593"/>
    <w:rsid w:val="00A60A96"/>
    <w:rsid w:val="00A60DCA"/>
    <w:rsid w:val="00A61327"/>
    <w:rsid w:val="00A61840"/>
    <w:rsid w:val="00A62DA8"/>
    <w:rsid w:val="00A62F5B"/>
    <w:rsid w:val="00A6509E"/>
    <w:rsid w:val="00A66C82"/>
    <w:rsid w:val="00A66F7E"/>
    <w:rsid w:val="00A67574"/>
    <w:rsid w:val="00A725CF"/>
    <w:rsid w:val="00A755A2"/>
    <w:rsid w:val="00A75798"/>
    <w:rsid w:val="00A7584C"/>
    <w:rsid w:val="00A768EA"/>
    <w:rsid w:val="00A77A3E"/>
    <w:rsid w:val="00A77D3C"/>
    <w:rsid w:val="00A8060C"/>
    <w:rsid w:val="00A81143"/>
    <w:rsid w:val="00A833CB"/>
    <w:rsid w:val="00A83B68"/>
    <w:rsid w:val="00A857CF"/>
    <w:rsid w:val="00A86124"/>
    <w:rsid w:val="00A86C41"/>
    <w:rsid w:val="00A871AC"/>
    <w:rsid w:val="00A87635"/>
    <w:rsid w:val="00A87AD9"/>
    <w:rsid w:val="00A90E5D"/>
    <w:rsid w:val="00A90F2F"/>
    <w:rsid w:val="00A92CC7"/>
    <w:rsid w:val="00A9413E"/>
    <w:rsid w:val="00A95B70"/>
    <w:rsid w:val="00A975F6"/>
    <w:rsid w:val="00AA13CE"/>
    <w:rsid w:val="00AA194A"/>
    <w:rsid w:val="00AA2641"/>
    <w:rsid w:val="00AA29D5"/>
    <w:rsid w:val="00AA2F44"/>
    <w:rsid w:val="00AA4125"/>
    <w:rsid w:val="00AA47CB"/>
    <w:rsid w:val="00AA6174"/>
    <w:rsid w:val="00AA6660"/>
    <w:rsid w:val="00AA6F56"/>
    <w:rsid w:val="00AA755A"/>
    <w:rsid w:val="00AB24A3"/>
    <w:rsid w:val="00AB2C36"/>
    <w:rsid w:val="00AB40FB"/>
    <w:rsid w:val="00AB498E"/>
    <w:rsid w:val="00AB49E7"/>
    <w:rsid w:val="00AB4CEB"/>
    <w:rsid w:val="00AB6C1D"/>
    <w:rsid w:val="00AB6DDE"/>
    <w:rsid w:val="00AB70B6"/>
    <w:rsid w:val="00AB7F9D"/>
    <w:rsid w:val="00AC0591"/>
    <w:rsid w:val="00AC2B58"/>
    <w:rsid w:val="00AC2E33"/>
    <w:rsid w:val="00AC34E3"/>
    <w:rsid w:val="00AC3971"/>
    <w:rsid w:val="00AC3B29"/>
    <w:rsid w:val="00AC3DE5"/>
    <w:rsid w:val="00AC4AB8"/>
    <w:rsid w:val="00AC4C0C"/>
    <w:rsid w:val="00AC65EA"/>
    <w:rsid w:val="00AC6C0F"/>
    <w:rsid w:val="00AC7BD0"/>
    <w:rsid w:val="00AD121F"/>
    <w:rsid w:val="00AD1A86"/>
    <w:rsid w:val="00AD334E"/>
    <w:rsid w:val="00AD38A3"/>
    <w:rsid w:val="00AD3F47"/>
    <w:rsid w:val="00AD4CD7"/>
    <w:rsid w:val="00AD4EBA"/>
    <w:rsid w:val="00AD510E"/>
    <w:rsid w:val="00AD546F"/>
    <w:rsid w:val="00AD6BB9"/>
    <w:rsid w:val="00AD72A9"/>
    <w:rsid w:val="00AD77DF"/>
    <w:rsid w:val="00AE103E"/>
    <w:rsid w:val="00AE1EE5"/>
    <w:rsid w:val="00AE2505"/>
    <w:rsid w:val="00AE385C"/>
    <w:rsid w:val="00AE4AA1"/>
    <w:rsid w:val="00AE4D5D"/>
    <w:rsid w:val="00AE52F1"/>
    <w:rsid w:val="00AE75A6"/>
    <w:rsid w:val="00AF02FC"/>
    <w:rsid w:val="00AF04A8"/>
    <w:rsid w:val="00AF0A07"/>
    <w:rsid w:val="00AF2459"/>
    <w:rsid w:val="00AF25E6"/>
    <w:rsid w:val="00AF4AEC"/>
    <w:rsid w:val="00AF4DEC"/>
    <w:rsid w:val="00AF4F77"/>
    <w:rsid w:val="00AF502A"/>
    <w:rsid w:val="00AF5549"/>
    <w:rsid w:val="00AF625E"/>
    <w:rsid w:val="00AF6283"/>
    <w:rsid w:val="00AF6830"/>
    <w:rsid w:val="00AF7E47"/>
    <w:rsid w:val="00B00E30"/>
    <w:rsid w:val="00B01ACF"/>
    <w:rsid w:val="00B026F5"/>
    <w:rsid w:val="00B0587C"/>
    <w:rsid w:val="00B11964"/>
    <w:rsid w:val="00B1297C"/>
    <w:rsid w:val="00B12E89"/>
    <w:rsid w:val="00B13452"/>
    <w:rsid w:val="00B139BE"/>
    <w:rsid w:val="00B140C5"/>
    <w:rsid w:val="00B14CB7"/>
    <w:rsid w:val="00B15288"/>
    <w:rsid w:val="00B161D9"/>
    <w:rsid w:val="00B16514"/>
    <w:rsid w:val="00B206B7"/>
    <w:rsid w:val="00B20E10"/>
    <w:rsid w:val="00B2172B"/>
    <w:rsid w:val="00B233A2"/>
    <w:rsid w:val="00B23A23"/>
    <w:rsid w:val="00B24770"/>
    <w:rsid w:val="00B26933"/>
    <w:rsid w:val="00B27D8A"/>
    <w:rsid w:val="00B27E00"/>
    <w:rsid w:val="00B300AE"/>
    <w:rsid w:val="00B3012E"/>
    <w:rsid w:val="00B304D2"/>
    <w:rsid w:val="00B30FA1"/>
    <w:rsid w:val="00B33701"/>
    <w:rsid w:val="00B34831"/>
    <w:rsid w:val="00B35DF9"/>
    <w:rsid w:val="00B3642A"/>
    <w:rsid w:val="00B36964"/>
    <w:rsid w:val="00B3754A"/>
    <w:rsid w:val="00B37FAF"/>
    <w:rsid w:val="00B41FD1"/>
    <w:rsid w:val="00B42182"/>
    <w:rsid w:val="00B427D2"/>
    <w:rsid w:val="00B434DA"/>
    <w:rsid w:val="00B44B32"/>
    <w:rsid w:val="00B45525"/>
    <w:rsid w:val="00B455A1"/>
    <w:rsid w:val="00B4623A"/>
    <w:rsid w:val="00B472C0"/>
    <w:rsid w:val="00B4799D"/>
    <w:rsid w:val="00B507C3"/>
    <w:rsid w:val="00B509A9"/>
    <w:rsid w:val="00B50D38"/>
    <w:rsid w:val="00B51268"/>
    <w:rsid w:val="00B517D6"/>
    <w:rsid w:val="00B532E3"/>
    <w:rsid w:val="00B53504"/>
    <w:rsid w:val="00B53E8C"/>
    <w:rsid w:val="00B53EF0"/>
    <w:rsid w:val="00B560C6"/>
    <w:rsid w:val="00B60588"/>
    <w:rsid w:val="00B61B70"/>
    <w:rsid w:val="00B61EBE"/>
    <w:rsid w:val="00B62099"/>
    <w:rsid w:val="00B62BBA"/>
    <w:rsid w:val="00B63623"/>
    <w:rsid w:val="00B63A17"/>
    <w:rsid w:val="00B65799"/>
    <w:rsid w:val="00B6791A"/>
    <w:rsid w:val="00B70020"/>
    <w:rsid w:val="00B701ED"/>
    <w:rsid w:val="00B70CCC"/>
    <w:rsid w:val="00B712BC"/>
    <w:rsid w:val="00B71546"/>
    <w:rsid w:val="00B71A59"/>
    <w:rsid w:val="00B722D8"/>
    <w:rsid w:val="00B72D91"/>
    <w:rsid w:val="00B75D3A"/>
    <w:rsid w:val="00B77DAE"/>
    <w:rsid w:val="00B825FD"/>
    <w:rsid w:val="00B82DFE"/>
    <w:rsid w:val="00B82FEB"/>
    <w:rsid w:val="00B83FCF"/>
    <w:rsid w:val="00B84D5A"/>
    <w:rsid w:val="00B8518E"/>
    <w:rsid w:val="00B8537A"/>
    <w:rsid w:val="00B85AE0"/>
    <w:rsid w:val="00B86C6F"/>
    <w:rsid w:val="00B86FAC"/>
    <w:rsid w:val="00B90054"/>
    <w:rsid w:val="00B90E58"/>
    <w:rsid w:val="00B917D2"/>
    <w:rsid w:val="00B92925"/>
    <w:rsid w:val="00B93CF7"/>
    <w:rsid w:val="00B94322"/>
    <w:rsid w:val="00B94558"/>
    <w:rsid w:val="00B956B6"/>
    <w:rsid w:val="00B9607C"/>
    <w:rsid w:val="00B966CE"/>
    <w:rsid w:val="00B96B80"/>
    <w:rsid w:val="00B96ED8"/>
    <w:rsid w:val="00BA188A"/>
    <w:rsid w:val="00BA241A"/>
    <w:rsid w:val="00BA277F"/>
    <w:rsid w:val="00BA2C82"/>
    <w:rsid w:val="00BA4AA7"/>
    <w:rsid w:val="00BA5062"/>
    <w:rsid w:val="00BA613E"/>
    <w:rsid w:val="00BA6786"/>
    <w:rsid w:val="00BA6EC7"/>
    <w:rsid w:val="00BA6F0E"/>
    <w:rsid w:val="00BB0283"/>
    <w:rsid w:val="00BB04AF"/>
    <w:rsid w:val="00BB2870"/>
    <w:rsid w:val="00BB33B7"/>
    <w:rsid w:val="00BB3497"/>
    <w:rsid w:val="00BB3C4B"/>
    <w:rsid w:val="00BB5040"/>
    <w:rsid w:val="00BB591D"/>
    <w:rsid w:val="00BB603C"/>
    <w:rsid w:val="00BB65B8"/>
    <w:rsid w:val="00BB732A"/>
    <w:rsid w:val="00BB7B5B"/>
    <w:rsid w:val="00BC18B7"/>
    <w:rsid w:val="00BC27B1"/>
    <w:rsid w:val="00BC2F8B"/>
    <w:rsid w:val="00BC396B"/>
    <w:rsid w:val="00BC4072"/>
    <w:rsid w:val="00BC4084"/>
    <w:rsid w:val="00BC4BBE"/>
    <w:rsid w:val="00BC5D6C"/>
    <w:rsid w:val="00BC63E0"/>
    <w:rsid w:val="00BC6864"/>
    <w:rsid w:val="00BD0125"/>
    <w:rsid w:val="00BD1722"/>
    <w:rsid w:val="00BD1E1C"/>
    <w:rsid w:val="00BD28B8"/>
    <w:rsid w:val="00BD2B0F"/>
    <w:rsid w:val="00BD4107"/>
    <w:rsid w:val="00BD41D6"/>
    <w:rsid w:val="00BD50C0"/>
    <w:rsid w:val="00BD52C9"/>
    <w:rsid w:val="00BD72C6"/>
    <w:rsid w:val="00BD757D"/>
    <w:rsid w:val="00BD7CEB"/>
    <w:rsid w:val="00BE002B"/>
    <w:rsid w:val="00BE186C"/>
    <w:rsid w:val="00BE1A25"/>
    <w:rsid w:val="00BE2130"/>
    <w:rsid w:val="00BE2680"/>
    <w:rsid w:val="00BE3F4A"/>
    <w:rsid w:val="00BE4E39"/>
    <w:rsid w:val="00BE5FA3"/>
    <w:rsid w:val="00BE62FF"/>
    <w:rsid w:val="00BE6354"/>
    <w:rsid w:val="00BE6745"/>
    <w:rsid w:val="00BE7CFC"/>
    <w:rsid w:val="00BF0CEE"/>
    <w:rsid w:val="00BF1450"/>
    <w:rsid w:val="00BF3328"/>
    <w:rsid w:val="00BF485E"/>
    <w:rsid w:val="00BF4BB6"/>
    <w:rsid w:val="00BF5B3F"/>
    <w:rsid w:val="00BF611A"/>
    <w:rsid w:val="00BF6D1A"/>
    <w:rsid w:val="00BF6E4C"/>
    <w:rsid w:val="00BF73A6"/>
    <w:rsid w:val="00BF79B3"/>
    <w:rsid w:val="00C02941"/>
    <w:rsid w:val="00C02B1C"/>
    <w:rsid w:val="00C04FEF"/>
    <w:rsid w:val="00C0518C"/>
    <w:rsid w:val="00C05E98"/>
    <w:rsid w:val="00C067BA"/>
    <w:rsid w:val="00C07B8E"/>
    <w:rsid w:val="00C1171D"/>
    <w:rsid w:val="00C11FED"/>
    <w:rsid w:val="00C122DF"/>
    <w:rsid w:val="00C12DC9"/>
    <w:rsid w:val="00C138D1"/>
    <w:rsid w:val="00C13B25"/>
    <w:rsid w:val="00C15201"/>
    <w:rsid w:val="00C15579"/>
    <w:rsid w:val="00C1687E"/>
    <w:rsid w:val="00C16B0A"/>
    <w:rsid w:val="00C16B80"/>
    <w:rsid w:val="00C23613"/>
    <w:rsid w:val="00C23614"/>
    <w:rsid w:val="00C23A97"/>
    <w:rsid w:val="00C23AE2"/>
    <w:rsid w:val="00C312A1"/>
    <w:rsid w:val="00C315AD"/>
    <w:rsid w:val="00C3363D"/>
    <w:rsid w:val="00C40144"/>
    <w:rsid w:val="00C406FD"/>
    <w:rsid w:val="00C41444"/>
    <w:rsid w:val="00C415FC"/>
    <w:rsid w:val="00C42C75"/>
    <w:rsid w:val="00C453F3"/>
    <w:rsid w:val="00C459E8"/>
    <w:rsid w:val="00C46CE7"/>
    <w:rsid w:val="00C4707B"/>
    <w:rsid w:val="00C476D9"/>
    <w:rsid w:val="00C50D3F"/>
    <w:rsid w:val="00C51374"/>
    <w:rsid w:val="00C51747"/>
    <w:rsid w:val="00C52EBE"/>
    <w:rsid w:val="00C53977"/>
    <w:rsid w:val="00C548B1"/>
    <w:rsid w:val="00C55D21"/>
    <w:rsid w:val="00C56C78"/>
    <w:rsid w:val="00C5776D"/>
    <w:rsid w:val="00C60526"/>
    <w:rsid w:val="00C60C50"/>
    <w:rsid w:val="00C61952"/>
    <w:rsid w:val="00C61C33"/>
    <w:rsid w:val="00C6473A"/>
    <w:rsid w:val="00C64853"/>
    <w:rsid w:val="00C64855"/>
    <w:rsid w:val="00C6509C"/>
    <w:rsid w:val="00C65A9B"/>
    <w:rsid w:val="00C65E0F"/>
    <w:rsid w:val="00C66A46"/>
    <w:rsid w:val="00C66AED"/>
    <w:rsid w:val="00C67178"/>
    <w:rsid w:val="00C676E3"/>
    <w:rsid w:val="00C70EA7"/>
    <w:rsid w:val="00C72416"/>
    <w:rsid w:val="00C74207"/>
    <w:rsid w:val="00C7433F"/>
    <w:rsid w:val="00C74A6E"/>
    <w:rsid w:val="00C7516E"/>
    <w:rsid w:val="00C75770"/>
    <w:rsid w:val="00C800EF"/>
    <w:rsid w:val="00C80412"/>
    <w:rsid w:val="00C8063B"/>
    <w:rsid w:val="00C80E02"/>
    <w:rsid w:val="00C821EC"/>
    <w:rsid w:val="00C838C0"/>
    <w:rsid w:val="00C842D4"/>
    <w:rsid w:val="00C84BCA"/>
    <w:rsid w:val="00C84FED"/>
    <w:rsid w:val="00C8503D"/>
    <w:rsid w:val="00C851F7"/>
    <w:rsid w:val="00C90562"/>
    <w:rsid w:val="00C91C9C"/>
    <w:rsid w:val="00C93994"/>
    <w:rsid w:val="00C94170"/>
    <w:rsid w:val="00C97071"/>
    <w:rsid w:val="00CA07FD"/>
    <w:rsid w:val="00CA0848"/>
    <w:rsid w:val="00CA0BA0"/>
    <w:rsid w:val="00CA25AE"/>
    <w:rsid w:val="00CA32B6"/>
    <w:rsid w:val="00CA376C"/>
    <w:rsid w:val="00CA3785"/>
    <w:rsid w:val="00CA3913"/>
    <w:rsid w:val="00CA41C7"/>
    <w:rsid w:val="00CA42EB"/>
    <w:rsid w:val="00CA52EC"/>
    <w:rsid w:val="00CA56BB"/>
    <w:rsid w:val="00CA572E"/>
    <w:rsid w:val="00CA5973"/>
    <w:rsid w:val="00CB02BC"/>
    <w:rsid w:val="00CB0542"/>
    <w:rsid w:val="00CB0BC9"/>
    <w:rsid w:val="00CB2D43"/>
    <w:rsid w:val="00CB51C9"/>
    <w:rsid w:val="00CB685A"/>
    <w:rsid w:val="00CC1BD0"/>
    <w:rsid w:val="00CC1C7B"/>
    <w:rsid w:val="00CC3EBB"/>
    <w:rsid w:val="00CC4C64"/>
    <w:rsid w:val="00CC4E6B"/>
    <w:rsid w:val="00CC5BE8"/>
    <w:rsid w:val="00CC60AB"/>
    <w:rsid w:val="00CC7CF2"/>
    <w:rsid w:val="00CD05C7"/>
    <w:rsid w:val="00CD2171"/>
    <w:rsid w:val="00CD2EE0"/>
    <w:rsid w:val="00CD5A33"/>
    <w:rsid w:val="00CD7046"/>
    <w:rsid w:val="00CD73D6"/>
    <w:rsid w:val="00CE09E7"/>
    <w:rsid w:val="00CE1D80"/>
    <w:rsid w:val="00CE2595"/>
    <w:rsid w:val="00CE2618"/>
    <w:rsid w:val="00CE3553"/>
    <w:rsid w:val="00CE4EEF"/>
    <w:rsid w:val="00CE5BFE"/>
    <w:rsid w:val="00CE7BE3"/>
    <w:rsid w:val="00CF0B50"/>
    <w:rsid w:val="00CF1753"/>
    <w:rsid w:val="00CF29B8"/>
    <w:rsid w:val="00CF4B5D"/>
    <w:rsid w:val="00CF4E60"/>
    <w:rsid w:val="00CF5D87"/>
    <w:rsid w:val="00CF744D"/>
    <w:rsid w:val="00D00115"/>
    <w:rsid w:val="00D00243"/>
    <w:rsid w:val="00D00B2B"/>
    <w:rsid w:val="00D00EB6"/>
    <w:rsid w:val="00D0110D"/>
    <w:rsid w:val="00D013AF"/>
    <w:rsid w:val="00D01E27"/>
    <w:rsid w:val="00D03FC3"/>
    <w:rsid w:val="00D04500"/>
    <w:rsid w:val="00D05326"/>
    <w:rsid w:val="00D10283"/>
    <w:rsid w:val="00D10B67"/>
    <w:rsid w:val="00D10CB8"/>
    <w:rsid w:val="00D120A3"/>
    <w:rsid w:val="00D128C1"/>
    <w:rsid w:val="00D14539"/>
    <w:rsid w:val="00D149D5"/>
    <w:rsid w:val="00D14C2E"/>
    <w:rsid w:val="00D162B1"/>
    <w:rsid w:val="00D16CA9"/>
    <w:rsid w:val="00D170BB"/>
    <w:rsid w:val="00D17186"/>
    <w:rsid w:val="00D17755"/>
    <w:rsid w:val="00D179CA"/>
    <w:rsid w:val="00D2256E"/>
    <w:rsid w:val="00D246CF"/>
    <w:rsid w:val="00D24877"/>
    <w:rsid w:val="00D25B50"/>
    <w:rsid w:val="00D2676C"/>
    <w:rsid w:val="00D2766A"/>
    <w:rsid w:val="00D301CC"/>
    <w:rsid w:val="00D30E3F"/>
    <w:rsid w:val="00D3141A"/>
    <w:rsid w:val="00D31688"/>
    <w:rsid w:val="00D31BEC"/>
    <w:rsid w:val="00D323E5"/>
    <w:rsid w:val="00D3266D"/>
    <w:rsid w:val="00D335A5"/>
    <w:rsid w:val="00D33E19"/>
    <w:rsid w:val="00D34844"/>
    <w:rsid w:val="00D358C3"/>
    <w:rsid w:val="00D35919"/>
    <w:rsid w:val="00D364A9"/>
    <w:rsid w:val="00D40CB0"/>
    <w:rsid w:val="00D422DE"/>
    <w:rsid w:val="00D452AC"/>
    <w:rsid w:val="00D453F8"/>
    <w:rsid w:val="00D45752"/>
    <w:rsid w:val="00D45E36"/>
    <w:rsid w:val="00D46624"/>
    <w:rsid w:val="00D466BF"/>
    <w:rsid w:val="00D4703F"/>
    <w:rsid w:val="00D47A38"/>
    <w:rsid w:val="00D47CF8"/>
    <w:rsid w:val="00D508E0"/>
    <w:rsid w:val="00D50A7C"/>
    <w:rsid w:val="00D51F8B"/>
    <w:rsid w:val="00D5381B"/>
    <w:rsid w:val="00D547E4"/>
    <w:rsid w:val="00D56642"/>
    <w:rsid w:val="00D6175F"/>
    <w:rsid w:val="00D6200E"/>
    <w:rsid w:val="00D625CF"/>
    <w:rsid w:val="00D62CCB"/>
    <w:rsid w:val="00D6434F"/>
    <w:rsid w:val="00D64843"/>
    <w:rsid w:val="00D65A65"/>
    <w:rsid w:val="00D6605C"/>
    <w:rsid w:val="00D67579"/>
    <w:rsid w:val="00D67FC8"/>
    <w:rsid w:val="00D70245"/>
    <w:rsid w:val="00D71023"/>
    <w:rsid w:val="00D7105A"/>
    <w:rsid w:val="00D71D41"/>
    <w:rsid w:val="00D71E55"/>
    <w:rsid w:val="00D722A6"/>
    <w:rsid w:val="00D72D96"/>
    <w:rsid w:val="00D731B3"/>
    <w:rsid w:val="00D81F93"/>
    <w:rsid w:val="00D8250F"/>
    <w:rsid w:val="00D83D47"/>
    <w:rsid w:val="00D83DC9"/>
    <w:rsid w:val="00D846CE"/>
    <w:rsid w:val="00D868E8"/>
    <w:rsid w:val="00D87288"/>
    <w:rsid w:val="00D87B68"/>
    <w:rsid w:val="00D9117A"/>
    <w:rsid w:val="00D91B81"/>
    <w:rsid w:val="00D93F45"/>
    <w:rsid w:val="00D94BA5"/>
    <w:rsid w:val="00D95317"/>
    <w:rsid w:val="00D95346"/>
    <w:rsid w:val="00D95497"/>
    <w:rsid w:val="00D95C4C"/>
    <w:rsid w:val="00D95CF0"/>
    <w:rsid w:val="00D96D77"/>
    <w:rsid w:val="00D97290"/>
    <w:rsid w:val="00DA091C"/>
    <w:rsid w:val="00DA24C4"/>
    <w:rsid w:val="00DA36ED"/>
    <w:rsid w:val="00DA6503"/>
    <w:rsid w:val="00DA6B4C"/>
    <w:rsid w:val="00DA6DAA"/>
    <w:rsid w:val="00DA7083"/>
    <w:rsid w:val="00DB0662"/>
    <w:rsid w:val="00DB163F"/>
    <w:rsid w:val="00DB333A"/>
    <w:rsid w:val="00DB4197"/>
    <w:rsid w:val="00DB516F"/>
    <w:rsid w:val="00DB5D33"/>
    <w:rsid w:val="00DB7702"/>
    <w:rsid w:val="00DB7AF3"/>
    <w:rsid w:val="00DC0AAF"/>
    <w:rsid w:val="00DC3155"/>
    <w:rsid w:val="00DC3C1A"/>
    <w:rsid w:val="00DC4A6C"/>
    <w:rsid w:val="00DC4EF0"/>
    <w:rsid w:val="00DC6358"/>
    <w:rsid w:val="00DC660F"/>
    <w:rsid w:val="00DC7068"/>
    <w:rsid w:val="00DC7A9C"/>
    <w:rsid w:val="00DC7F71"/>
    <w:rsid w:val="00DD0FF1"/>
    <w:rsid w:val="00DD1CE5"/>
    <w:rsid w:val="00DD1DA4"/>
    <w:rsid w:val="00DD2B90"/>
    <w:rsid w:val="00DD4051"/>
    <w:rsid w:val="00DD53EB"/>
    <w:rsid w:val="00DD6AF2"/>
    <w:rsid w:val="00DD76F2"/>
    <w:rsid w:val="00DE1715"/>
    <w:rsid w:val="00DE18CF"/>
    <w:rsid w:val="00DE1A08"/>
    <w:rsid w:val="00DE278A"/>
    <w:rsid w:val="00DE34F1"/>
    <w:rsid w:val="00DE38D5"/>
    <w:rsid w:val="00DE3D0A"/>
    <w:rsid w:val="00DE4567"/>
    <w:rsid w:val="00DE466F"/>
    <w:rsid w:val="00DE53B5"/>
    <w:rsid w:val="00DE5489"/>
    <w:rsid w:val="00DE5B18"/>
    <w:rsid w:val="00DE610F"/>
    <w:rsid w:val="00DE6160"/>
    <w:rsid w:val="00DE655D"/>
    <w:rsid w:val="00DE65B9"/>
    <w:rsid w:val="00DE6CE7"/>
    <w:rsid w:val="00DF02DD"/>
    <w:rsid w:val="00DF068B"/>
    <w:rsid w:val="00DF0DBB"/>
    <w:rsid w:val="00DF1986"/>
    <w:rsid w:val="00DF26B5"/>
    <w:rsid w:val="00DF2839"/>
    <w:rsid w:val="00DF2E25"/>
    <w:rsid w:val="00DF3A6A"/>
    <w:rsid w:val="00DF3AE0"/>
    <w:rsid w:val="00DF4069"/>
    <w:rsid w:val="00DF4942"/>
    <w:rsid w:val="00DF4B53"/>
    <w:rsid w:val="00DF7975"/>
    <w:rsid w:val="00E0025C"/>
    <w:rsid w:val="00E01B39"/>
    <w:rsid w:val="00E01EE7"/>
    <w:rsid w:val="00E02896"/>
    <w:rsid w:val="00E03E2C"/>
    <w:rsid w:val="00E05D01"/>
    <w:rsid w:val="00E06759"/>
    <w:rsid w:val="00E11AE4"/>
    <w:rsid w:val="00E130F2"/>
    <w:rsid w:val="00E15384"/>
    <w:rsid w:val="00E153EA"/>
    <w:rsid w:val="00E16761"/>
    <w:rsid w:val="00E17880"/>
    <w:rsid w:val="00E2024C"/>
    <w:rsid w:val="00E20FE2"/>
    <w:rsid w:val="00E2125F"/>
    <w:rsid w:val="00E22B67"/>
    <w:rsid w:val="00E23290"/>
    <w:rsid w:val="00E240E0"/>
    <w:rsid w:val="00E244E1"/>
    <w:rsid w:val="00E24E8C"/>
    <w:rsid w:val="00E24FDA"/>
    <w:rsid w:val="00E263E2"/>
    <w:rsid w:val="00E2660D"/>
    <w:rsid w:val="00E26AAF"/>
    <w:rsid w:val="00E26DBF"/>
    <w:rsid w:val="00E279FA"/>
    <w:rsid w:val="00E27F9F"/>
    <w:rsid w:val="00E30773"/>
    <w:rsid w:val="00E30816"/>
    <w:rsid w:val="00E31102"/>
    <w:rsid w:val="00E34D8F"/>
    <w:rsid w:val="00E36148"/>
    <w:rsid w:val="00E4150C"/>
    <w:rsid w:val="00E41F70"/>
    <w:rsid w:val="00E4309F"/>
    <w:rsid w:val="00E43274"/>
    <w:rsid w:val="00E44003"/>
    <w:rsid w:val="00E44E2F"/>
    <w:rsid w:val="00E4672E"/>
    <w:rsid w:val="00E469EA"/>
    <w:rsid w:val="00E5028A"/>
    <w:rsid w:val="00E519C7"/>
    <w:rsid w:val="00E51E02"/>
    <w:rsid w:val="00E52175"/>
    <w:rsid w:val="00E523C2"/>
    <w:rsid w:val="00E53BC6"/>
    <w:rsid w:val="00E53C56"/>
    <w:rsid w:val="00E54A77"/>
    <w:rsid w:val="00E5654C"/>
    <w:rsid w:val="00E60A86"/>
    <w:rsid w:val="00E60E5D"/>
    <w:rsid w:val="00E61337"/>
    <w:rsid w:val="00E627B1"/>
    <w:rsid w:val="00E631AD"/>
    <w:rsid w:val="00E6447D"/>
    <w:rsid w:val="00E644FB"/>
    <w:rsid w:val="00E64E36"/>
    <w:rsid w:val="00E664BF"/>
    <w:rsid w:val="00E666E3"/>
    <w:rsid w:val="00E66D09"/>
    <w:rsid w:val="00E672EE"/>
    <w:rsid w:val="00E70169"/>
    <w:rsid w:val="00E7194F"/>
    <w:rsid w:val="00E73C80"/>
    <w:rsid w:val="00E76945"/>
    <w:rsid w:val="00E76FE5"/>
    <w:rsid w:val="00E80873"/>
    <w:rsid w:val="00E83DCA"/>
    <w:rsid w:val="00E8500E"/>
    <w:rsid w:val="00E85BE4"/>
    <w:rsid w:val="00E87F9B"/>
    <w:rsid w:val="00E87FC7"/>
    <w:rsid w:val="00E90822"/>
    <w:rsid w:val="00E9197C"/>
    <w:rsid w:val="00E91D49"/>
    <w:rsid w:val="00E9376C"/>
    <w:rsid w:val="00E95AE2"/>
    <w:rsid w:val="00E96014"/>
    <w:rsid w:val="00E97F8B"/>
    <w:rsid w:val="00EA29FC"/>
    <w:rsid w:val="00EA335E"/>
    <w:rsid w:val="00EA37D0"/>
    <w:rsid w:val="00EA528C"/>
    <w:rsid w:val="00EA557C"/>
    <w:rsid w:val="00EA580C"/>
    <w:rsid w:val="00EA6B17"/>
    <w:rsid w:val="00EA7C0C"/>
    <w:rsid w:val="00EB2D71"/>
    <w:rsid w:val="00EB330F"/>
    <w:rsid w:val="00EB35A6"/>
    <w:rsid w:val="00EB4550"/>
    <w:rsid w:val="00EB49C0"/>
    <w:rsid w:val="00EB5543"/>
    <w:rsid w:val="00EB5C4C"/>
    <w:rsid w:val="00EB60B1"/>
    <w:rsid w:val="00EB662A"/>
    <w:rsid w:val="00EC1942"/>
    <w:rsid w:val="00EC1DDD"/>
    <w:rsid w:val="00EC20C8"/>
    <w:rsid w:val="00EC25E7"/>
    <w:rsid w:val="00EC28A1"/>
    <w:rsid w:val="00EC31DC"/>
    <w:rsid w:val="00EC5084"/>
    <w:rsid w:val="00EC5379"/>
    <w:rsid w:val="00EC58BC"/>
    <w:rsid w:val="00EC6F8D"/>
    <w:rsid w:val="00EC7C52"/>
    <w:rsid w:val="00ED26F5"/>
    <w:rsid w:val="00ED2F03"/>
    <w:rsid w:val="00ED35E4"/>
    <w:rsid w:val="00ED36B4"/>
    <w:rsid w:val="00ED39B2"/>
    <w:rsid w:val="00ED448B"/>
    <w:rsid w:val="00ED46BC"/>
    <w:rsid w:val="00ED4EFB"/>
    <w:rsid w:val="00ED71CE"/>
    <w:rsid w:val="00EE10FE"/>
    <w:rsid w:val="00EE2EF0"/>
    <w:rsid w:val="00EE3369"/>
    <w:rsid w:val="00EE3471"/>
    <w:rsid w:val="00EE49F4"/>
    <w:rsid w:val="00EE574A"/>
    <w:rsid w:val="00EE6A00"/>
    <w:rsid w:val="00EF0DB4"/>
    <w:rsid w:val="00EF19C2"/>
    <w:rsid w:val="00EF1A61"/>
    <w:rsid w:val="00EF2118"/>
    <w:rsid w:val="00EF2291"/>
    <w:rsid w:val="00EF34E2"/>
    <w:rsid w:val="00EF3702"/>
    <w:rsid w:val="00EF52E7"/>
    <w:rsid w:val="00EF6634"/>
    <w:rsid w:val="00EF79BE"/>
    <w:rsid w:val="00EF7F8A"/>
    <w:rsid w:val="00F00611"/>
    <w:rsid w:val="00F02F73"/>
    <w:rsid w:val="00F0371D"/>
    <w:rsid w:val="00F05823"/>
    <w:rsid w:val="00F05F1C"/>
    <w:rsid w:val="00F06F1A"/>
    <w:rsid w:val="00F119FC"/>
    <w:rsid w:val="00F1206D"/>
    <w:rsid w:val="00F12FD3"/>
    <w:rsid w:val="00F130C3"/>
    <w:rsid w:val="00F136E6"/>
    <w:rsid w:val="00F1382E"/>
    <w:rsid w:val="00F142CD"/>
    <w:rsid w:val="00F14CAB"/>
    <w:rsid w:val="00F14EE4"/>
    <w:rsid w:val="00F15059"/>
    <w:rsid w:val="00F153B7"/>
    <w:rsid w:val="00F15E07"/>
    <w:rsid w:val="00F165F5"/>
    <w:rsid w:val="00F1686C"/>
    <w:rsid w:val="00F16FF7"/>
    <w:rsid w:val="00F17147"/>
    <w:rsid w:val="00F2088D"/>
    <w:rsid w:val="00F21B22"/>
    <w:rsid w:val="00F223FF"/>
    <w:rsid w:val="00F23507"/>
    <w:rsid w:val="00F24DF3"/>
    <w:rsid w:val="00F259CB"/>
    <w:rsid w:val="00F265D3"/>
    <w:rsid w:val="00F27E33"/>
    <w:rsid w:val="00F30DC6"/>
    <w:rsid w:val="00F31482"/>
    <w:rsid w:val="00F316D0"/>
    <w:rsid w:val="00F329CB"/>
    <w:rsid w:val="00F32C23"/>
    <w:rsid w:val="00F334E9"/>
    <w:rsid w:val="00F341FE"/>
    <w:rsid w:val="00F347DD"/>
    <w:rsid w:val="00F356E9"/>
    <w:rsid w:val="00F357CE"/>
    <w:rsid w:val="00F37964"/>
    <w:rsid w:val="00F40426"/>
    <w:rsid w:val="00F408F1"/>
    <w:rsid w:val="00F4338A"/>
    <w:rsid w:val="00F443F1"/>
    <w:rsid w:val="00F45844"/>
    <w:rsid w:val="00F45E95"/>
    <w:rsid w:val="00F46368"/>
    <w:rsid w:val="00F46B5B"/>
    <w:rsid w:val="00F47253"/>
    <w:rsid w:val="00F5134A"/>
    <w:rsid w:val="00F514FF"/>
    <w:rsid w:val="00F5238A"/>
    <w:rsid w:val="00F53DE9"/>
    <w:rsid w:val="00F56F8C"/>
    <w:rsid w:val="00F576CB"/>
    <w:rsid w:val="00F60B03"/>
    <w:rsid w:val="00F61433"/>
    <w:rsid w:val="00F62042"/>
    <w:rsid w:val="00F6259D"/>
    <w:rsid w:val="00F6261A"/>
    <w:rsid w:val="00F6270B"/>
    <w:rsid w:val="00F62742"/>
    <w:rsid w:val="00F62F50"/>
    <w:rsid w:val="00F6541D"/>
    <w:rsid w:val="00F655B1"/>
    <w:rsid w:val="00F657EF"/>
    <w:rsid w:val="00F66BC9"/>
    <w:rsid w:val="00F670EF"/>
    <w:rsid w:val="00F67428"/>
    <w:rsid w:val="00F7035D"/>
    <w:rsid w:val="00F7185C"/>
    <w:rsid w:val="00F71A02"/>
    <w:rsid w:val="00F723A4"/>
    <w:rsid w:val="00F74555"/>
    <w:rsid w:val="00F759C8"/>
    <w:rsid w:val="00F75A2E"/>
    <w:rsid w:val="00F75B26"/>
    <w:rsid w:val="00F75F9D"/>
    <w:rsid w:val="00F77B2B"/>
    <w:rsid w:val="00F800EC"/>
    <w:rsid w:val="00F80885"/>
    <w:rsid w:val="00F810DE"/>
    <w:rsid w:val="00F81448"/>
    <w:rsid w:val="00F8169A"/>
    <w:rsid w:val="00F81EE4"/>
    <w:rsid w:val="00F831A1"/>
    <w:rsid w:val="00F844FA"/>
    <w:rsid w:val="00F875A2"/>
    <w:rsid w:val="00F90188"/>
    <w:rsid w:val="00F91390"/>
    <w:rsid w:val="00F930BC"/>
    <w:rsid w:val="00F932F9"/>
    <w:rsid w:val="00F94F25"/>
    <w:rsid w:val="00F951C0"/>
    <w:rsid w:val="00F95C57"/>
    <w:rsid w:val="00F96C50"/>
    <w:rsid w:val="00F97FCA"/>
    <w:rsid w:val="00FA0D63"/>
    <w:rsid w:val="00FA2856"/>
    <w:rsid w:val="00FA2F1C"/>
    <w:rsid w:val="00FA2F7E"/>
    <w:rsid w:val="00FA3695"/>
    <w:rsid w:val="00FA47B2"/>
    <w:rsid w:val="00FA6247"/>
    <w:rsid w:val="00FA6A08"/>
    <w:rsid w:val="00FA75DD"/>
    <w:rsid w:val="00FB21F0"/>
    <w:rsid w:val="00FB27FC"/>
    <w:rsid w:val="00FB39A8"/>
    <w:rsid w:val="00FB4E14"/>
    <w:rsid w:val="00FB52AD"/>
    <w:rsid w:val="00FB639C"/>
    <w:rsid w:val="00FB655E"/>
    <w:rsid w:val="00FB65CC"/>
    <w:rsid w:val="00FB65F5"/>
    <w:rsid w:val="00FB7AAA"/>
    <w:rsid w:val="00FC0596"/>
    <w:rsid w:val="00FC1114"/>
    <w:rsid w:val="00FC24B8"/>
    <w:rsid w:val="00FC2673"/>
    <w:rsid w:val="00FC2EA7"/>
    <w:rsid w:val="00FC44FF"/>
    <w:rsid w:val="00FC57A4"/>
    <w:rsid w:val="00FD069F"/>
    <w:rsid w:val="00FD1226"/>
    <w:rsid w:val="00FD1394"/>
    <w:rsid w:val="00FD25E7"/>
    <w:rsid w:val="00FD4217"/>
    <w:rsid w:val="00FD4C02"/>
    <w:rsid w:val="00FD4DB0"/>
    <w:rsid w:val="00FD549C"/>
    <w:rsid w:val="00FD54D0"/>
    <w:rsid w:val="00FD56E4"/>
    <w:rsid w:val="00FD6C5C"/>
    <w:rsid w:val="00FE0953"/>
    <w:rsid w:val="00FE1BE4"/>
    <w:rsid w:val="00FE3560"/>
    <w:rsid w:val="00FE6631"/>
    <w:rsid w:val="00FE7241"/>
    <w:rsid w:val="00FE7759"/>
    <w:rsid w:val="00FF4635"/>
    <w:rsid w:val="00FF4830"/>
    <w:rsid w:val="00FF5156"/>
    <w:rsid w:val="00FF5395"/>
    <w:rsid w:val="00FF56F7"/>
    <w:rsid w:val="00FF5E77"/>
    <w:rsid w:val="00FF6146"/>
    <w:rsid w:val="00FF63A4"/>
    <w:rsid w:val="00FF6F19"/>
    <w:rsid w:val="00FF7AA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qFormat/>
    <w:rsid w:val="004C7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4C757D"/>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aliases w:val="COM Heading"/>
    <w:basedOn w:val="Normal"/>
    <w:next w:val="Normal"/>
    <w:link w:val="Titre4C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Titre5">
    <w:name w:val="heading 5"/>
    <w:basedOn w:val="Normal"/>
    <w:next w:val="Normal"/>
    <w:link w:val="Titre5Car"/>
    <w:uiPriority w:val="9"/>
    <w:unhideWhenUsed/>
    <w:qFormat/>
    <w:rsid w:val="004C757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uiPriority w:val="9"/>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styleId="Lienhypertexte">
    <w:name w:val="Hyperlink"/>
    <w:uiPriority w:val="99"/>
    <w:unhideWhenUsed/>
    <w:rsid w:val="00594D33"/>
    <w:rPr>
      <w:color w:val="0000FF"/>
      <w:u w:val="single"/>
    </w:rPr>
  </w:style>
  <w:style w:type="paragraph" w:styleId="Notedebasdepage">
    <w:name w:val="footnote text"/>
    <w:basedOn w:val="Normal"/>
    <w:link w:val="NotedebasdepageCar"/>
    <w:uiPriority w:val="99"/>
    <w:unhideWhenUsed/>
    <w:rsid w:val="00405E1E"/>
    <w:rPr>
      <w:rFonts w:ascii="Arial" w:hAnsi="Arial"/>
      <w:sz w:val="18"/>
      <w:szCs w:val="20"/>
    </w:rPr>
  </w:style>
  <w:style w:type="character" w:customStyle="1" w:styleId="NotedebasdepageCar">
    <w:name w:val="Note de bas de page Car"/>
    <w:basedOn w:val="Policepardfaut"/>
    <w:link w:val="Notedebasdepage"/>
    <w:uiPriority w:val="99"/>
    <w:rsid w:val="00405E1E"/>
    <w:rPr>
      <w:rFonts w:ascii="Arial" w:eastAsia="Times New Roman" w:hAnsi="Arial"/>
      <w:sz w:val="18"/>
    </w:rPr>
  </w:style>
  <w:style w:type="character" w:styleId="Appelnotedebasdep">
    <w:name w:val="footnote reference"/>
    <w:basedOn w:val="Policepardfaut"/>
    <w:uiPriority w:val="99"/>
    <w:semiHidden/>
    <w:unhideWhenUsed/>
    <w:rsid w:val="006F6698"/>
    <w:rPr>
      <w:vertAlign w:val="superscript"/>
    </w:rPr>
  </w:style>
  <w:style w:type="character" w:styleId="Marquedecommentaire">
    <w:name w:val="annotation reference"/>
    <w:basedOn w:val="Policepardfaut"/>
    <w:uiPriority w:val="99"/>
    <w:semiHidden/>
    <w:unhideWhenUsed/>
    <w:rsid w:val="001D4CCE"/>
    <w:rPr>
      <w:sz w:val="16"/>
      <w:szCs w:val="16"/>
    </w:rPr>
  </w:style>
  <w:style w:type="paragraph" w:styleId="Commentaire">
    <w:name w:val="annotation text"/>
    <w:basedOn w:val="Normal"/>
    <w:link w:val="CommentaireCar"/>
    <w:uiPriority w:val="99"/>
    <w:unhideWhenUsed/>
    <w:rsid w:val="001D4CCE"/>
    <w:pPr>
      <w:spacing w:after="160"/>
    </w:pPr>
    <w:rPr>
      <w:rFonts w:asciiTheme="minorHAnsi" w:eastAsiaTheme="minorEastAsia" w:hAnsiTheme="minorHAnsi" w:cstheme="minorBidi"/>
      <w:sz w:val="20"/>
      <w:szCs w:val="20"/>
      <w:lang w:eastAsia="zh-CN"/>
    </w:rPr>
  </w:style>
  <w:style w:type="character" w:customStyle="1" w:styleId="CommentaireCar">
    <w:name w:val="Commentaire Car"/>
    <w:basedOn w:val="Policepardfaut"/>
    <w:link w:val="Commentaire"/>
    <w:uiPriority w:val="99"/>
    <w:rsid w:val="001D4CCE"/>
    <w:rPr>
      <w:rFonts w:asciiTheme="minorHAnsi" w:eastAsiaTheme="minorEastAsia" w:hAnsiTheme="minorHAnsi" w:cstheme="minorBidi"/>
      <w:lang w:eastAsia="zh-CN"/>
    </w:rPr>
  </w:style>
  <w:style w:type="character" w:styleId="Lienhypertextesuivivisit">
    <w:name w:val="FollowedHyperlink"/>
    <w:basedOn w:val="Policepardfaut"/>
    <w:uiPriority w:val="99"/>
    <w:semiHidden/>
    <w:unhideWhenUsed/>
    <w:rsid w:val="001D4CCE"/>
    <w:rPr>
      <w:color w:val="800080" w:themeColor="followedHyperlink"/>
      <w:u w:val="single"/>
    </w:rPr>
  </w:style>
  <w:style w:type="character" w:styleId="Mentionnonrsolue">
    <w:name w:val="Unresolved Mention"/>
    <w:basedOn w:val="Policepardfaut"/>
    <w:uiPriority w:val="99"/>
    <w:semiHidden/>
    <w:unhideWhenUsed/>
    <w:rsid w:val="002C629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5A0A0A"/>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A0A0A"/>
    <w:rPr>
      <w:rFonts w:ascii="Times New Roman" w:eastAsia="Times New Roman" w:hAnsi="Times New Roman" w:cstheme="minorBidi"/>
      <w:b/>
      <w:bCs/>
      <w:lang w:eastAsia="zh-CN"/>
    </w:rPr>
  </w:style>
  <w:style w:type="paragraph" w:styleId="NormalWeb">
    <w:name w:val="Normal (Web)"/>
    <w:basedOn w:val="Normal"/>
    <w:uiPriority w:val="99"/>
    <w:semiHidden/>
    <w:unhideWhenUsed/>
    <w:rsid w:val="006E082F"/>
    <w:pPr>
      <w:spacing w:before="100" w:beforeAutospacing="1" w:after="100" w:afterAutospacing="1"/>
    </w:pPr>
    <w:rPr>
      <w:lang w:eastAsia="zh-CN"/>
    </w:rPr>
  </w:style>
  <w:style w:type="paragraph" w:customStyle="1" w:styleId="decisionelement">
    <w:name w:val="decision_element"/>
    <w:basedOn w:val="Normal"/>
    <w:rsid w:val="007A4FDB"/>
    <w:pPr>
      <w:spacing w:before="100" w:beforeAutospacing="1" w:after="100" w:afterAutospacing="1"/>
    </w:pPr>
    <w:rPr>
      <w:lang w:eastAsia="zh-CN"/>
    </w:rPr>
  </w:style>
  <w:style w:type="paragraph" w:styleId="TM1">
    <w:name w:val="toc 1"/>
    <w:basedOn w:val="Normal"/>
    <w:next w:val="Normal"/>
    <w:autoRedefine/>
    <w:uiPriority w:val="39"/>
    <w:unhideWhenUsed/>
    <w:rsid w:val="0088500E"/>
    <w:pPr>
      <w:tabs>
        <w:tab w:val="right" w:leader="dot" w:pos="10456"/>
      </w:tabs>
      <w:spacing w:after="100" w:line="259" w:lineRule="auto"/>
      <w:jc w:val="both"/>
    </w:pPr>
    <w:rPr>
      <w:rFonts w:asciiTheme="minorHAnsi" w:eastAsiaTheme="minorHAnsi" w:hAnsiTheme="minorHAnsi" w:cstheme="minorHAnsi"/>
      <w:b/>
      <w:bCs/>
      <w:noProof/>
      <w:sz w:val="22"/>
      <w:szCs w:val="22"/>
      <w:lang w:eastAsia="en-US"/>
    </w:rPr>
  </w:style>
  <w:style w:type="paragraph" w:styleId="TM2">
    <w:name w:val="toc 2"/>
    <w:basedOn w:val="Normal"/>
    <w:next w:val="Normal"/>
    <w:autoRedefine/>
    <w:uiPriority w:val="39"/>
    <w:unhideWhenUsed/>
    <w:rsid w:val="007F0148"/>
    <w:pPr>
      <w:spacing w:after="100" w:line="259" w:lineRule="auto"/>
      <w:ind w:left="220"/>
      <w:jc w:val="both"/>
    </w:pPr>
    <w:rPr>
      <w:rFonts w:ascii="Arial" w:eastAsiaTheme="minorHAnsi" w:hAnsi="Arial" w:cstheme="minorBidi"/>
      <w:sz w:val="22"/>
      <w:szCs w:val="22"/>
      <w:lang w:eastAsia="en-US"/>
    </w:rPr>
  </w:style>
  <w:style w:type="character" w:customStyle="1" w:styleId="Titre1Car">
    <w:name w:val="Titre 1 Car"/>
    <w:basedOn w:val="Policepardfaut"/>
    <w:link w:val="Titre1"/>
    <w:uiPriority w:val="9"/>
    <w:rsid w:val="004C757D"/>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4C757D"/>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uiPriority w:val="9"/>
    <w:rsid w:val="004C757D"/>
    <w:rPr>
      <w:rFonts w:asciiTheme="majorHAnsi" w:eastAsiaTheme="majorEastAsia" w:hAnsiTheme="majorHAnsi" w:cstheme="majorBidi"/>
      <w:color w:val="365F91" w:themeColor="accent1" w:themeShade="BF"/>
      <w:sz w:val="24"/>
      <w:szCs w:val="24"/>
    </w:rPr>
  </w:style>
  <w:style w:type="paragraph" w:styleId="Titre">
    <w:name w:val="Title"/>
    <w:basedOn w:val="Normal"/>
    <w:next w:val="Normal"/>
    <w:link w:val="TitreCar"/>
    <w:uiPriority w:val="10"/>
    <w:qFormat/>
    <w:rsid w:val="004C757D"/>
    <w:pPr>
      <w:contextualSpacing/>
      <w:jc w:val="both"/>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4C757D"/>
    <w:rPr>
      <w:rFonts w:asciiTheme="majorHAnsi" w:eastAsiaTheme="majorEastAsia" w:hAnsiTheme="majorHAnsi" w:cstheme="majorBidi"/>
      <w:spacing w:val="-10"/>
      <w:kern w:val="28"/>
      <w:sz w:val="56"/>
      <w:szCs w:val="56"/>
      <w:lang w:val="fr-FR" w:eastAsia="en-US"/>
    </w:rPr>
  </w:style>
  <w:style w:type="character" w:styleId="lev">
    <w:name w:val="Strong"/>
    <w:basedOn w:val="Policepardfaut"/>
    <w:uiPriority w:val="22"/>
    <w:qFormat/>
    <w:rsid w:val="004C757D"/>
    <w:rPr>
      <w:b/>
      <w:bCs/>
      <w:i/>
      <w:iCs/>
      <w:color w:val="4F81BD" w:themeColor="accent1"/>
    </w:rPr>
  </w:style>
  <w:style w:type="character" w:styleId="Accentuation">
    <w:name w:val="Emphasis"/>
    <w:basedOn w:val="Policepardfaut"/>
    <w:uiPriority w:val="20"/>
    <w:qFormat/>
    <w:rsid w:val="004C757D"/>
    <w:rPr>
      <w:i/>
      <w:iCs/>
    </w:rPr>
  </w:style>
  <w:style w:type="paragraph" w:styleId="Sansinterligne">
    <w:name w:val="No Spacing"/>
    <w:aliases w:val="Indented text"/>
    <w:basedOn w:val="Normal"/>
    <w:uiPriority w:val="1"/>
    <w:qFormat/>
    <w:rsid w:val="004C757D"/>
    <w:pPr>
      <w:spacing w:after="240"/>
      <w:ind w:left="1440"/>
      <w:jc w:val="both"/>
    </w:pPr>
    <w:rPr>
      <w:rFonts w:ascii="Arial" w:eastAsiaTheme="minorHAnsi" w:hAnsi="Arial" w:cstheme="minorBidi"/>
      <w:sz w:val="22"/>
      <w:szCs w:val="22"/>
      <w:lang w:eastAsia="en-US"/>
    </w:rPr>
  </w:style>
  <w:style w:type="character" w:styleId="Accentuationintense">
    <w:name w:val="Intense Emphasis"/>
    <w:basedOn w:val="Policepardfaut"/>
    <w:uiPriority w:val="21"/>
    <w:qFormat/>
    <w:rsid w:val="004C757D"/>
    <w:rPr>
      <w:i/>
      <w:iCs/>
      <w:color w:val="4F81BD" w:themeColor="accent1"/>
    </w:rPr>
  </w:style>
  <w:style w:type="paragraph" w:styleId="TM3">
    <w:name w:val="toc 3"/>
    <w:basedOn w:val="Normal"/>
    <w:next w:val="Normal"/>
    <w:autoRedefine/>
    <w:uiPriority w:val="39"/>
    <w:unhideWhenUsed/>
    <w:rsid w:val="004C757D"/>
    <w:pPr>
      <w:spacing w:after="100" w:line="259" w:lineRule="auto"/>
      <w:ind w:left="440"/>
      <w:jc w:val="both"/>
    </w:pPr>
    <w:rPr>
      <w:rFonts w:ascii="Arial" w:eastAsiaTheme="minorHAnsi" w:hAnsi="Arial" w:cstheme="minorBidi"/>
      <w:sz w:val="22"/>
      <w:szCs w:val="22"/>
      <w:lang w:eastAsia="en-US"/>
    </w:rPr>
  </w:style>
  <w:style w:type="paragraph" w:styleId="TM5">
    <w:name w:val="toc 5"/>
    <w:basedOn w:val="Normal"/>
    <w:next w:val="Normal"/>
    <w:autoRedefine/>
    <w:uiPriority w:val="39"/>
    <w:unhideWhenUsed/>
    <w:rsid w:val="004C757D"/>
    <w:pPr>
      <w:spacing w:after="100" w:line="259" w:lineRule="auto"/>
      <w:ind w:left="880"/>
      <w:jc w:val="both"/>
    </w:pPr>
    <w:rPr>
      <w:rFonts w:ascii="Arial" w:eastAsiaTheme="minorHAnsi" w:hAnsi="Arial" w:cstheme="minorBidi"/>
      <w:sz w:val="22"/>
      <w:szCs w:val="22"/>
      <w:lang w:eastAsia="en-US"/>
    </w:rPr>
  </w:style>
  <w:style w:type="character" w:customStyle="1" w:styleId="jlqj4b">
    <w:name w:val="jlqj4b"/>
    <w:basedOn w:val="Policepardfaut"/>
    <w:rsid w:val="004C757D"/>
  </w:style>
  <w:style w:type="paragraph" w:styleId="Rvision">
    <w:name w:val="Revision"/>
    <w:hidden/>
    <w:uiPriority w:val="99"/>
    <w:semiHidden/>
    <w:rsid w:val="001C55E4"/>
    <w:rPr>
      <w:rFonts w:ascii="Times New Roman" w:eastAsia="Times New Roman" w:hAnsi="Times New Roman"/>
      <w:sz w:val="24"/>
      <w:szCs w:val="24"/>
    </w:rPr>
  </w:style>
  <w:style w:type="character" w:customStyle="1" w:styleId="normaltextrun">
    <w:name w:val="normaltextrun"/>
    <w:basedOn w:val="Policepardfaut"/>
    <w:rsid w:val="00B722D8"/>
  </w:style>
  <w:style w:type="paragraph" w:styleId="Notedefin">
    <w:name w:val="endnote text"/>
    <w:basedOn w:val="Normal"/>
    <w:link w:val="NotedefinCar"/>
    <w:uiPriority w:val="99"/>
    <w:semiHidden/>
    <w:unhideWhenUsed/>
    <w:rsid w:val="00405E1E"/>
    <w:rPr>
      <w:sz w:val="20"/>
      <w:szCs w:val="20"/>
    </w:rPr>
  </w:style>
  <w:style w:type="character" w:customStyle="1" w:styleId="NotedefinCar">
    <w:name w:val="Note de fin Car"/>
    <w:basedOn w:val="Policepardfaut"/>
    <w:link w:val="Notedefin"/>
    <w:uiPriority w:val="99"/>
    <w:semiHidden/>
    <w:rsid w:val="00405E1E"/>
    <w:rPr>
      <w:rFonts w:ascii="Times New Roman" w:eastAsia="Times New Roman" w:hAnsi="Times New Roman"/>
    </w:rPr>
  </w:style>
  <w:style w:type="character" w:styleId="Appeldenotedefin">
    <w:name w:val="endnote reference"/>
    <w:basedOn w:val="Policepardfaut"/>
    <w:uiPriority w:val="99"/>
    <w:semiHidden/>
    <w:unhideWhenUsed/>
    <w:rsid w:val="0040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9957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7128523">
      <w:bodyDiv w:val="1"/>
      <w:marLeft w:val="0"/>
      <w:marRight w:val="0"/>
      <w:marTop w:val="0"/>
      <w:marBottom w:val="0"/>
      <w:divBdr>
        <w:top w:val="none" w:sz="0" w:space="0" w:color="auto"/>
        <w:left w:val="none" w:sz="0" w:space="0" w:color="auto"/>
        <w:bottom w:val="none" w:sz="0" w:space="0" w:color="auto"/>
        <w:right w:val="none" w:sz="0" w:space="0" w:color="auto"/>
      </w:divBdr>
    </w:div>
    <w:div w:id="1054305340">
      <w:bodyDiv w:val="1"/>
      <w:marLeft w:val="0"/>
      <w:marRight w:val="0"/>
      <w:marTop w:val="0"/>
      <w:marBottom w:val="0"/>
      <w:divBdr>
        <w:top w:val="none" w:sz="0" w:space="0" w:color="auto"/>
        <w:left w:val="none" w:sz="0" w:space="0" w:color="auto"/>
        <w:bottom w:val="none" w:sz="0" w:space="0" w:color="auto"/>
        <w:right w:val="none" w:sz="0" w:space="0" w:color="auto"/>
      </w:divBdr>
      <w:divsChild>
        <w:div w:id="1840345738">
          <w:marLeft w:val="0"/>
          <w:marRight w:val="0"/>
          <w:marTop w:val="0"/>
          <w:marBottom w:val="0"/>
          <w:divBdr>
            <w:top w:val="none" w:sz="0" w:space="0" w:color="auto"/>
            <w:left w:val="none" w:sz="0" w:space="0" w:color="auto"/>
            <w:bottom w:val="none" w:sz="0" w:space="0" w:color="auto"/>
            <w:right w:val="none" w:sz="0" w:space="0" w:color="auto"/>
          </w:divBdr>
          <w:divsChild>
            <w:div w:id="8991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26145867">
      <w:bodyDiv w:val="1"/>
      <w:marLeft w:val="0"/>
      <w:marRight w:val="0"/>
      <w:marTop w:val="0"/>
      <w:marBottom w:val="0"/>
      <w:divBdr>
        <w:top w:val="none" w:sz="0" w:space="0" w:color="auto"/>
        <w:left w:val="none" w:sz="0" w:space="0" w:color="auto"/>
        <w:bottom w:val="none" w:sz="0" w:space="0" w:color="auto"/>
        <w:right w:val="none" w:sz="0" w:space="0" w:color="auto"/>
      </w:divBdr>
    </w:div>
    <w:div w:id="143710002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114090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2737095">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3302459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0" TargetMode="External"/><Relationship Id="rId13" Type="http://schemas.openxmlformats.org/officeDocument/2006/relationships/hyperlink" Target="https://ich.unesco.org/doc/src/LHE-22-17.COM-6.b-FR.docx" TargetMode="External"/><Relationship Id="rId18" Type="http://schemas.openxmlformats.org/officeDocument/2006/relationships/hyperlink" Target="https://ich.unesco.org/doc/src/LHE-22-17.COM-INF.6.c-FR.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h.unesco.org/fr/resolutions/7.GA/9?dec=resolutions&amp;ref_decision=7.GA"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ch.unesco.org/doc/src/41571-FR.pdf" TargetMode="External"/><Relationship Id="rId25" Type="http://schemas.openxmlformats.org/officeDocument/2006/relationships/hyperlink" Target="https://ich.unesco.org/fr/Decisions/16.COM/7.b" TargetMode="External"/><Relationship Id="rId2" Type="http://schemas.openxmlformats.org/officeDocument/2006/relationships/numbering" Target="numbering.xml"/><Relationship Id="rId16" Type="http://schemas.openxmlformats.org/officeDocument/2006/relationships/hyperlink" Target="https://ich.unesco.org/doc/src/LHE-22-17.COM-INF.6.c-FR.docx" TargetMode="External"/><Relationship Id="rId20" Type="http://schemas.openxmlformats.org/officeDocument/2006/relationships/hyperlink" Target="https://www.unesco.org/sites/default/files/medias/fichiers/2022/10/6.MONDIACULT_FR_DRAFT%20FINAL%20DECLAR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8?dec=decisions&amp;ref_decision=13.COM" TargetMode="External"/><Relationship Id="rId24" Type="http://schemas.openxmlformats.org/officeDocument/2006/relationships/hyperlink" Target="https://ich.unesco.org/fr/Decisions/14.COM/8" TargetMode="External"/><Relationship Id="rId5" Type="http://schemas.openxmlformats.org/officeDocument/2006/relationships/webSettings" Target="webSettings.xml"/><Relationship Id="rId15" Type="http://schemas.openxmlformats.org/officeDocument/2006/relationships/hyperlink" Target="https://ich.unesco.org/doc/src/LHE-21-16.COM-7.b-FR.docx" TargetMode="External"/><Relationship Id="rId23" Type="http://schemas.openxmlformats.org/officeDocument/2006/relationships/hyperlink" Target="https://ich.unesco.org/fr/decisions/13.COM/8?dec=decisions&amp;ref_decision=13.COM" TargetMode="External"/><Relationship Id="rId28" Type="http://schemas.openxmlformats.org/officeDocument/2006/relationships/header" Target="header3.xml"/><Relationship Id="rId10" Type="http://schemas.openxmlformats.org/officeDocument/2006/relationships/hyperlink" Target="https://ich.unesco.org/fr/Decisions/14.COM/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h.unesco.org/fr/resolutions/7.GA/9?dec=resolutions&amp;ref_decision=7.GA" TargetMode="External"/><Relationship Id="rId14" Type="http://schemas.openxmlformats.org/officeDocument/2006/relationships/hyperlink" Target="https://ich.unesco.org/fr/Decisions/16.COM/7.b" TargetMode="External"/><Relationship Id="rId22" Type="http://schemas.openxmlformats.org/officeDocument/2006/relationships/hyperlink" Target="https://ich.unesco.org/fr/Decisions/12.COM/10"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LHE-21-16.COM-INF.10_Rev.-FR.pdf" TargetMode="External"/><Relationship Id="rId1" Type="http://schemas.openxmlformats.org/officeDocument/2006/relationships/hyperlink" Target="https://ich.unesco.org/doc/src/LHE-21-16.COM-10_Rev.-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393</TotalTime>
  <Pages>7</Pages>
  <Words>3278</Words>
  <Characters>18029</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204</cp:revision>
  <cp:lastPrinted>2021-11-15T10:20:00Z</cp:lastPrinted>
  <dcterms:created xsi:type="dcterms:W3CDTF">2022-10-31T10:20:00Z</dcterms:created>
  <dcterms:modified xsi:type="dcterms:W3CDTF">2022-10-31T21:35:00Z</dcterms:modified>
</cp:coreProperties>
</file>