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3E18" w14:textId="77777777" w:rsidR="00FF09AA" w:rsidRPr="00D0012A" w:rsidRDefault="00FF09AA" w:rsidP="00FF09AA">
      <w:pPr>
        <w:spacing w:before="1440"/>
        <w:jc w:val="center"/>
        <w:rPr>
          <w:rFonts w:ascii="Arial" w:hAnsi="Arial" w:cs="Arial"/>
          <w:b/>
          <w:bCs/>
          <w:sz w:val="22"/>
          <w:szCs w:val="22"/>
          <w:lang w:val="en-GB"/>
        </w:rPr>
      </w:pPr>
      <w:r w:rsidRPr="00D0012A">
        <w:rPr>
          <w:rFonts w:ascii="SimSun" w:cs="SimSun" w:hint="eastAsia"/>
          <w:b/>
          <w:bCs/>
          <w:sz w:val="22"/>
          <w:szCs w:val="22"/>
          <w:lang w:val="zh-CN"/>
        </w:rPr>
        <w:t>保护非物质文化遗产公约</w:t>
      </w:r>
    </w:p>
    <w:p w14:paraId="32841ABA" w14:textId="77777777" w:rsidR="00FF09AA" w:rsidRPr="00D0012A" w:rsidRDefault="00FF09AA" w:rsidP="00FF09AA">
      <w:pPr>
        <w:spacing w:before="1200"/>
        <w:jc w:val="center"/>
        <w:rPr>
          <w:rFonts w:ascii="Arial" w:hAnsi="Arial" w:cs="Arial"/>
          <w:b/>
          <w:bCs/>
          <w:sz w:val="22"/>
          <w:szCs w:val="22"/>
          <w:lang w:val="en-GB"/>
        </w:rPr>
      </w:pPr>
      <w:r w:rsidRPr="00D0012A">
        <w:rPr>
          <w:rFonts w:ascii="SimSun" w:cs="SimSun" w:hint="eastAsia"/>
          <w:b/>
          <w:bCs/>
          <w:sz w:val="22"/>
          <w:szCs w:val="22"/>
          <w:lang w:val="zh-CN"/>
        </w:rPr>
        <w:t>《保护非物质文化遗产公约》缔约国大会</w:t>
      </w:r>
    </w:p>
    <w:p w14:paraId="11021CBA" w14:textId="77777777" w:rsidR="00FF09AA" w:rsidRPr="00D0012A" w:rsidRDefault="00FF09AA" w:rsidP="00FF09AA">
      <w:pPr>
        <w:spacing w:before="840"/>
        <w:jc w:val="center"/>
        <w:rPr>
          <w:rFonts w:ascii="SimSun" w:cs="SimSun"/>
          <w:b/>
          <w:bCs/>
          <w:sz w:val="22"/>
          <w:szCs w:val="22"/>
          <w:lang w:val="zh-CN"/>
        </w:rPr>
      </w:pPr>
      <w:r w:rsidRPr="00D0012A">
        <w:rPr>
          <w:rFonts w:ascii="SimSun" w:hAnsi="SimSun" w:cs="SimSun" w:hint="eastAsia"/>
          <w:b/>
          <w:bCs/>
          <w:sz w:val="22"/>
          <w:szCs w:val="22"/>
          <w:lang w:val="zh-CN"/>
        </w:rPr>
        <w:t>第九届会议</w:t>
      </w:r>
    </w:p>
    <w:p w14:paraId="1914C62B" w14:textId="77777777" w:rsidR="00FF09AA" w:rsidRPr="00D0012A" w:rsidRDefault="00FF09AA" w:rsidP="00FF09AA">
      <w:pPr>
        <w:jc w:val="center"/>
        <w:rPr>
          <w:rFonts w:ascii="SimSun" w:hAnsi="SimSun" w:cs="SimSun"/>
          <w:b/>
          <w:bCs/>
          <w:sz w:val="22"/>
          <w:szCs w:val="22"/>
          <w:lang w:val="zh-CN"/>
        </w:rPr>
      </w:pPr>
      <w:r w:rsidRPr="00D0012A">
        <w:rPr>
          <w:rFonts w:ascii="SimSun" w:hAnsi="SimSun" w:cs="SimSun"/>
          <w:b/>
          <w:bCs/>
          <w:sz w:val="22"/>
          <w:szCs w:val="22"/>
          <w:lang w:val="zh-CN"/>
        </w:rPr>
        <w:t>教科文组织总部，</w:t>
      </w:r>
      <w:r w:rsidRPr="00D0012A">
        <w:rPr>
          <w:rFonts w:ascii="SimSun" w:hAnsi="SimSun" w:cs="SimSun" w:hint="eastAsia"/>
          <w:b/>
          <w:bCs/>
          <w:sz w:val="22"/>
          <w:szCs w:val="22"/>
          <w:lang w:val="zh-CN"/>
        </w:rPr>
        <w:t>一</w:t>
      </w:r>
      <w:r w:rsidRPr="00D0012A">
        <w:rPr>
          <w:rFonts w:ascii="SimSun" w:hAnsi="SimSun" w:cs="SimSun"/>
          <w:b/>
          <w:bCs/>
          <w:sz w:val="22"/>
          <w:szCs w:val="22"/>
          <w:lang w:val="zh-CN"/>
        </w:rPr>
        <w:t>号会议厅</w:t>
      </w:r>
    </w:p>
    <w:p w14:paraId="4D0314BF" w14:textId="77777777" w:rsidR="00FF09AA" w:rsidRPr="00D0012A" w:rsidRDefault="00FF09AA" w:rsidP="00FF09AA">
      <w:pPr>
        <w:pStyle w:val="Titre1"/>
        <w:tabs>
          <w:tab w:val="left" w:pos="3465"/>
          <w:tab w:val="center" w:pos="4819"/>
        </w:tabs>
        <w:spacing w:before="0" w:after="0" w:line="240" w:lineRule="auto"/>
        <w:jc w:val="center"/>
        <w:rPr>
          <w:rFonts w:ascii="SimSun" w:hAnsi="SimSun" w:cs="SimSun"/>
          <w:kern w:val="0"/>
          <w:sz w:val="22"/>
          <w:szCs w:val="22"/>
          <w:lang w:val="zh-CN"/>
        </w:rPr>
      </w:pPr>
      <w:r w:rsidRPr="00D0012A">
        <w:rPr>
          <w:rFonts w:ascii="SimSun" w:hAnsi="SimSun" w:cs="SimSun"/>
          <w:kern w:val="0"/>
          <w:sz w:val="22"/>
          <w:szCs w:val="22"/>
          <w:lang w:val="zh-CN"/>
        </w:rPr>
        <w:t>202</w:t>
      </w:r>
      <w:r w:rsidRPr="00D0012A">
        <w:rPr>
          <w:rFonts w:ascii="SimSun" w:hAnsi="SimSun" w:cs="SimSun" w:hint="eastAsia"/>
          <w:kern w:val="0"/>
          <w:sz w:val="22"/>
          <w:szCs w:val="22"/>
          <w:lang w:val="zh-CN"/>
        </w:rPr>
        <w:t>2年7月5日至7日</w:t>
      </w:r>
    </w:p>
    <w:p w14:paraId="1A8796C2" w14:textId="1CC128DC" w:rsidR="00655736" w:rsidRPr="00D0012A" w:rsidRDefault="00655736" w:rsidP="00655736">
      <w:pPr>
        <w:pStyle w:val="Sansinterligne2"/>
        <w:spacing w:before="1200"/>
        <w:jc w:val="center"/>
        <w:rPr>
          <w:rFonts w:ascii="Arial" w:hAnsi="Arial" w:cs="Arial"/>
          <w:b/>
          <w:sz w:val="22"/>
          <w:szCs w:val="22"/>
          <w:lang w:val="en-US"/>
        </w:rPr>
      </w:pPr>
      <w:r w:rsidRPr="00D0012A">
        <w:rPr>
          <w:rFonts w:ascii="Arial" w:hAnsi="Arial" w:hint="eastAsia"/>
          <w:b/>
          <w:sz w:val="22"/>
          <w:u w:val="single"/>
        </w:rPr>
        <w:t>临时议程项目</w:t>
      </w:r>
      <w:r w:rsidRPr="00D0012A">
        <w:rPr>
          <w:rFonts w:ascii="Arial" w:hAnsi="Arial" w:hint="eastAsia"/>
          <w:b/>
          <w:sz w:val="22"/>
          <w:u w:val="single"/>
          <w:lang w:val="en-US"/>
        </w:rPr>
        <w:t>13</w:t>
      </w:r>
      <w:r w:rsidRPr="00D0012A">
        <w:rPr>
          <w:rFonts w:ascii="Arial" w:hAnsi="Arial" w:hint="eastAsia"/>
          <w:b/>
          <w:sz w:val="22"/>
          <w:lang w:val="en-US"/>
        </w:rPr>
        <w:t>：</w:t>
      </w:r>
    </w:p>
    <w:p w14:paraId="32745D4B" w14:textId="77777777" w:rsidR="008F06E7" w:rsidRPr="008F06E7" w:rsidRDefault="008F06E7" w:rsidP="008F06E7">
      <w:pPr>
        <w:pStyle w:val="COMParaDecision"/>
        <w:ind w:left="1701" w:firstLine="0"/>
        <w:rPr>
          <w:rFonts w:cs="Times New Roman"/>
          <w:b/>
          <w:szCs w:val="24"/>
          <w:u w:val="none"/>
          <w:lang w:val="fr-FR"/>
        </w:rPr>
      </w:pPr>
      <w:r w:rsidRPr="008F06E7">
        <w:rPr>
          <w:rFonts w:cs="Times New Roman" w:hint="eastAsia"/>
          <w:b/>
          <w:szCs w:val="24"/>
          <w:u w:val="none"/>
          <w:lang w:val="fr-FR"/>
        </w:rPr>
        <w:t>关于在</w:t>
      </w:r>
      <w:r w:rsidRPr="008F06E7">
        <w:rPr>
          <w:rFonts w:cs="Times New Roman" w:hint="eastAsia"/>
          <w:b/>
          <w:szCs w:val="24"/>
          <w:u w:val="none"/>
          <w:lang w:val="fr-FR"/>
        </w:rPr>
        <w:t xml:space="preserve"> 2023</w:t>
      </w:r>
      <w:r w:rsidRPr="008F06E7">
        <w:rPr>
          <w:rFonts w:cs="Times New Roman"/>
          <w:b/>
          <w:szCs w:val="24"/>
          <w:u w:val="none"/>
          <w:lang w:val="fr-FR"/>
        </w:rPr>
        <w:t xml:space="preserve"> </w:t>
      </w:r>
      <w:r w:rsidRPr="008F06E7">
        <w:rPr>
          <w:rFonts w:cs="Times New Roman" w:hint="eastAsia"/>
          <w:b/>
          <w:szCs w:val="24"/>
          <w:u w:val="none"/>
          <w:lang w:val="fr-FR"/>
        </w:rPr>
        <w:t>年庆祝《保护非物质文化遗产公约》通过二十周年的提议</w:t>
      </w:r>
    </w:p>
    <w:p w14:paraId="51808425" w14:textId="4A5A5F33" w:rsidR="008F06E7" w:rsidRPr="008F06E7" w:rsidRDefault="008F06E7" w:rsidP="00FF09AA">
      <w:pPr>
        <w:pStyle w:val="Sansinterligne2"/>
        <w:jc w:val="center"/>
        <w:rPr>
          <w:rFonts w:ascii="Arial" w:hAnsi="Arial"/>
          <w:b/>
          <w:sz w:val="22"/>
          <w:lang w:val="en-GB"/>
        </w:rPr>
      </w:pPr>
    </w:p>
    <w:p w14:paraId="0803069D" w14:textId="77217BC4" w:rsidR="008F06E7" w:rsidRDefault="008F06E7" w:rsidP="00FF09AA">
      <w:pPr>
        <w:pStyle w:val="Sansinterligne2"/>
        <w:jc w:val="center"/>
        <w:rPr>
          <w:rFonts w:ascii="Arial" w:hAnsi="Arial" w:cs="Arial"/>
          <w:b/>
          <w:sz w:val="22"/>
        </w:rPr>
      </w:pPr>
    </w:p>
    <w:p w14:paraId="5A95FA06" w14:textId="77777777" w:rsidR="008F06E7" w:rsidRPr="00D0012A" w:rsidRDefault="008F06E7" w:rsidP="00FF09AA">
      <w:pPr>
        <w:pStyle w:val="Sansinterligne2"/>
        <w:jc w:val="center"/>
        <w:rPr>
          <w:rFonts w:ascii="Arial" w:hAnsi="Arial" w:cs="Arial"/>
          <w:b/>
          <w:sz w:val="22"/>
          <w:szCs w:val="22"/>
          <w:lang w:val="en-US"/>
        </w:rPr>
      </w:pP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D0012A" w14:paraId="796B6D01" w14:textId="77777777" w:rsidTr="002F312A">
        <w:trPr>
          <w:jc w:val="center"/>
        </w:trPr>
        <w:tc>
          <w:tcPr>
            <w:tcW w:w="5670" w:type="dxa"/>
            <w:vAlign w:val="center"/>
          </w:tcPr>
          <w:p w14:paraId="08389200" w14:textId="77777777" w:rsidR="0057439C" w:rsidRPr="00D0012A" w:rsidRDefault="0057439C" w:rsidP="005B7A35">
            <w:pPr>
              <w:pStyle w:val="Sansinterligne1"/>
              <w:spacing w:before="200" w:after="200"/>
              <w:jc w:val="center"/>
              <w:rPr>
                <w:rFonts w:ascii="Arial" w:hAnsi="Arial" w:cs="Arial"/>
                <w:b/>
                <w:sz w:val="22"/>
                <w:szCs w:val="22"/>
                <w:lang w:val="en-US"/>
              </w:rPr>
            </w:pPr>
            <w:r w:rsidRPr="00D0012A">
              <w:rPr>
                <w:rFonts w:ascii="Arial" w:hAnsi="Arial" w:hint="eastAsia"/>
                <w:b/>
                <w:sz w:val="22"/>
              </w:rPr>
              <w:t>摘要</w:t>
            </w:r>
          </w:p>
          <w:p w14:paraId="3D12F632" w14:textId="09C1E023" w:rsidR="0079127D" w:rsidRPr="00D0012A" w:rsidRDefault="00830204" w:rsidP="0079127D">
            <w:pPr>
              <w:pStyle w:val="GAPara"/>
              <w:numPr>
                <w:ilvl w:val="0"/>
                <w:numId w:val="0"/>
              </w:numPr>
              <w:ind w:left="27"/>
              <w:jc w:val="both"/>
            </w:pPr>
            <w:r w:rsidRPr="00D0012A">
              <w:rPr>
                <w:rFonts w:hint="eastAsia"/>
                <w:snapToGrid/>
              </w:rPr>
              <w:t>2023</w:t>
            </w:r>
            <w:r w:rsidRPr="00D0012A">
              <w:rPr>
                <w:rFonts w:hint="eastAsia"/>
                <w:snapToGrid/>
              </w:rPr>
              <w:t>年是</w:t>
            </w:r>
            <w:r w:rsidRPr="00D0012A">
              <w:rPr>
                <w:rFonts w:hint="eastAsia"/>
                <w:snapToGrid/>
              </w:rPr>
              <w:t>2003</w:t>
            </w:r>
            <w:r w:rsidRPr="00D0012A">
              <w:rPr>
                <w:rFonts w:hint="eastAsia"/>
                <w:snapToGrid/>
              </w:rPr>
              <w:t>年《公约》通过二十周年</w:t>
            </w:r>
            <w:r w:rsidRPr="00D0012A">
              <w:rPr>
                <w:rFonts w:hint="eastAsia"/>
              </w:rPr>
              <w:t>。本文件旨在提供可能有助于大会启动周年纪念筹备工作的内容，并提出举行庆祝活动的框架。</w:t>
            </w:r>
          </w:p>
          <w:p w14:paraId="7D45CA36" w14:textId="4E8834B9" w:rsidR="00655736" w:rsidRPr="00D0012A" w:rsidRDefault="00FB6630" w:rsidP="005B7A35">
            <w:pPr>
              <w:pStyle w:val="Sansinterligne2"/>
              <w:spacing w:after="120"/>
              <w:jc w:val="both"/>
              <w:rPr>
                <w:rFonts w:ascii="Arial" w:hAnsi="Arial" w:cs="Arial"/>
                <w:b/>
                <w:sz w:val="22"/>
                <w:szCs w:val="22"/>
              </w:rPr>
            </w:pPr>
            <w:r w:rsidRPr="00D0012A">
              <w:rPr>
                <w:rFonts w:ascii="Arial" w:hAnsi="Arial" w:hint="eastAsia"/>
                <w:b/>
                <w:sz w:val="22"/>
              </w:rPr>
              <w:t>需要做出的决定：</w:t>
            </w:r>
            <w:r w:rsidRPr="00D0012A">
              <w:rPr>
                <w:rFonts w:ascii="Arial" w:hAnsi="Arial" w:hint="eastAsia"/>
                <w:sz w:val="22"/>
              </w:rPr>
              <w:t>第</w:t>
            </w:r>
            <w:r w:rsidR="003E1701">
              <w:rPr>
                <w:rFonts w:ascii="Arial" w:hAnsi="Arial" w:hint="eastAsia"/>
                <w:sz w:val="22"/>
              </w:rPr>
              <w:t>9</w:t>
            </w:r>
            <w:r w:rsidRPr="00D0012A">
              <w:rPr>
                <w:rFonts w:ascii="Arial" w:hAnsi="Arial" w:hint="eastAsia"/>
                <w:sz w:val="22"/>
              </w:rPr>
              <w:t>段</w:t>
            </w:r>
          </w:p>
        </w:tc>
      </w:tr>
    </w:tbl>
    <w:p w14:paraId="2941B514" w14:textId="77777777" w:rsidR="00176720" w:rsidRPr="00D0012A" w:rsidRDefault="00655736" w:rsidP="00176720">
      <w:pPr>
        <w:pStyle w:val="GAPara"/>
        <w:numPr>
          <w:ilvl w:val="0"/>
          <w:numId w:val="0"/>
        </w:numPr>
        <w:jc w:val="both"/>
      </w:pPr>
      <w:r w:rsidRPr="00D0012A">
        <w:rPr>
          <w:rFonts w:hint="eastAsia"/>
        </w:rPr>
        <w:br w:type="page"/>
      </w:r>
    </w:p>
    <w:p w14:paraId="1D5B154A" w14:textId="39AA129B" w:rsidR="00BA17EF" w:rsidRPr="00682564" w:rsidRDefault="00682564" w:rsidP="00682564">
      <w:pPr>
        <w:pStyle w:val="GAPara"/>
        <w:numPr>
          <w:ilvl w:val="0"/>
          <w:numId w:val="0"/>
        </w:numPr>
        <w:jc w:val="both"/>
        <w:rPr>
          <w:b/>
          <w:bCs/>
          <w:sz w:val="24"/>
          <w:szCs w:val="24"/>
        </w:rPr>
      </w:pPr>
      <w:r w:rsidRPr="00682564">
        <w:rPr>
          <w:rFonts w:hint="eastAsia"/>
          <w:b/>
          <w:sz w:val="24"/>
          <w:szCs w:val="24"/>
        </w:rPr>
        <w:lastRenderedPageBreak/>
        <w:t>简介</w:t>
      </w:r>
    </w:p>
    <w:p w14:paraId="7282BD35" w14:textId="5B30A6F4" w:rsidR="00FC5562" w:rsidRPr="00D0012A" w:rsidRDefault="00E71E7D" w:rsidP="00FC5562">
      <w:pPr>
        <w:pStyle w:val="GAPara"/>
        <w:numPr>
          <w:ilvl w:val="0"/>
          <w:numId w:val="19"/>
        </w:numPr>
        <w:ind w:left="567" w:hanging="567"/>
        <w:jc w:val="both"/>
      </w:pPr>
      <w:r w:rsidRPr="00D0012A">
        <w:rPr>
          <w:rFonts w:hint="eastAsia"/>
        </w:rPr>
        <w:t>2023</w:t>
      </w:r>
      <w:r w:rsidRPr="00D0012A">
        <w:rPr>
          <w:rFonts w:hint="eastAsia"/>
        </w:rPr>
        <w:t>年是</w:t>
      </w:r>
      <w:r w:rsidR="00682564" w:rsidRPr="00D0012A">
        <w:rPr>
          <w:rFonts w:hint="eastAsia"/>
        </w:rPr>
        <w:t>《保护非物质文化遗产公约》</w:t>
      </w:r>
      <w:r w:rsidR="00682564">
        <w:rPr>
          <w:rFonts w:hint="eastAsia"/>
        </w:rPr>
        <w:t>通过</w:t>
      </w:r>
      <w:r w:rsidR="00682564" w:rsidRPr="00D0012A">
        <w:rPr>
          <w:rFonts w:hint="eastAsia"/>
        </w:rPr>
        <w:t>二十周年</w:t>
      </w:r>
      <w:r w:rsidR="00682564">
        <w:rPr>
          <w:rFonts w:hint="eastAsia"/>
        </w:rPr>
        <w:t>，《公约》于</w:t>
      </w:r>
      <w:r w:rsidRPr="00D0012A">
        <w:rPr>
          <w:rFonts w:hint="eastAsia"/>
        </w:rPr>
        <w:t>2003</w:t>
      </w:r>
      <w:r w:rsidRPr="00D0012A">
        <w:rPr>
          <w:rFonts w:hint="eastAsia"/>
        </w:rPr>
        <w:t>年</w:t>
      </w:r>
      <w:r w:rsidRPr="00D0012A">
        <w:rPr>
          <w:rFonts w:hint="eastAsia"/>
        </w:rPr>
        <w:t>10</w:t>
      </w:r>
      <w:r w:rsidRPr="00D0012A">
        <w:rPr>
          <w:rFonts w:hint="eastAsia"/>
        </w:rPr>
        <w:t>月</w:t>
      </w:r>
      <w:r w:rsidRPr="00D0012A">
        <w:rPr>
          <w:rFonts w:hint="eastAsia"/>
        </w:rPr>
        <w:t>17</w:t>
      </w:r>
      <w:r w:rsidRPr="00D0012A">
        <w:rPr>
          <w:rFonts w:hint="eastAsia"/>
        </w:rPr>
        <w:t>日</w:t>
      </w:r>
      <w:r w:rsidR="00682564">
        <w:rPr>
          <w:rFonts w:hint="eastAsia"/>
        </w:rPr>
        <w:t>在</w:t>
      </w:r>
      <w:r w:rsidRPr="00D0012A">
        <w:rPr>
          <w:rFonts w:hint="eastAsia"/>
        </w:rPr>
        <w:t>教科文组织大会第三十二届会议通过。</w:t>
      </w:r>
    </w:p>
    <w:p w14:paraId="15BD13E2" w14:textId="541F030B" w:rsidR="00FC5562" w:rsidRPr="00D0012A" w:rsidRDefault="00FC5562" w:rsidP="00FC5562">
      <w:pPr>
        <w:pStyle w:val="GAPara"/>
        <w:numPr>
          <w:ilvl w:val="0"/>
          <w:numId w:val="19"/>
        </w:numPr>
        <w:ind w:left="567" w:hanging="567"/>
        <w:jc w:val="both"/>
      </w:pPr>
      <w:r w:rsidRPr="00D0012A">
        <w:rPr>
          <w:rFonts w:hint="eastAsia"/>
        </w:rPr>
        <w:t>《公约》迄今取得的主要成就可归纳如下：</w:t>
      </w:r>
    </w:p>
    <w:p w14:paraId="51B538DD" w14:textId="32CE95DA" w:rsidR="00FC6573" w:rsidRPr="00D0012A" w:rsidRDefault="00BA17EF" w:rsidP="00FC6573">
      <w:pPr>
        <w:pStyle w:val="GAPara"/>
        <w:numPr>
          <w:ilvl w:val="0"/>
          <w:numId w:val="20"/>
        </w:numPr>
        <w:jc w:val="both"/>
      </w:pPr>
      <w:r w:rsidRPr="00D0012A">
        <w:rPr>
          <w:rFonts w:hint="eastAsia"/>
        </w:rPr>
        <w:t>迄今为止，《公约》已有</w:t>
      </w:r>
      <w:r w:rsidRPr="00D0012A">
        <w:rPr>
          <w:rFonts w:hint="eastAsia"/>
        </w:rPr>
        <w:t>180</w:t>
      </w:r>
      <w:r w:rsidRPr="00D0012A">
        <w:rPr>
          <w:rFonts w:hint="eastAsia"/>
        </w:rPr>
        <w:t>个缔约国，在国际</w:t>
      </w:r>
      <w:r w:rsidR="00FC7929">
        <w:rPr>
          <w:rFonts w:hint="eastAsia"/>
        </w:rPr>
        <w:t>一级</w:t>
      </w:r>
      <w:r w:rsidRPr="00D0012A">
        <w:rPr>
          <w:rFonts w:hint="eastAsia"/>
        </w:rPr>
        <w:t>牢固确立了对非物质文化遗产的保护，并已成为缔约国在制定必要的公共政策和法律时的主要参考，同时</w:t>
      </w:r>
      <w:r w:rsidR="008E5C95">
        <w:rPr>
          <w:rFonts w:hint="eastAsia"/>
        </w:rPr>
        <w:t>确立</w:t>
      </w:r>
      <w:r w:rsidR="00D463E2">
        <w:rPr>
          <w:rFonts w:hint="eastAsia"/>
        </w:rPr>
        <w:t>了</w:t>
      </w:r>
      <w:r w:rsidRPr="00D0012A">
        <w:rPr>
          <w:rFonts w:hint="eastAsia"/>
        </w:rPr>
        <w:t>相关社区、团体和个人的核心作用。</w:t>
      </w:r>
    </w:p>
    <w:p w14:paraId="5CE175C0" w14:textId="3DC0759D" w:rsidR="00FC6573" w:rsidRDefault="00FC6573" w:rsidP="00FC6573">
      <w:pPr>
        <w:pStyle w:val="GAPara"/>
        <w:numPr>
          <w:ilvl w:val="0"/>
          <w:numId w:val="20"/>
        </w:numPr>
        <w:jc w:val="both"/>
      </w:pPr>
      <w:r w:rsidRPr="00D0012A">
        <w:rPr>
          <w:rFonts w:hint="eastAsia"/>
        </w:rPr>
        <w:t>最重要的是，作为迅速和</w:t>
      </w:r>
      <w:r w:rsidR="002579C0">
        <w:rPr>
          <w:rFonts w:hint="eastAsia"/>
        </w:rPr>
        <w:t>近乎全球</w:t>
      </w:r>
      <w:r w:rsidRPr="00D0012A">
        <w:rPr>
          <w:rFonts w:hint="eastAsia"/>
        </w:rPr>
        <w:t>普遍批准</w:t>
      </w:r>
      <w:r w:rsidRPr="00D0012A">
        <w:rPr>
          <w:rFonts w:hint="eastAsia"/>
        </w:rPr>
        <w:t>2003</w:t>
      </w:r>
      <w:r w:rsidRPr="00D0012A">
        <w:rPr>
          <w:rFonts w:hint="eastAsia"/>
        </w:rPr>
        <w:t>年《公约》的直接后续行动，世界各地区的缔约国制定并实施了旨在保护其领土上存在的非物质文化遗产的项目、</w:t>
      </w:r>
      <w:r w:rsidR="00FF09AA" w:rsidRPr="00D0012A">
        <w:rPr>
          <w:rFonts w:hint="eastAsia"/>
        </w:rPr>
        <w:t>方案和政策</w:t>
      </w:r>
      <w:r w:rsidRPr="00D0012A">
        <w:rPr>
          <w:rFonts w:hint="eastAsia"/>
        </w:rPr>
        <w:t>，以及支持这些项目、</w:t>
      </w:r>
      <w:r w:rsidR="00FF09AA" w:rsidRPr="00D0012A">
        <w:rPr>
          <w:rFonts w:hint="eastAsia"/>
        </w:rPr>
        <w:t>方案和政策</w:t>
      </w:r>
      <w:r w:rsidRPr="00D0012A">
        <w:rPr>
          <w:rFonts w:hint="eastAsia"/>
        </w:rPr>
        <w:t>的体制框架。这与大约</w:t>
      </w:r>
      <w:r w:rsidRPr="00D0012A">
        <w:rPr>
          <w:rFonts w:hint="eastAsia"/>
        </w:rPr>
        <w:t>20</w:t>
      </w:r>
      <w:r w:rsidRPr="00D0012A">
        <w:rPr>
          <w:rFonts w:hint="eastAsia"/>
        </w:rPr>
        <w:t>年前的情况形成鲜明对比，当时只有少数国家有专门保护活态遗产的体制和政策框架。</w:t>
      </w:r>
    </w:p>
    <w:p w14:paraId="66B4BB32" w14:textId="05460326" w:rsidR="00483135" w:rsidRPr="00D0012A" w:rsidRDefault="00483135" w:rsidP="00FC6573">
      <w:pPr>
        <w:pStyle w:val="GAPara"/>
        <w:numPr>
          <w:ilvl w:val="0"/>
          <w:numId w:val="20"/>
        </w:numPr>
        <w:jc w:val="both"/>
      </w:pPr>
      <w:r>
        <w:rPr>
          <w:rFonts w:hint="eastAsia"/>
        </w:rPr>
        <w:t>同时，对保护非物质文化遗产的认识在全球层面有</w:t>
      </w:r>
      <w:r w:rsidR="002579C0">
        <w:rPr>
          <w:rFonts w:hint="eastAsia"/>
        </w:rPr>
        <w:t>了</w:t>
      </w:r>
      <w:r>
        <w:rPr>
          <w:rFonts w:hint="eastAsia"/>
        </w:rPr>
        <w:t>显著提高</w:t>
      </w:r>
      <w:r w:rsidR="00CA6344">
        <w:rPr>
          <w:rFonts w:hint="eastAsia"/>
        </w:rPr>
        <w:t>，</w:t>
      </w:r>
      <w:r>
        <w:rPr>
          <w:rFonts w:hint="eastAsia"/>
        </w:rPr>
        <w:t>尤其是通过</w:t>
      </w:r>
      <w:r w:rsidR="002F4E51">
        <w:rPr>
          <w:rFonts w:hint="eastAsia"/>
        </w:rPr>
        <w:t>项目</w:t>
      </w:r>
      <w:r>
        <w:rPr>
          <w:rFonts w:hint="eastAsia"/>
        </w:rPr>
        <w:t>列入</w:t>
      </w:r>
      <w:r w:rsidR="002579C0">
        <w:rPr>
          <w:rFonts w:hint="eastAsia"/>
        </w:rPr>
        <w:t>《</w:t>
      </w:r>
      <w:r>
        <w:rPr>
          <w:rFonts w:hint="eastAsia"/>
        </w:rPr>
        <w:t>人类</w:t>
      </w:r>
      <w:r w:rsidR="002F4E51">
        <w:rPr>
          <w:rFonts w:hint="eastAsia"/>
        </w:rPr>
        <w:t>非物质文化遗产</w:t>
      </w:r>
      <w:r>
        <w:rPr>
          <w:rFonts w:hint="eastAsia"/>
        </w:rPr>
        <w:t>代表作名录</w:t>
      </w:r>
      <w:r w:rsidR="002579C0">
        <w:rPr>
          <w:rFonts w:hint="eastAsia"/>
        </w:rPr>
        <w:t>》</w:t>
      </w:r>
      <w:r>
        <w:rPr>
          <w:rFonts w:hint="eastAsia"/>
        </w:rPr>
        <w:t>。这对于在专业操作和公共层面提高对</w:t>
      </w:r>
      <w:r w:rsidR="002F4E51">
        <w:rPr>
          <w:rFonts w:hint="eastAsia"/>
        </w:rPr>
        <w:t>非物质文化遗产的认识奠定了基础。</w:t>
      </w:r>
    </w:p>
    <w:p w14:paraId="37B255F6" w14:textId="1D8A266D" w:rsidR="00FC5562" w:rsidRPr="00D0012A" w:rsidRDefault="00BB74C8" w:rsidP="001D3D34">
      <w:pPr>
        <w:pStyle w:val="GAPara"/>
        <w:numPr>
          <w:ilvl w:val="0"/>
          <w:numId w:val="20"/>
        </w:numPr>
        <w:jc w:val="both"/>
      </w:pPr>
      <w:r w:rsidRPr="00D0012A">
        <w:rPr>
          <w:rFonts w:hint="eastAsia"/>
        </w:rPr>
        <w:t>《公约》的影响通过改革后的定期报告机制在各个层面进行监测，该机制通过缔约国的广泛参与及其对成果的重视（与</w:t>
      </w:r>
      <w:r w:rsidRPr="00D0012A">
        <w:rPr>
          <w:rFonts w:hint="eastAsia"/>
        </w:rPr>
        <w:t>2018</w:t>
      </w:r>
      <w:r w:rsidRPr="00D0012A">
        <w:rPr>
          <w:rFonts w:hint="eastAsia"/>
        </w:rPr>
        <w:t>年</w:t>
      </w:r>
      <w:r w:rsidR="00CA6344">
        <w:rPr>
          <w:rFonts w:hint="eastAsia"/>
        </w:rPr>
        <w:t>缔约国</w:t>
      </w:r>
      <w:r w:rsidRPr="00D0012A">
        <w:rPr>
          <w:rFonts w:hint="eastAsia"/>
        </w:rPr>
        <w:t>大会第七届会议通过的</w:t>
      </w:r>
      <w:r w:rsidRPr="00D0012A">
        <w:rPr>
          <w:rFonts w:hint="eastAsia"/>
        </w:rPr>
        <w:t>2003</w:t>
      </w:r>
      <w:r w:rsidRPr="00D0012A">
        <w:rPr>
          <w:rFonts w:hint="eastAsia"/>
        </w:rPr>
        <w:t>年《公约》总体成果框架保持一致），证明了其有效性。</w:t>
      </w:r>
    </w:p>
    <w:p w14:paraId="532CCEEF" w14:textId="437397EB" w:rsidR="00C42C66" w:rsidRPr="00D0012A" w:rsidRDefault="00D57858" w:rsidP="00D57858">
      <w:pPr>
        <w:pStyle w:val="GAPara"/>
        <w:numPr>
          <w:ilvl w:val="0"/>
          <w:numId w:val="19"/>
        </w:numPr>
        <w:ind w:left="567" w:hanging="567"/>
        <w:jc w:val="both"/>
      </w:pPr>
      <w:r w:rsidRPr="00D0012A">
        <w:rPr>
          <w:rFonts w:hint="eastAsia"/>
        </w:rPr>
        <w:t>二十周年</w:t>
      </w:r>
      <w:r w:rsidR="002579C0" w:rsidRPr="00D0012A">
        <w:rPr>
          <w:rFonts w:hint="eastAsia"/>
        </w:rPr>
        <w:t>庆祝</w:t>
      </w:r>
      <w:r w:rsidRPr="00D0012A">
        <w:rPr>
          <w:rFonts w:hint="eastAsia"/>
        </w:rPr>
        <w:t>活动将为</w:t>
      </w:r>
      <w:r w:rsidRPr="00D0012A">
        <w:rPr>
          <w:rFonts w:hint="eastAsia"/>
        </w:rPr>
        <w:t>2003</w:t>
      </w:r>
      <w:r w:rsidRPr="00D0012A">
        <w:rPr>
          <w:rFonts w:hint="eastAsia"/>
        </w:rPr>
        <w:t>年《公约》的利益攸关方提供一个重要的机会来</w:t>
      </w:r>
      <w:r w:rsidR="002579C0">
        <w:rPr>
          <w:rFonts w:hint="eastAsia"/>
        </w:rPr>
        <w:t>回顾</w:t>
      </w:r>
      <w:r w:rsidRPr="00D0012A">
        <w:rPr>
          <w:rFonts w:hint="eastAsia"/>
        </w:rPr>
        <w:t>迄今取得的成就，并思考《公约》在今后几十年应遵循的</w:t>
      </w:r>
      <w:r w:rsidR="002579C0">
        <w:rPr>
          <w:rFonts w:hint="eastAsia"/>
        </w:rPr>
        <w:t>发展</w:t>
      </w:r>
      <w:r w:rsidRPr="00D0012A">
        <w:rPr>
          <w:rFonts w:hint="eastAsia"/>
        </w:rPr>
        <w:t>方向。</w:t>
      </w:r>
      <w:r w:rsidR="002579C0">
        <w:rPr>
          <w:rFonts w:hint="eastAsia"/>
        </w:rPr>
        <w:t>同时，</w:t>
      </w:r>
      <w:r w:rsidR="004241BE">
        <w:rPr>
          <w:rFonts w:hint="eastAsia"/>
        </w:rPr>
        <w:t>也</w:t>
      </w:r>
      <w:r w:rsidR="002579C0">
        <w:rPr>
          <w:rFonts w:hint="eastAsia"/>
        </w:rPr>
        <w:t>是一个广泛提高对活态遗产认识的机会。</w:t>
      </w:r>
      <w:r w:rsidRPr="00D0012A">
        <w:rPr>
          <w:rFonts w:hint="eastAsia"/>
        </w:rPr>
        <w:t>本文件旨在提供可帮助大会启动周年纪念筹备工作的内容。</w:t>
      </w:r>
    </w:p>
    <w:p w14:paraId="0D266C2A" w14:textId="355C89B6" w:rsidR="006B2F66" w:rsidRPr="00D0012A" w:rsidRDefault="001902D3" w:rsidP="003D33E7">
      <w:pPr>
        <w:pStyle w:val="GAPara"/>
        <w:numPr>
          <w:ilvl w:val="0"/>
          <w:numId w:val="0"/>
        </w:numPr>
        <w:spacing w:before="360"/>
        <w:jc w:val="both"/>
        <w:rPr>
          <w:b/>
          <w:bCs/>
        </w:rPr>
      </w:pPr>
      <w:r w:rsidRPr="00D0012A">
        <w:rPr>
          <w:rFonts w:hint="eastAsia"/>
          <w:b/>
        </w:rPr>
        <w:t>国际一级的主要活动</w:t>
      </w:r>
    </w:p>
    <w:p w14:paraId="1D319B0F" w14:textId="14090000" w:rsidR="00F57450" w:rsidRPr="00F57450" w:rsidRDefault="00033C6B" w:rsidP="00F57450">
      <w:pPr>
        <w:pStyle w:val="GAPara"/>
        <w:numPr>
          <w:ilvl w:val="0"/>
          <w:numId w:val="19"/>
        </w:numPr>
        <w:ind w:left="567" w:hanging="567"/>
        <w:jc w:val="both"/>
      </w:pPr>
      <w:r w:rsidRPr="00323C4C">
        <w:rPr>
          <w:snapToGrid/>
        </w:rPr>
        <w:t>2023</w:t>
      </w:r>
      <w:r>
        <w:rPr>
          <w:rFonts w:hint="eastAsia"/>
          <w:snapToGrid/>
        </w:rPr>
        <w:t>整年将开展一系列以</w:t>
      </w:r>
      <w:r w:rsidR="00957085">
        <w:rPr>
          <w:rFonts w:hint="eastAsia"/>
          <w:snapToGrid/>
        </w:rPr>
        <w:t>展示活态遗产多样性</w:t>
      </w:r>
      <w:r w:rsidR="00957085" w:rsidRPr="00F57450">
        <w:rPr>
          <w:rFonts w:hint="eastAsia"/>
          <w:snapToGrid/>
        </w:rPr>
        <w:t>、</w:t>
      </w:r>
      <w:r w:rsidR="00957085">
        <w:rPr>
          <w:rFonts w:hint="eastAsia"/>
          <w:snapToGrid/>
        </w:rPr>
        <w:t>丰富性，以及</w:t>
      </w:r>
      <w:r>
        <w:rPr>
          <w:rFonts w:hint="eastAsia"/>
          <w:snapToGrid/>
        </w:rPr>
        <w:t>在公共层面提高对保护非物质文化遗产的认识的庆祝活动。</w:t>
      </w:r>
    </w:p>
    <w:p w14:paraId="1AD66954" w14:textId="7B0F088E" w:rsidR="00992591" w:rsidRPr="00D0012A" w:rsidRDefault="00957085" w:rsidP="003E1701">
      <w:pPr>
        <w:pStyle w:val="GAPara"/>
        <w:numPr>
          <w:ilvl w:val="0"/>
          <w:numId w:val="19"/>
        </w:numPr>
        <w:ind w:left="567" w:hanging="567"/>
        <w:jc w:val="both"/>
      </w:pPr>
      <w:r>
        <w:rPr>
          <w:rFonts w:hint="eastAsia"/>
          <w:snapToGrid/>
        </w:rPr>
        <w:t>也</w:t>
      </w:r>
      <w:r w:rsidR="00BE4A58" w:rsidRPr="00F57450">
        <w:rPr>
          <w:rFonts w:hint="eastAsia"/>
          <w:snapToGrid/>
        </w:rPr>
        <w:t>提议周年庆祝活动</w:t>
      </w:r>
      <w:r w:rsidR="00323C4C">
        <w:rPr>
          <w:rFonts w:hint="eastAsia"/>
          <w:snapToGrid/>
        </w:rPr>
        <w:t>以</w:t>
      </w:r>
      <w:r w:rsidR="00BE4A58" w:rsidRPr="00957085">
        <w:rPr>
          <w:rFonts w:hint="eastAsia"/>
          <w:snapToGrid/>
        </w:rPr>
        <w:t>2003</w:t>
      </w:r>
      <w:r w:rsidR="00BE4A58" w:rsidRPr="00957085">
        <w:rPr>
          <w:rFonts w:hint="eastAsia"/>
          <w:snapToGrid/>
        </w:rPr>
        <w:t>年《公约》的实施</w:t>
      </w:r>
      <w:r w:rsidR="009B3891" w:rsidRPr="00957085">
        <w:rPr>
          <w:rFonts w:hint="eastAsia"/>
          <w:snapToGrid/>
        </w:rPr>
        <w:t>为活态遗产保护带来的</w:t>
      </w:r>
      <w:r w:rsidR="0016511A" w:rsidRPr="00957085">
        <w:rPr>
          <w:rFonts w:hint="eastAsia"/>
          <w:snapToGrid/>
        </w:rPr>
        <w:t>改变</w:t>
      </w:r>
      <w:r w:rsidR="009B3891">
        <w:rPr>
          <w:rFonts w:hint="eastAsia"/>
          <w:snapToGrid/>
        </w:rPr>
        <w:t>为主题，</w:t>
      </w:r>
      <w:r w:rsidR="009B3891">
        <w:rPr>
          <w:rFonts w:hint="eastAsia"/>
          <w:snapToGrid/>
        </w:rPr>
        <w:t xml:space="preserve"> </w:t>
      </w:r>
      <w:r w:rsidR="009B3891">
        <w:rPr>
          <w:rFonts w:hint="eastAsia"/>
          <w:snapToGrid/>
        </w:rPr>
        <w:t>探讨在</w:t>
      </w:r>
      <w:r w:rsidR="00BE4A58" w:rsidRPr="00F57450">
        <w:rPr>
          <w:rFonts w:hint="eastAsia"/>
          <w:snapToGrid/>
        </w:rPr>
        <w:t>地方</w:t>
      </w:r>
      <w:r w:rsidR="009B3891" w:rsidRPr="00F57450">
        <w:rPr>
          <w:rFonts w:hint="eastAsia"/>
          <w:snapToGrid/>
        </w:rPr>
        <w:t>、</w:t>
      </w:r>
      <w:r w:rsidR="00BE4A58" w:rsidRPr="00F57450">
        <w:rPr>
          <w:rFonts w:hint="eastAsia"/>
          <w:snapToGrid/>
        </w:rPr>
        <w:t>国家</w:t>
      </w:r>
      <w:r w:rsidR="009B3891">
        <w:rPr>
          <w:rFonts w:hint="eastAsia"/>
          <w:snapToGrid/>
        </w:rPr>
        <w:t>和</w:t>
      </w:r>
      <w:r w:rsidR="00323C4C">
        <w:rPr>
          <w:rFonts w:hint="eastAsia"/>
          <w:snapToGrid/>
        </w:rPr>
        <w:t>国际</w:t>
      </w:r>
      <w:r w:rsidR="009B3891">
        <w:rPr>
          <w:rFonts w:hint="eastAsia"/>
          <w:snapToGrid/>
        </w:rPr>
        <w:t>不同层面</w:t>
      </w:r>
      <w:r w:rsidR="00BE4A58" w:rsidRPr="00F57450">
        <w:rPr>
          <w:rFonts w:hint="eastAsia"/>
          <w:snapToGrid/>
        </w:rPr>
        <w:t>的</w:t>
      </w:r>
      <w:r w:rsidR="009B3891">
        <w:rPr>
          <w:rFonts w:hint="eastAsia"/>
          <w:snapToGrid/>
        </w:rPr>
        <w:t>变化</w:t>
      </w:r>
      <w:r w:rsidR="00BE4A58" w:rsidRPr="00F57450">
        <w:rPr>
          <w:rFonts w:hint="eastAsia"/>
          <w:snapToGrid/>
        </w:rPr>
        <w:t>。</w:t>
      </w:r>
      <w:r>
        <w:rPr>
          <w:rFonts w:hint="eastAsia"/>
          <w:snapToGrid/>
        </w:rPr>
        <w:t>庆祝和宣传活动</w:t>
      </w:r>
      <w:r w:rsidR="003E1701">
        <w:rPr>
          <w:rFonts w:hint="eastAsia"/>
          <w:snapToGrid/>
        </w:rPr>
        <w:t>将</w:t>
      </w:r>
      <w:r w:rsidR="005833AA">
        <w:rPr>
          <w:rFonts w:hint="eastAsia"/>
          <w:snapToGrid/>
        </w:rPr>
        <w:t>通过包括活态遗产传承人</w:t>
      </w:r>
      <w:r w:rsidR="005833AA" w:rsidRPr="00F57450">
        <w:rPr>
          <w:rFonts w:hint="eastAsia"/>
          <w:snapToGrid/>
        </w:rPr>
        <w:t>、</w:t>
      </w:r>
      <w:r w:rsidR="005833AA">
        <w:rPr>
          <w:rFonts w:hint="eastAsia"/>
          <w:snapToGrid/>
        </w:rPr>
        <w:t>原住民社区和青年在内的行动者的广泛参与，</w:t>
      </w:r>
      <w:r w:rsidR="003E1701">
        <w:rPr>
          <w:rFonts w:hint="eastAsia"/>
          <w:snapToGrid/>
        </w:rPr>
        <w:t>突出活态遗产</w:t>
      </w:r>
      <w:r w:rsidR="005833AA">
        <w:rPr>
          <w:rFonts w:hint="eastAsia"/>
          <w:snapToGrid/>
        </w:rPr>
        <w:t>所蕴藏</w:t>
      </w:r>
      <w:r w:rsidR="003E1701">
        <w:rPr>
          <w:rFonts w:hint="eastAsia"/>
          <w:snapToGrid/>
        </w:rPr>
        <w:t>的</w:t>
      </w:r>
      <w:r w:rsidR="005833AA">
        <w:rPr>
          <w:rFonts w:hint="eastAsia"/>
          <w:snapToGrid/>
        </w:rPr>
        <w:t>人类</w:t>
      </w:r>
      <w:r w:rsidR="003E1701">
        <w:rPr>
          <w:rFonts w:hint="eastAsia"/>
          <w:snapToGrid/>
        </w:rPr>
        <w:t>活力</w:t>
      </w:r>
      <w:r w:rsidR="005833AA" w:rsidRPr="00F57450">
        <w:rPr>
          <w:rFonts w:hint="eastAsia"/>
          <w:snapToGrid/>
        </w:rPr>
        <w:t>、</w:t>
      </w:r>
      <w:r w:rsidR="003E1701">
        <w:rPr>
          <w:rFonts w:hint="eastAsia"/>
          <w:snapToGrid/>
        </w:rPr>
        <w:t>彰</w:t>
      </w:r>
      <w:proofErr w:type="gramStart"/>
      <w:r w:rsidR="003E1701">
        <w:rPr>
          <w:rFonts w:hint="eastAsia"/>
          <w:snapToGrid/>
        </w:rPr>
        <w:t>显保护</w:t>
      </w:r>
      <w:proofErr w:type="gramEnd"/>
      <w:r w:rsidR="003E1701">
        <w:rPr>
          <w:rFonts w:hint="eastAsia"/>
          <w:snapToGrid/>
        </w:rPr>
        <w:t>非物质文化遗产对现在和未来社会发展所发挥的作用。尤其是青年，将通过社交媒体平台，广泛参与到提高对保护非物质文化遗产的</w:t>
      </w:r>
      <w:r w:rsidR="001E783F">
        <w:rPr>
          <w:rFonts w:hint="eastAsia"/>
          <w:snapToGrid/>
        </w:rPr>
        <w:t>认识的</w:t>
      </w:r>
      <w:r w:rsidR="003E1701">
        <w:rPr>
          <w:rFonts w:hint="eastAsia"/>
          <w:snapToGrid/>
        </w:rPr>
        <w:t>活动中来。</w:t>
      </w:r>
    </w:p>
    <w:p w14:paraId="06E043C9" w14:textId="61961E02" w:rsidR="00731C8A" w:rsidRPr="00D0012A" w:rsidRDefault="0016511A" w:rsidP="00D770EC">
      <w:pPr>
        <w:pStyle w:val="GAPara"/>
        <w:numPr>
          <w:ilvl w:val="0"/>
          <w:numId w:val="19"/>
        </w:numPr>
        <w:ind w:left="567" w:hanging="567"/>
        <w:jc w:val="both"/>
      </w:pPr>
      <w:r>
        <w:rPr>
          <w:rFonts w:hint="eastAsia"/>
        </w:rPr>
        <w:t>无需赘言</w:t>
      </w:r>
      <w:r w:rsidR="000B60D0" w:rsidRPr="00D0012A">
        <w:rPr>
          <w:rFonts w:hint="eastAsia"/>
        </w:rPr>
        <w:t>，</w:t>
      </w:r>
      <w:r>
        <w:rPr>
          <w:rFonts w:hint="eastAsia"/>
        </w:rPr>
        <w:t>以上</w:t>
      </w:r>
      <w:r w:rsidR="000B60D0" w:rsidRPr="00D0012A">
        <w:rPr>
          <w:rFonts w:hint="eastAsia"/>
        </w:rPr>
        <w:t>计划取决于能否及时获得预算外支</w:t>
      </w:r>
      <w:r>
        <w:rPr>
          <w:rFonts w:hint="eastAsia"/>
        </w:rPr>
        <w:t>持</w:t>
      </w:r>
      <w:r w:rsidR="000B60D0" w:rsidRPr="00D0012A">
        <w:rPr>
          <w:rFonts w:hint="eastAsia"/>
        </w:rPr>
        <w:t>，以补充</w:t>
      </w:r>
      <w:r w:rsidR="00263DD3">
        <w:rPr>
          <w:rFonts w:hint="eastAsia"/>
        </w:rPr>
        <w:t>常规计划项目</w:t>
      </w:r>
      <w:r>
        <w:rPr>
          <w:rFonts w:hint="eastAsia"/>
        </w:rPr>
        <w:t>及非物质文化遗产基金（“其他</w:t>
      </w:r>
      <w:r w:rsidR="00263DD3">
        <w:rPr>
          <w:rFonts w:hint="eastAsia"/>
        </w:rPr>
        <w:t>职能</w:t>
      </w:r>
      <w:r w:rsidR="00263DD3" w:rsidRPr="00961A51">
        <w:rPr>
          <w:rFonts w:hint="eastAsia"/>
        </w:rPr>
        <w:t>”</w:t>
      </w:r>
      <w:r>
        <w:rPr>
          <w:rFonts w:hint="eastAsia"/>
        </w:rPr>
        <w:t>）</w:t>
      </w:r>
      <w:r w:rsidR="000B60D0" w:rsidRPr="00D0012A">
        <w:rPr>
          <w:rFonts w:hint="eastAsia"/>
        </w:rPr>
        <w:t>预算的资金。</w:t>
      </w:r>
      <w:r w:rsidR="00263DD3">
        <w:rPr>
          <w:rFonts w:hint="eastAsia"/>
        </w:rPr>
        <w:t>大会</w:t>
      </w:r>
      <w:r>
        <w:rPr>
          <w:rFonts w:hint="eastAsia"/>
        </w:rPr>
        <w:t>鼓励缔约国以及</w:t>
      </w:r>
      <w:r w:rsidRPr="00D0012A">
        <w:rPr>
          <w:rFonts w:hint="eastAsia"/>
        </w:rPr>
        <w:t>其他利益攸关方以其选择的方式</w:t>
      </w:r>
      <w:proofErr w:type="gramStart"/>
      <w:r w:rsidRPr="00D0012A">
        <w:rPr>
          <w:rFonts w:hint="eastAsia"/>
        </w:rPr>
        <w:t>为周年</w:t>
      </w:r>
      <w:proofErr w:type="gramEnd"/>
      <w:r w:rsidRPr="00D0012A">
        <w:rPr>
          <w:rFonts w:hint="eastAsia"/>
        </w:rPr>
        <w:t>庆祝活动提供财政支持</w:t>
      </w:r>
      <w:r w:rsidR="000B60D0" w:rsidRPr="00D0012A">
        <w:rPr>
          <w:rFonts w:hint="eastAsia"/>
        </w:rPr>
        <w:t>。</w:t>
      </w:r>
    </w:p>
    <w:p w14:paraId="26B25865" w14:textId="399FD874" w:rsidR="001902D3" w:rsidRPr="00D0012A" w:rsidRDefault="00EF7940" w:rsidP="00D770EC">
      <w:pPr>
        <w:pStyle w:val="GAPara"/>
        <w:numPr>
          <w:ilvl w:val="0"/>
          <w:numId w:val="0"/>
        </w:numPr>
        <w:spacing w:before="360"/>
        <w:jc w:val="both"/>
        <w:rPr>
          <w:b/>
          <w:bCs/>
        </w:rPr>
      </w:pPr>
      <w:r w:rsidRPr="00D0012A">
        <w:rPr>
          <w:rFonts w:hint="eastAsia"/>
          <w:b/>
        </w:rPr>
        <w:t>国家一级周年庆祝活动的框架</w:t>
      </w:r>
    </w:p>
    <w:p w14:paraId="3DE45728" w14:textId="2EBAAB9B" w:rsidR="004445CF" w:rsidRPr="00D0012A" w:rsidRDefault="004445CF" w:rsidP="004445CF">
      <w:pPr>
        <w:pStyle w:val="GAPara"/>
        <w:numPr>
          <w:ilvl w:val="0"/>
          <w:numId w:val="19"/>
        </w:numPr>
        <w:ind w:left="567" w:hanging="567"/>
        <w:jc w:val="both"/>
      </w:pPr>
      <w:r w:rsidRPr="00D0012A">
        <w:rPr>
          <w:rFonts w:hint="eastAsia"/>
        </w:rPr>
        <w:t>除了秘书处将努力组织的上述活动外，大会还不妨鼓励各缔约国组织国家和社区一级的活动，以促进</w:t>
      </w:r>
      <w:r w:rsidR="00263DD3">
        <w:rPr>
          <w:rFonts w:hint="eastAsia"/>
        </w:rPr>
        <w:t>实现</w:t>
      </w:r>
      <w:r w:rsidRPr="00D0012A">
        <w:rPr>
          <w:rFonts w:hint="eastAsia"/>
        </w:rPr>
        <w:t>2003</w:t>
      </w:r>
      <w:r w:rsidRPr="00D0012A">
        <w:rPr>
          <w:rFonts w:hint="eastAsia"/>
        </w:rPr>
        <w:t>年《公约》的目标，</w:t>
      </w:r>
      <w:r w:rsidR="00263DD3">
        <w:rPr>
          <w:rFonts w:hint="eastAsia"/>
        </w:rPr>
        <w:t>回顾</w:t>
      </w:r>
      <w:r w:rsidRPr="00D0012A">
        <w:rPr>
          <w:rFonts w:hint="eastAsia"/>
        </w:rPr>
        <w:t>过去的成就，</w:t>
      </w:r>
      <w:r w:rsidR="00126AF3">
        <w:rPr>
          <w:rFonts w:hint="eastAsia"/>
        </w:rPr>
        <w:t>让各</w:t>
      </w:r>
      <w:r w:rsidR="00126AF3" w:rsidRPr="00D0012A">
        <w:rPr>
          <w:rFonts w:hint="eastAsia"/>
        </w:rPr>
        <w:t>利益攸关</w:t>
      </w:r>
      <w:proofErr w:type="gramStart"/>
      <w:r w:rsidR="00126AF3" w:rsidRPr="00D0012A">
        <w:rPr>
          <w:rFonts w:hint="eastAsia"/>
        </w:rPr>
        <w:t>方探索</w:t>
      </w:r>
      <w:proofErr w:type="gramEnd"/>
      <w:r w:rsidRPr="00D0012A">
        <w:rPr>
          <w:rFonts w:hint="eastAsia"/>
        </w:rPr>
        <w:t>《公约》的未来</w:t>
      </w:r>
      <w:r w:rsidR="00263DD3">
        <w:rPr>
          <w:rFonts w:hint="eastAsia"/>
        </w:rPr>
        <w:t>发展</w:t>
      </w:r>
      <w:r w:rsidRPr="00D0012A">
        <w:rPr>
          <w:rFonts w:hint="eastAsia"/>
        </w:rPr>
        <w:t>方向。秘书处提议</w:t>
      </w:r>
      <w:r w:rsidR="00263DD3">
        <w:rPr>
          <w:rFonts w:hint="eastAsia"/>
        </w:rPr>
        <w:t>将</w:t>
      </w:r>
      <w:r w:rsidRPr="00D0012A">
        <w:rPr>
          <w:rFonts w:hint="eastAsia"/>
        </w:rPr>
        <w:t>通过《</w:t>
      </w:r>
      <w:r w:rsidR="00263DD3">
        <w:rPr>
          <w:rFonts w:hint="eastAsia"/>
        </w:rPr>
        <w:t>活态遗产秘书处</w:t>
      </w:r>
      <w:r w:rsidRPr="00D0012A">
        <w:rPr>
          <w:rFonts w:hint="eastAsia"/>
        </w:rPr>
        <w:t>》的网页公布此类活动的清单。</w:t>
      </w:r>
    </w:p>
    <w:p w14:paraId="22C007B4" w14:textId="10047947" w:rsidR="0045181E" w:rsidRPr="00D0012A" w:rsidRDefault="007C0810" w:rsidP="004445CF">
      <w:pPr>
        <w:pStyle w:val="GAPara"/>
        <w:numPr>
          <w:ilvl w:val="0"/>
          <w:numId w:val="19"/>
        </w:numPr>
        <w:ind w:left="567" w:hanging="567"/>
        <w:jc w:val="both"/>
      </w:pPr>
      <w:r w:rsidRPr="00D0012A">
        <w:rPr>
          <w:rFonts w:hint="eastAsia"/>
        </w:rPr>
        <w:t>组织庆祝活动时可以将以下目标作为指导方针。</w:t>
      </w:r>
    </w:p>
    <w:p w14:paraId="6F8CDEDC" w14:textId="46FF334F" w:rsidR="00F366D2" w:rsidRPr="00D0012A" w:rsidRDefault="00F366D2" w:rsidP="00E34738">
      <w:pPr>
        <w:pStyle w:val="GAPara"/>
        <w:widowControl w:val="0"/>
        <w:numPr>
          <w:ilvl w:val="0"/>
          <w:numId w:val="0"/>
        </w:numPr>
        <w:spacing w:before="240"/>
        <w:ind w:left="567"/>
        <w:jc w:val="both"/>
        <w:rPr>
          <w:u w:val="single"/>
        </w:rPr>
      </w:pPr>
      <w:r w:rsidRPr="00D0012A">
        <w:rPr>
          <w:rFonts w:hint="eastAsia"/>
          <w:u w:val="single"/>
        </w:rPr>
        <w:t>目标</w:t>
      </w:r>
      <w:r w:rsidRPr="00D0012A">
        <w:rPr>
          <w:rFonts w:hint="eastAsia"/>
          <w:u w:val="single"/>
        </w:rPr>
        <w:t>1</w:t>
      </w:r>
      <w:r w:rsidRPr="00D0012A">
        <w:rPr>
          <w:rFonts w:hint="eastAsia"/>
          <w:u w:val="single"/>
        </w:rPr>
        <w:t>：将社区的声音带到最前沿</w:t>
      </w:r>
    </w:p>
    <w:p w14:paraId="5AF443A1" w14:textId="09C802CB" w:rsidR="002C5BF4" w:rsidRPr="00D0012A" w:rsidRDefault="008C31AF" w:rsidP="00EC56A0">
      <w:pPr>
        <w:pStyle w:val="GAPara"/>
        <w:numPr>
          <w:ilvl w:val="0"/>
          <w:numId w:val="0"/>
        </w:numPr>
        <w:ind w:left="567"/>
        <w:jc w:val="both"/>
      </w:pPr>
      <w:r>
        <w:rPr>
          <w:rFonts w:hint="eastAsia"/>
        </w:rPr>
        <w:t>非物质文化遗产由</w:t>
      </w:r>
      <w:r w:rsidR="00711141">
        <w:rPr>
          <w:rFonts w:hint="eastAsia"/>
        </w:rPr>
        <w:t>世界各地的</w:t>
      </w:r>
      <w:r>
        <w:rPr>
          <w:rFonts w:hint="eastAsia"/>
        </w:rPr>
        <w:t>社区</w:t>
      </w:r>
      <w:r w:rsidRPr="00D0012A">
        <w:rPr>
          <w:rFonts w:hint="eastAsia"/>
        </w:rPr>
        <w:t>、</w:t>
      </w:r>
      <w:r>
        <w:rPr>
          <w:rFonts w:hint="eastAsia"/>
        </w:rPr>
        <w:t>群体</w:t>
      </w:r>
      <w:r w:rsidRPr="00D0012A">
        <w:rPr>
          <w:rFonts w:hint="eastAsia"/>
        </w:rPr>
        <w:t>、</w:t>
      </w:r>
      <w:r>
        <w:rPr>
          <w:rFonts w:hint="eastAsia"/>
        </w:rPr>
        <w:t>以及个人创造</w:t>
      </w:r>
      <w:r w:rsidRPr="00D0012A">
        <w:rPr>
          <w:rFonts w:hint="eastAsia"/>
        </w:rPr>
        <w:t>、</w:t>
      </w:r>
      <w:r w:rsidR="00711141">
        <w:rPr>
          <w:rFonts w:hint="eastAsia"/>
        </w:rPr>
        <w:t>发展</w:t>
      </w:r>
      <w:r w:rsidR="00711141" w:rsidRPr="00D0012A">
        <w:rPr>
          <w:rFonts w:hint="eastAsia"/>
        </w:rPr>
        <w:t>、</w:t>
      </w:r>
      <w:r w:rsidR="00711141">
        <w:rPr>
          <w:rFonts w:hint="eastAsia"/>
        </w:rPr>
        <w:t>传承。</w:t>
      </w:r>
      <w:r w:rsidR="00EC56A0" w:rsidRPr="00D0012A">
        <w:rPr>
          <w:rFonts w:hint="eastAsia"/>
        </w:rPr>
        <w:t>《公约》的成就与</w:t>
      </w:r>
      <w:r w:rsidR="008964B0">
        <w:rPr>
          <w:rFonts w:hint="eastAsia"/>
        </w:rPr>
        <w:t>传承</w:t>
      </w:r>
      <w:r w:rsidR="00EC56A0" w:rsidRPr="00D0012A">
        <w:rPr>
          <w:rFonts w:hint="eastAsia"/>
        </w:rPr>
        <w:t>人</w:t>
      </w:r>
      <w:r w:rsidR="00711141">
        <w:rPr>
          <w:rFonts w:hint="eastAsia"/>
        </w:rPr>
        <w:t>和相关从业人员</w:t>
      </w:r>
      <w:r w:rsidR="00EC56A0" w:rsidRPr="00D0012A">
        <w:rPr>
          <w:rFonts w:hint="eastAsia"/>
        </w:rPr>
        <w:t>直接相关，</w:t>
      </w:r>
      <w:r w:rsidR="00711141">
        <w:rPr>
          <w:rFonts w:hint="eastAsia"/>
        </w:rPr>
        <w:t>然而</w:t>
      </w:r>
      <w:r w:rsidR="00EC56A0" w:rsidRPr="00D0012A">
        <w:rPr>
          <w:rFonts w:hint="eastAsia"/>
        </w:rPr>
        <w:t>他们的故事并不经常</w:t>
      </w:r>
      <w:r w:rsidR="00711141">
        <w:rPr>
          <w:rFonts w:hint="eastAsia"/>
        </w:rPr>
        <w:t>被</w:t>
      </w:r>
      <w:r w:rsidR="00EC56A0" w:rsidRPr="00D0012A">
        <w:rPr>
          <w:rFonts w:hint="eastAsia"/>
        </w:rPr>
        <w:t>人所</w:t>
      </w:r>
      <w:r w:rsidR="00263DD3">
        <w:rPr>
          <w:rFonts w:hint="eastAsia"/>
        </w:rPr>
        <w:t>听见</w:t>
      </w:r>
      <w:r w:rsidR="00EC56A0" w:rsidRPr="00D0012A">
        <w:rPr>
          <w:rFonts w:hint="eastAsia"/>
        </w:rPr>
        <w:t>。周年</w:t>
      </w:r>
      <w:r w:rsidR="00FF09AA" w:rsidRPr="00D0012A">
        <w:rPr>
          <w:rFonts w:hint="eastAsia"/>
        </w:rPr>
        <w:t>庆</w:t>
      </w:r>
      <w:r w:rsidR="00EC56A0" w:rsidRPr="00D0012A">
        <w:rPr>
          <w:rFonts w:hint="eastAsia"/>
        </w:rPr>
        <w:t>活动</w:t>
      </w:r>
      <w:r w:rsidR="00711141">
        <w:rPr>
          <w:rFonts w:hint="eastAsia"/>
        </w:rPr>
        <w:t>的策划应强调社区代表</w:t>
      </w:r>
      <w:r w:rsidR="00711141" w:rsidRPr="00D0012A">
        <w:rPr>
          <w:rFonts w:hint="eastAsia"/>
        </w:rPr>
        <w:t>、</w:t>
      </w:r>
      <w:r w:rsidR="00711141">
        <w:rPr>
          <w:rFonts w:hint="eastAsia"/>
        </w:rPr>
        <w:t>传承人和其他传承主体</w:t>
      </w:r>
      <w:r w:rsidR="00711141" w:rsidRPr="00D0012A">
        <w:rPr>
          <w:rFonts w:hint="eastAsia"/>
        </w:rPr>
        <w:t>在实施《公约》</w:t>
      </w:r>
      <w:r w:rsidR="00711141">
        <w:rPr>
          <w:rFonts w:hint="eastAsia"/>
        </w:rPr>
        <w:t>所发挥的关键作用</w:t>
      </w:r>
      <w:r w:rsidR="00EC56A0" w:rsidRPr="00D0012A">
        <w:rPr>
          <w:rFonts w:hint="eastAsia"/>
        </w:rPr>
        <w:t>。</w:t>
      </w:r>
    </w:p>
    <w:p w14:paraId="4C506C7C" w14:textId="440C8D73" w:rsidR="00F366D2" w:rsidRPr="00D0012A" w:rsidRDefault="00F366D2" w:rsidP="00E34738">
      <w:pPr>
        <w:pStyle w:val="GAPara"/>
        <w:widowControl w:val="0"/>
        <w:numPr>
          <w:ilvl w:val="0"/>
          <w:numId w:val="0"/>
        </w:numPr>
        <w:spacing w:before="240"/>
        <w:ind w:left="567"/>
        <w:jc w:val="both"/>
        <w:rPr>
          <w:u w:val="single"/>
        </w:rPr>
      </w:pPr>
      <w:r w:rsidRPr="00D0012A">
        <w:rPr>
          <w:rFonts w:hint="eastAsia"/>
          <w:u w:val="single"/>
        </w:rPr>
        <w:lastRenderedPageBreak/>
        <w:t>目标</w:t>
      </w:r>
      <w:r w:rsidRPr="00D0012A">
        <w:rPr>
          <w:rFonts w:hint="eastAsia"/>
          <w:u w:val="single"/>
        </w:rPr>
        <w:t>2</w:t>
      </w:r>
      <w:r w:rsidRPr="00D0012A">
        <w:rPr>
          <w:rFonts w:hint="eastAsia"/>
          <w:u w:val="single"/>
        </w:rPr>
        <w:t>：巩固网络和伙伴关系</w:t>
      </w:r>
    </w:p>
    <w:p w14:paraId="28D4788D" w14:textId="309B52D0" w:rsidR="00A24140" w:rsidRPr="00D0012A" w:rsidRDefault="00325648" w:rsidP="00E34738">
      <w:pPr>
        <w:pStyle w:val="GAPara"/>
        <w:widowControl w:val="0"/>
        <w:numPr>
          <w:ilvl w:val="0"/>
          <w:numId w:val="0"/>
        </w:numPr>
        <w:ind w:left="567"/>
        <w:jc w:val="both"/>
      </w:pPr>
      <w:r w:rsidRPr="00D0012A">
        <w:rPr>
          <w:rFonts w:hint="eastAsia"/>
        </w:rPr>
        <w:t>如果没有国际、区域和国家各级主要利益攸关方的参与和支持，包括各缔约国以及第</w:t>
      </w:r>
      <w:r w:rsidRPr="00D0012A">
        <w:rPr>
          <w:rFonts w:hint="eastAsia"/>
        </w:rPr>
        <w:t>2</w:t>
      </w:r>
      <w:r w:rsidRPr="00D0012A">
        <w:rPr>
          <w:rFonts w:hint="eastAsia"/>
        </w:rPr>
        <w:t>类中心和经认证的非政府组织、遗产专业人士、活态遗产从业人员和社区成员的参与和支持，就</w:t>
      </w:r>
      <w:r w:rsidR="00263DD3">
        <w:rPr>
          <w:rFonts w:hint="eastAsia"/>
        </w:rPr>
        <w:t>无法</w:t>
      </w:r>
      <w:r w:rsidRPr="00D0012A">
        <w:rPr>
          <w:rFonts w:hint="eastAsia"/>
        </w:rPr>
        <w:t>提高对</w:t>
      </w:r>
      <w:r w:rsidR="00263DD3">
        <w:rPr>
          <w:rFonts w:hint="eastAsia"/>
        </w:rPr>
        <w:t>活态遗产</w:t>
      </w:r>
      <w:r w:rsidRPr="00D0012A">
        <w:rPr>
          <w:rFonts w:hint="eastAsia"/>
        </w:rPr>
        <w:t>的认识。此次周年纪念是加强网络和伙伴关系以及</w:t>
      </w:r>
      <w:r w:rsidR="00465CCA" w:rsidRPr="00D0012A">
        <w:rPr>
          <w:rFonts w:hint="eastAsia"/>
        </w:rPr>
        <w:t>调动资源</w:t>
      </w:r>
      <w:r w:rsidRPr="00D0012A">
        <w:rPr>
          <w:rFonts w:hint="eastAsia"/>
        </w:rPr>
        <w:t>与这些利益攸关方合作的机会。还可以做出努力，让青年、原住民、少数族裔以及城市社区和群体等对有效保护非物质文化遗产至关重要，但迄今尚未</w:t>
      </w:r>
      <w:r w:rsidR="004A1C39">
        <w:rPr>
          <w:rFonts w:hint="eastAsia"/>
        </w:rPr>
        <w:t>在</w:t>
      </w:r>
      <w:r w:rsidRPr="00D0012A">
        <w:rPr>
          <w:rFonts w:hint="eastAsia"/>
        </w:rPr>
        <w:t>《公约》</w:t>
      </w:r>
      <w:r w:rsidR="004A1C39">
        <w:rPr>
          <w:rFonts w:hint="eastAsia"/>
        </w:rPr>
        <w:t>发挥最优潜力</w:t>
      </w:r>
      <w:r w:rsidRPr="00D0012A">
        <w:rPr>
          <w:rFonts w:hint="eastAsia"/>
        </w:rPr>
        <w:t>的利益攸关方参与进来。</w:t>
      </w:r>
    </w:p>
    <w:p w14:paraId="64FB4D69" w14:textId="02F7909E" w:rsidR="00F014E7" w:rsidRPr="00D0012A" w:rsidRDefault="00F014E7" w:rsidP="00E34738">
      <w:pPr>
        <w:pStyle w:val="GAPara"/>
        <w:widowControl w:val="0"/>
        <w:numPr>
          <w:ilvl w:val="0"/>
          <w:numId w:val="0"/>
        </w:numPr>
        <w:spacing w:before="240"/>
        <w:ind w:left="567"/>
        <w:jc w:val="both"/>
        <w:rPr>
          <w:u w:val="single"/>
        </w:rPr>
      </w:pPr>
      <w:r w:rsidRPr="00D0012A">
        <w:rPr>
          <w:rFonts w:hint="eastAsia"/>
          <w:u w:val="single"/>
        </w:rPr>
        <w:t>目标</w:t>
      </w:r>
      <w:r w:rsidRPr="00D0012A">
        <w:rPr>
          <w:rFonts w:hint="eastAsia"/>
          <w:u w:val="single"/>
        </w:rPr>
        <w:t>3</w:t>
      </w:r>
      <w:r w:rsidRPr="00D0012A">
        <w:rPr>
          <w:rFonts w:hint="eastAsia"/>
          <w:u w:val="single"/>
        </w:rPr>
        <w:t>：激发创造力</w:t>
      </w:r>
    </w:p>
    <w:p w14:paraId="0DB702AE" w14:textId="19BA8F6E" w:rsidR="006572C5" w:rsidRPr="00D0012A" w:rsidRDefault="0097574F" w:rsidP="00E34738">
      <w:pPr>
        <w:pStyle w:val="GAPara"/>
        <w:widowControl w:val="0"/>
        <w:numPr>
          <w:ilvl w:val="0"/>
          <w:numId w:val="0"/>
        </w:numPr>
        <w:ind w:left="567"/>
        <w:jc w:val="both"/>
      </w:pPr>
      <w:r>
        <w:rPr>
          <w:rFonts w:hint="eastAsia"/>
        </w:rPr>
        <w:t>正如</w:t>
      </w:r>
      <w:r w:rsidR="00B1157C" w:rsidRPr="00D0012A">
        <w:rPr>
          <w:rFonts w:hint="eastAsia"/>
        </w:rPr>
        <w:t>活态遗产通过传</w:t>
      </w:r>
      <w:r w:rsidR="00465CCA">
        <w:rPr>
          <w:rFonts w:hint="eastAsia"/>
        </w:rPr>
        <w:t>承</w:t>
      </w:r>
      <w:r w:rsidR="00B1157C" w:rsidRPr="00D0012A">
        <w:rPr>
          <w:rFonts w:hint="eastAsia"/>
        </w:rPr>
        <w:t>和相关人员的创造力得到最好地保护，在进一步发展《公约》时，应强调创造力的力量。周年纪念</w:t>
      </w:r>
      <w:r w:rsidR="00465CCA">
        <w:rPr>
          <w:rFonts w:hint="eastAsia"/>
        </w:rPr>
        <w:t>正是</w:t>
      </w:r>
      <w:r>
        <w:rPr>
          <w:rFonts w:hint="eastAsia"/>
        </w:rPr>
        <w:t>时机</w:t>
      </w:r>
      <w:r w:rsidR="00B1157C" w:rsidRPr="00D0012A">
        <w:rPr>
          <w:rFonts w:hint="eastAsia"/>
        </w:rPr>
        <w:t>开始朝着这一方向</w:t>
      </w:r>
      <w:r>
        <w:rPr>
          <w:rFonts w:hint="eastAsia"/>
        </w:rPr>
        <w:t>迈进</w:t>
      </w:r>
      <w:r w:rsidR="00B1157C" w:rsidRPr="00D0012A">
        <w:rPr>
          <w:rFonts w:hint="eastAsia"/>
        </w:rPr>
        <w:t>，例如将不同背景和专业领域的人</w:t>
      </w:r>
      <w:r>
        <w:rPr>
          <w:rFonts w:hint="eastAsia"/>
        </w:rPr>
        <w:t>才</w:t>
      </w:r>
      <w:r w:rsidR="00B1157C" w:rsidRPr="00D0012A">
        <w:rPr>
          <w:rFonts w:hint="eastAsia"/>
        </w:rPr>
        <w:t>聚集在一起。这</w:t>
      </w:r>
      <w:r w:rsidR="00465CCA">
        <w:rPr>
          <w:rFonts w:hint="eastAsia"/>
        </w:rPr>
        <w:t>样的碰撞</w:t>
      </w:r>
      <w:r w:rsidR="00B1157C" w:rsidRPr="00D0012A">
        <w:rPr>
          <w:rFonts w:hint="eastAsia"/>
        </w:rPr>
        <w:t>可激发跨学科、创新和</w:t>
      </w:r>
      <w:r w:rsidR="00465CCA">
        <w:rPr>
          <w:rFonts w:hint="eastAsia"/>
        </w:rPr>
        <w:t>富有</w:t>
      </w:r>
      <w:r w:rsidR="00B1157C" w:rsidRPr="00D0012A">
        <w:rPr>
          <w:rFonts w:hint="eastAsia"/>
        </w:rPr>
        <w:t>创造</w:t>
      </w:r>
      <w:r w:rsidR="00465CCA">
        <w:rPr>
          <w:rFonts w:hint="eastAsia"/>
        </w:rPr>
        <w:t>力</w:t>
      </w:r>
      <w:r w:rsidR="00B1157C" w:rsidRPr="00D0012A">
        <w:rPr>
          <w:rFonts w:hint="eastAsia"/>
        </w:rPr>
        <w:t>的对话，以便思考如何进一步挖掘我们</w:t>
      </w:r>
      <w:r w:rsidR="004A1C39">
        <w:rPr>
          <w:rFonts w:hint="eastAsia"/>
        </w:rPr>
        <w:t>的</w:t>
      </w:r>
      <w:r w:rsidR="00B1157C" w:rsidRPr="00D0012A">
        <w:rPr>
          <w:rFonts w:hint="eastAsia"/>
        </w:rPr>
        <w:t>非物质文化遗产的未来潜力。</w:t>
      </w:r>
    </w:p>
    <w:p w14:paraId="4C2B0AB6" w14:textId="77777777" w:rsidR="008A1ED4" w:rsidRPr="00D0012A" w:rsidRDefault="008A1ED4" w:rsidP="008A1ED4">
      <w:pPr>
        <w:keepNext/>
        <w:numPr>
          <w:ilvl w:val="0"/>
          <w:numId w:val="19"/>
        </w:numPr>
        <w:ind w:left="567" w:hanging="567"/>
        <w:jc w:val="both"/>
        <w:rPr>
          <w:rFonts w:ascii="Arial" w:hAnsi="Arial" w:cs="Arial"/>
          <w:sz w:val="22"/>
          <w:szCs w:val="22"/>
        </w:rPr>
      </w:pPr>
      <w:proofErr w:type="gramStart"/>
      <w:r w:rsidRPr="00D0012A">
        <w:rPr>
          <w:rFonts w:ascii="Arial" w:hAnsi="Arial" w:hint="eastAsia"/>
          <w:sz w:val="22"/>
        </w:rPr>
        <w:t>谨建议</w:t>
      </w:r>
      <w:proofErr w:type="gramEnd"/>
      <w:r w:rsidRPr="00D0012A">
        <w:rPr>
          <w:rFonts w:ascii="Arial" w:hAnsi="Arial" w:hint="eastAsia"/>
          <w:sz w:val="22"/>
        </w:rPr>
        <w:t>大会通过如下决议：</w:t>
      </w:r>
    </w:p>
    <w:p w14:paraId="2A46BAC4" w14:textId="4E9C027E" w:rsidR="008A1ED4" w:rsidRPr="00D0012A" w:rsidRDefault="00F010E0" w:rsidP="008A1ED4">
      <w:pPr>
        <w:pStyle w:val="GATitleResolution"/>
      </w:pPr>
      <w:r w:rsidRPr="00D0012A">
        <w:rPr>
          <w:rFonts w:hint="eastAsia"/>
        </w:rPr>
        <w:t>第</w:t>
      </w:r>
      <w:r w:rsidRPr="00D0012A">
        <w:rPr>
          <w:rFonts w:hint="eastAsia"/>
        </w:rPr>
        <w:t>9.GA 13</w:t>
      </w:r>
      <w:r w:rsidRPr="00D0012A">
        <w:rPr>
          <w:rFonts w:hint="eastAsia"/>
        </w:rPr>
        <w:t>号决议草案</w:t>
      </w:r>
    </w:p>
    <w:p w14:paraId="7677B217" w14:textId="77777777" w:rsidR="008A1ED4" w:rsidRPr="00D0012A" w:rsidRDefault="008A1ED4" w:rsidP="008A1ED4">
      <w:pPr>
        <w:pStyle w:val="GAPreambulaResolution"/>
      </w:pPr>
      <w:r w:rsidRPr="00D0012A">
        <w:rPr>
          <w:rFonts w:hint="eastAsia"/>
        </w:rPr>
        <w:t>大会，</w:t>
      </w:r>
    </w:p>
    <w:p w14:paraId="0214BF72" w14:textId="667B6DAB" w:rsidR="000D6EAF" w:rsidRPr="00D0012A" w:rsidRDefault="008A1ED4" w:rsidP="000D6EAF">
      <w:pPr>
        <w:pStyle w:val="COMParaDecision"/>
        <w:numPr>
          <w:ilvl w:val="0"/>
          <w:numId w:val="10"/>
        </w:numPr>
        <w:ind w:left="1134" w:hanging="567"/>
      </w:pPr>
      <w:r w:rsidRPr="00D0012A">
        <w:rPr>
          <w:rFonts w:hint="eastAsia"/>
        </w:rPr>
        <w:t>审</w:t>
      </w:r>
      <w:r w:rsidR="00682564">
        <w:rPr>
          <w:rFonts w:hint="eastAsia"/>
        </w:rPr>
        <w:t>议</w:t>
      </w:r>
      <w:r w:rsidRPr="00D0012A">
        <w:rPr>
          <w:rFonts w:hint="eastAsia"/>
        </w:rPr>
        <w:t>了</w:t>
      </w:r>
      <w:r w:rsidR="004241BE" w:rsidRPr="004241BE">
        <w:rPr>
          <w:rFonts w:hint="eastAsia"/>
          <w:u w:val="none"/>
        </w:rPr>
        <w:t>第</w:t>
      </w:r>
      <w:r w:rsidRPr="00D0012A">
        <w:rPr>
          <w:rFonts w:hint="eastAsia"/>
          <w:u w:val="none"/>
        </w:rPr>
        <w:t>LHE/22/9.GA/13</w:t>
      </w:r>
      <w:r w:rsidRPr="00D0012A">
        <w:rPr>
          <w:rFonts w:hint="eastAsia"/>
          <w:u w:val="none"/>
        </w:rPr>
        <w:t>号文件，</w:t>
      </w:r>
    </w:p>
    <w:p w14:paraId="0D675A00" w14:textId="683EF5B4" w:rsidR="008A1ED4" w:rsidRPr="00D0012A" w:rsidRDefault="004D0FBC" w:rsidP="004D0FBC">
      <w:pPr>
        <w:pStyle w:val="COMParaDecision"/>
        <w:numPr>
          <w:ilvl w:val="0"/>
          <w:numId w:val="10"/>
        </w:numPr>
        <w:ind w:left="1134" w:hanging="567"/>
      </w:pPr>
      <w:r w:rsidRPr="00D0012A">
        <w:rPr>
          <w:rFonts w:hint="eastAsia"/>
        </w:rPr>
        <w:t>欢迎</w:t>
      </w:r>
      <w:r w:rsidRPr="00D0012A">
        <w:rPr>
          <w:rFonts w:hint="eastAsia"/>
          <w:u w:val="none"/>
        </w:rPr>
        <w:t>关于在</w:t>
      </w:r>
      <w:r w:rsidRPr="00D0012A">
        <w:rPr>
          <w:rFonts w:hint="eastAsia"/>
          <w:u w:val="none"/>
        </w:rPr>
        <w:t>2023</w:t>
      </w:r>
      <w:r w:rsidRPr="00D0012A">
        <w:rPr>
          <w:rFonts w:hint="eastAsia"/>
          <w:u w:val="none"/>
        </w:rPr>
        <w:t>年庆祝《公约》</w:t>
      </w:r>
      <w:r w:rsidR="004241BE">
        <w:rPr>
          <w:rFonts w:hint="eastAsia"/>
          <w:u w:val="none"/>
        </w:rPr>
        <w:t>通过</w:t>
      </w:r>
      <w:r w:rsidRPr="00D0012A">
        <w:rPr>
          <w:rFonts w:hint="eastAsia"/>
          <w:u w:val="none"/>
        </w:rPr>
        <w:t>二十周年的</w:t>
      </w:r>
      <w:r w:rsidR="004241BE">
        <w:rPr>
          <w:rFonts w:hint="eastAsia"/>
          <w:u w:val="none"/>
        </w:rPr>
        <w:t>提</w:t>
      </w:r>
      <w:r w:rsidRPr="00D0012A">
        <w:rPr>
          <w:rFonts w:hint="eastAsia"/>
          <w:u w:val="none"/>
        </w:rPr>
        <w:t>议，并</w:t>
      </w:r>
      <w:r w:rsidRPr="00D0012A">
        <w:rPr>
          <w:rFonts w:hint="eastAsia"/>
        </w:rPr>
        <w:t>注意到</w:t>
      </w:r>
      <w:r w:rsidR="00B66CC0">
        <w:rPr>
          <w:rFonts w:hint="eastAsia"/>
          <w:u w:val="none"/>
        </w:rPr>
        <w:t>为</w:t>
      </w:r>
      <w:r w:rsidRPr="00D0012A">
        <w:rPr>
          <w:rFonts w:hint="eastAsia"/>
          <w:u w:val="none"/>
        </w:rPr>
        <w:t>开展</w:t>
      </w:r>
      <w:r w:rsidR="00B66CC0">
        <w:rPr>
          <w:rFonts w:hint="eastAsia"/>
          <w:u w:val="none"/>
        </w:rPr>
        <w:t>二十周年</w:t>
      </w:r>
      <w:r w:rsidR="004241BE">
        <w:rPr>
          <w:rFonts w:hint="eastAsia"/>
          <w:u w:val="none"/>
        </w:rPr>
        <w:t>庆祝活动</w:t>
      </w:r>
      <w:r w:rsidR="004241BE" w:rsidRPr="00D0012A">
        <w:rPr>
          <w:rFonts w:hint="eastAsia"/>
          <w:u w:val="none"/>
        </w:rPr>
        <w:t>提议</w:t>
      </w:r>
      <w:r w:rsidRPr="00D0012A">
        <w:rPr>
          <w:rFonts w:hint="eastAsia"/>
          <w:u w:val="none"/>
        </w:rPr>
        <w:t>的主</w:t>
      </w:r>
      <w:r w:rsidR="004241BE">
        <w:rPr>
          <w:rFonts w:hint="eastAsia"/>
          <w:u w:val="none"/>
        </w:rPr>
        <w:t>题</w:t>
      </w:r>
      <w:r w:rsidRPr="00D0012A">
        <w:rPr>
          <w:rFonts w:hint="eastAsia"/>
          <w:u w:val="none"/>
        </w:rPr>
        <w:t>；</w:t>
      </w:r>
    </w:p>
    <w:p w14:paraId="50F4572A" w14:textId="5FAAC912" w:rsidR="008A1ED4" w:rsidRPr="00D0012A" w:rsidRDefault="00DA036C" w:rsidP="00DA036C">
      <w:pPr>
        <w:pStyle w:val="COMParaDecision"/>
        <w:numPr>
          <w:ilvl w:val="0"/>
          <w:numId w:val="10"/>
        </w:numPr>
        <w:ind w:left="1134" w:hanging="567"/>
      </w:pPr>
      <w:r w:rsidRPr="00D0012A">
        <w:rPr>
          <w:rFonts w:hint="eastAsia"/>
        </w:rPr>
        <w:t>邀请</w:t>
      </w:r>
      <w:r w:rsidRPr="00D0012A">
        <w:rPr>
          <w:rFonts w:hint="eastAsia"/>
          <w:u w:val="none"/>
        </w:rPr>
        <w:t>《公约》</w:t>
      </w:r>
      <w:r w:rsidR="00B66CC0">
        <w:rPr>
          <w:rFonts w:hint="eastAsia"/>
          <w:u w:val="none"/>
        </w:rPr>
        <w:t>缔约国以及</w:t>
      </w:r>
      <w:r w:rsidR="006F2919" w:rsidRPr="00D0012A">
        <w:rPr>
          <w:rFonts w:hint="eastAsia"/>
          <w:u w:val="none"/>
        </w:rPr>
        <w:t>其他</w:t>
      </w:r>
      <w:r w:rsidRPr="00D0012A">
        <w:rPr>
          <w:rFonts w:hint="eastAsia"/>
          <w:u w:val="none"/>
        </w:rPr>
        <w:t>利益攸关方以其选择的方式</w:t>
      </w:r>
      <w:proofErr w:type="gramStart"/>
      <w:r w:rsidRPr="00D0012A">
        <w:rPr>
          <w:rFonts w:hint="eastAsia"/>
          <w:u w:val="none"/>
        </w:rPr>
        <w:t>为周年</w:t>
      </w:r>
      <w:proofErr w:type="gramEnd"/>
      <w:r w:rsidRPr="00D0012A">
        <w:rPr>
          <w:rFonts w:hint="eastAsia"/>
          <w:u w:val="none"/>
        </w:rPr>
        <w:t>庆祝活动提供财政支持；</w:t>
      </w:r>
    </w:p>
    <w:p w14:paraId="5109E9A6" w14:textId="43432EF1" w:rsidR="00502D44" w:rsidRPr="00D0012A" w:rsidRDefault="00EF1201" w:rsidP="008A1ED4">
      <w:pPr>
        <w:pStyle w:val="COMParaDecision"/>
        <w:numPr>
          <w:ilvl w:val="0"/>
          <w:numId w:val="10"/>
        </w:numPr>
        <w:ind w:left="1134" w:hanging="567"/>
        <w:jc w:val="left"/>
        <w:rPr>
          <w:u w:val="none"/>
        </w:rPr>
      </w:pPr>
      <w:r w:rsidRPr="00D0012A">
        <w:rPr>
          <w:rFonts w:hint="eastAsia"/>
        </w:rPr>
        <w:t>鼓励</w:t>
      </w:r>
      <w:r w:rsidRPr="00D0012A">
        <w:rPr>
          <w:rFonts w:hint="eastAsia"/>
          <w:u w:val="none"/>
        </w:rPr>
        <w:t>各缔约国和其他利益攸关方参</w:t>
      </w:r>
      <w:r w:rsidR="006440FF">
        <w:rPr>
          <w:rFonts w:hint="eastAsia"/>
          <w:u w:val="none"/>
        </w:rPr>
        <w:t>与</w:t>
      </w:r>
      <w:r w:rsidRPr="00D0012A">
        <w:rPr>
          <w:rFonts w:hint="eastAsia"/>
          <w:u w:val="none"/>
        </w:rPr>
        <w:t>庆祝活动，组织可促进</w:t>
      </w:r>
      <w:r w:rsidR="00530673">
        <w:rPr>
          <w:rFonts w:hint="eastAsia"/>
          <w:u w:val="none"/>
        </w:rPr>
        <w:t>实现</w:t>
      </w:r>
      <w:r w:rsidRPr="00D0012A">
        <w:rPr>
          <w:rFonts w:hint="eastAsia"/>
          <w:u w:val="none"/>
        </w:rPr>
        <w:t>《公约》目标的国家活动，</w:t>
      </w:r>
      <w:r w:rsidR="00530673">
        <w:rPr>
          <w:rFonts w:hint="eastAsia"/>
          <w:u w:val="none"/>
        </w:rPr>
        <w:t>回顾</w:t>
      </w:r>
      <w:r w:rsidRPr="00D0012A">
        <w:rPr>
          <w:rFonts w:hint="eastAsia"/>
          <w:u w:val="none"/>
        </w:rPr>
        <w:t>过去的成就，探索《公约》的进一步发展；</w:t>
      </w:r>
    </w:p>
    <w:p w14:paraId="71A5D957" w14:textId="052D338E" w:rsidR="00EE343E" w:rsidRPr="00D0012A" w:rsidRDefault="00EE343E" w:rsidP="00055C72">
      <w:pPr>
        <w:pStyle w:val="COMParaDecision"/>
        <w:numPr>
          <w:ilvl w:val="0"/>
          <w:numId w:val="10"/>
        </w:numPr>
        <w:ind w:left="1134" w:hanging="567"/>
        <w:rPr>
          <w:u w:val="none"/>
        </w:rPr>
      </w:pPr>
      <w:r w:rsidRPr="00D0012A">
        <w:rPr>
          <w:rFonts w:hint="eastAsia"/>
        </w:rPr>
        <w:t>请</w:t>
      </w:r>
      <w:r w:rsidRPr="00D0012A">
        <w:rPr>
          <w:rFonts w:hint="eastAsia"/>
          <w:u w:val="none"/>
        </w:rPr>
        <w:t>秘书处报告《公约》二十周年庆祝活动的成果，供</w:t>
      </w:r>
      <w:r w:rsidR="006440FF">
        <w:rPr>
          <w:rFonts w:hint="eastAsia"/>
          <w:u w:val="none"/>
        </w:rPr>
        <w:t>拟</w:t>
      </w:r>
      <w:r w:rsidR="00FB5F09">
        <w:rPr>
          <w:rFonts w:hint="eastAsia"/>
          <w:u w:val="none"/>
        </w:rPr>
        <w:t>于</w:t>
      </w:r>
      <w:r w:rsidR="006440FF">
        <w:rPr>
          <w:rFonts w:hint="eastAsia"/>
          <w:u w:val="none"/>
        </w:rPr>
        <w:t>2024</w:t>
      </w:r>
      <w:r w:rsidR="006440FF">
        <w:rPr>
          <w:rFonts w:hint="eastAsia"/>
          <w:u w:val="none"/>
        </w:rPr>
        <w:t>年举办的缔约国</w:t>
      </w:r>
      <w:r w:rsidRPr="00D0012A">
        <w:rPr>
          <w:rFonts w:hint="eastAsia"/>
          <w:u w:val="none"/>
        </w:rPr>
        <w:t>大会第十届会议审议。</w:t>
      </w:r>
    </w:p>
    <w:sectPr w:rsidR="00EE343E" w:rsidRPr="00D0012A" w:rsidSect="00176720">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41F42" w14:textId="77777777" w:rsidR="00F01A96" w:rsidRDefault="00F01A96" w:rsidP="00655736">
      <w:r>
        <w:separator/>
      </w:r>
    </w:p>
  </w:endnote>
  <w:endnote w:type="continuationSeparator" w:id="0">
    <w:p w14:paraId="68A364C7" w14:textId="77777777" w:rsidR="00F01A96" w:rsidRDefault="00F01A9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DD28E" w14:textId="77777777" w:rsidR="00F01A96" w:rsidRDefault="00F01A96" w:rsidP="00655736">
      <w:r>
        <w:separator/>
      </w:r>
    </w:p>
  </w:footnote>
  <w:footnote w:type="continuationSeparator" w:id="0">
    <w:p w14:paraId="155AAE22" w14:textId="77777777" w:rsidR="00F01A96" w:rsidRDefault="00F01A96"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D5F8" w14:textId="0B5A6F7D" w:rsidR="00D95C4C" w:rsidRPr="00C23A97" w:rsidRDefault="006F41B4">
    <w:pPr>
      <w:pStyle w:val="En-tte"/>
      <w:rPr>
        <w:rFonts w:ascii="Arial" w:hAnsi="Arial" w:cs="Arial"/>
      </w:rPr>
    </w:pPr>
    <w:r>
      <w:rPr>
        <w:rFonts w:ascii="Arial" w:hAnsi="Arial" w:hint="eastAsia"/>
        <w:sz w:val="20"/>
      </w:rPr>
      <w:t xml:space="preserve">LHE/22/9.GA/13 </w:t>
    </w:r>
    <w:r>
      <w:rPr>
        <w:rFonts w:ascii="Arial" w:hAnsi="Arial" w:hint="eastAsia"/>
        <w:sz w:val="20"/>
      </w:rPr>
      <w:t>–</w:t>
    </w:r>
    <w:r>
      <w:rPr>
        <w:rFonts w:ascii="Arial" w:hAnsi="Arial" w:hint="eastAsia"/>
        <w:sz w:val="20"/>
      </w:rPr>
      <w:t xml:space="preserve"> </w:t>
    </w:r>
    <w:r w:rsidRPr="00682564">
      <w:rPr>
        <w:rFonts w:ascii="Arial" w:hAnsi="Arial" w:hint="eastAsia"/>
        <w:sz w:val="20"/>
        <w:szCs w:val="20"/>
      </w:rPr>
      <w:t>第</w:t>
    </w:r>
    <w:r w:rsidR="00D95C4C" w:rsidRPr="00682564">
      <w:rPr>
        <w:rStyle w:val="Numrodepage"/>
        <w:rFonts w:ascii="Arial" w:hAnsi="Arial" w:cs="Arial" w:hint="eastAsia"/>
        <w:sz w:val="20"/>
        <w:szCs w:val="20"/>
      </w:rPr>
      <w:fldChar w:fldCharType="begin"/>
    </w:r>
    <w:r w:rsidR="00D95C4C" w:rsidRPr="00682564">
      <w:rPr>
        <w:rStyle w:val="Numrodepage"/>
        <w:rFonts w:ascii="Arial" w:hAnsi="Arial" w:cs="Arial" w:hint="eastAsia"/>
        <w:sz w:val="20"/>
        <w:szCs w:val="20"/>
      </w:rPr>
      <w:instrText xml:space="preserve"> PAGE </w:instrText>
    </w:r>
    <w:r w:rsidR="00D95C4C" w:rsidRPr="00682564">
      <w:rPr>
        <w:rStyle w:val="Numrodepage"/>
        <w:rFonts w:ascii="Arial" w:hAnsi="Arial" w:cs="Arial" w:hint="eastAsia"/>
        <w:sz w:val="20"/>
        <w:szCs w:val="20"/>
      </w:rPr>
      <w:fldChar w:fldCharType="separate"/>
    </w:r>
    <w:r w:rsidR="00FF09AA" w:rsidRPr="00682564">
      <w:rPr>
        <w:rStyle w:val="Numrodepage"/>
        <w:rFonts w:ascii="Arial" w:hAnsi="Arial" w:cs="Arial"/>
        <w:noProof/>
        <w:sz w:val="20"/>
        <w:szCs w:val="20"/>
      </w:rPr>
      <w:t>2</w:t>
    </w:r>
    <w:r w:rsidR="00D95C4C" w:rsidRPr="00682564">
      <w:rPr>
        <w:rStyle w:val="Numrodepage"/>
        <w:rFonts w:ascii="Arial" w:hAnsi="Arial" w:cs="Arial" w:hint="eastAsia"/>
        <w:sz w:val="20"/>
        <w:szCs w:val="20"/>
      </w:rPr>
      <w:fldChar w:fldCharType="end"/>
    </w:r>
    <w:r w:rsidRPr="00682564">
      <w:rPr>
        <w:rFonts w:hint="eastAsia"/>
        <w:sz w:val="20"/>
        <w:szCs w:val="20"/>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3C2" w14:textId="71BC3D82" w:rsidR="00D95C4C" w:rsidRPr="00682564" w:rsidRDefault="00502D44" w:rsidP="0063300C">
    <w:pPr>
      <w:pStyle w:val="En-tte"/>
      <w:jc w:val="right"/>
      <w:rPr>
        <w:rFonts w:ascii="Arial" w:hAnsi="Arial"/>
        <w:sz w:val="20"/>
        <w:szCs w:val="20"/>
      </w:rPr>
    </w:pPr>
    <w:r w:rsidRPr="00682564">
      <w:rPr>
        <w:rFonts w:ascii="Arial" w:hAnsi="Arial" w:hint="eastAsia"/>
        <w:sz w:val="20"/>
        <w:szCs w:val="20"/>
      </w:rPr>
      <w:t xml:space="preserve">LHE/22/9.GA/13 </w:t>
    </w:r>
    <w:r w:rsidRPr="00682564">
      <w:rPr>
        <w:rFonts w:ascii="Arial" w:hAnsi="Arial" w:hint="eastAsia"/>
        <w:sz w:val="20"/>
        <w:szCs w:val="20"/>
      </w:rPr>
      <w:t>–</w:t>
    </w:r>
    <w:r w:rsidRPr="00682564">
      <w:rPr>
        <w:rFonts w:ascii="Arial" w:hAnsi="Arial" w:hint="eastAsia"/>
        <w:sz w:val="20"/>
        <w:szCs w:val="20"/>
      </w:rPr>
      <w:t xml:space="preserve"> </w:t>
    </w:r>
    <w:r w:rsidRPr="00682564">
      <w:rPr>
        <w:rFonts w:ascii="Arial" w:hAnsi="Arial" w:hint="eastAsia"/>
        <w:sz w:val="20"/>
        <w:szCs w:val="20"/>
      </w:rPr>
      <w:t>第</w:t>
    </w:r>
    <w:r w:rsidR="004A34A0" w:rsidRPr="00682564">
      <w:rPr>
        <w:rFonts w:ascii="Arial" w:hAnsi="Arial" w:cs="Arial"/>
        <w:sz w:val="20"/>
        <w:szCs w:val="20"/>
      </w:rPr>
      <w:fldChar w:fldCharType="begin"/>
    </w:r>
    <w:r w:rsidR="004A34A0" w:rsidRPr="00682564">
      <w:rPr>
        <w:rFonts w:ascii="Arial" w:hAnsi="Arial" w:cs="Arial"/>
        <w:sz w:val="20"/>
        <w:szCs w:val="20"/>
      </w:rPr>
      <w:instrText xml:space="preserve"> PAGE </w:instrText>
    </w:r>
    <w:r w:rsidR="004A34A0" w:rsidRPr="00682564">
      <w:rPr>
        <w:rFonts w:ascii="Arial" w:hAnsi="Arial" w:cs="Arial"/>
        <w:sz w:val="20"/>
        <w:szCs w:val="20"/>
      </w:rPr>
      <w:fldChar w:fldCharType="separate"/>
    </w:r>
    <w:r w:rsidR="00FF09AA" w:rsidRPr="00682564">
      <w:rPr>
        <w:rFonts w:ascii="Arial" w:hAnsi="Arial" w:cs="Arial"/>
        <w:noProof/>
        <w:sz w:val="20"/>
        <w:szCs w:val="20"/>
      </w:rPr>
      <w:t>3</w:t>
    </w:r>
    <w:r w:rsidR="004A34A0" w:rsidRPr="00682564">
      <w:rPr>
        <w:rFonts w:ascii="Arial" w:hAnsi="Arial" w:cs="Arial"/>
        <w:sz w:val="20"/>
        <w:szCs w:val="20"/>
      </w:rPr>
      <w:fldChar w:fldCharType="end"/>
    </w:r>
    <w:r w:rsidRPr="00682564">
      <w:rPr>
        <w:rFonts w:ascii="Arial" w:hAnsi="Arial" w:hint="eastAsia"/>
        <w:sz w:val="20"/>
        <w:szCs w:val="20"/>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32A" w14:textId="26FC92D9" w:rsidR="00D95C4C" w:rsidRPr="008724E5" w:rsidRDefault="00FF09AA">
    <w:pPr>
      <w:pStyle w:val="En-tte"/>
    </w:pPr>
    <w:r>
      <w:rPr>
        <w:noProof/>
        <w:lang w:val="en-US"/>
      </w:rPr>
      <w:drawing>
        <wp:anchor distT="0" distB="0" distL="114300" distR="114300" simplePos="0" relativeHeight="251659264" behindDoc="0" locked="0" layoutInCell="1" allowOverlap="1" wp14:anchorId="429A5185" wp14:editId="1F9ED84F">
          <wp:simplePos x="0" y="0"/>
          <wp:positionH relativeFrom="column">
            <wp:posOffset>-26670</wp:posOffset>
          </wp:positionH>
          <wp:positionV relativeFrom="paragraph">
            <wp:posOffset>20320</wp:posOffset>
          </wp:positionV>
          <wp:extent cx="1893570" cy="143954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57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7233C0" w14:textId="0080C653" w:rsidR="00D95C4C" w:rsidRPr="008F06E7" w:rsidRDefault="003265D0" w:rsidP="00655736">
    <w:pPr>
      <w:pStyle w:val="En-tte"/>
      <w:spacing w:after="520"/>
      <w:jc w:val="right"/>
      <w:rPr>
        <w:rFonts w:ascii="Arial" w:hAnsi="Arial" w:cs="Arial"/>
        <w:b/>
        <w:sz w:val="44"/>
        <w:szCs w:val="44"/>
        <w:lang w:val="pt-PT"/>
      </w:rPr>
    </w:pPr>
    <w:r w:rsidRPr="008F06E7">
      <w:rPr>
        <w:rFonts w:ascii="Arial" w:hAnsi="Arial" w:hint="eastAsia"/>
        <w:b/>
        <w:sz w:val="44"/>
        <w:lang w:val="pt-PT"/>
      </w:rPr>
      <w:t>9 GA</w:t>
    </w:r>
  </w:p>
  <w:p w14:paraId="2037F6C9" w14:textId="09C71711" w:rsidR="00D95C4C" w:rsidRPr="008F06E7" w:rsidRDefault="006F41B4" w:rsidP="00655736">
    <w:pPr>
      <w:jc w:val="right"/>
      <w:rPr>
        <w:rFonts w:ascii="Arial" w:hAnsi="Arial" w:cs="Arial"/>
        <w:b/>
        <w:sz w:val="22"/>
        <w:szCs w:val="22"/>
        <w:lang w:val="pt-PT"/>
      </w:rPr>
    </w:pPr>
    <w:r w:rsidRPr="008F06E7">
      <w:rPr>
        <w:rFonts w:ascii="Arial" w:hAnsi="Arial" w:hint="eastAsia"/>
        <w:b/>
        <w:sz w:val="22"/>
        <w:lang w:val="pt-PT"/>
      </w:rPr>
      <w:t>LHE/22/9.GA/13</w:t>
    </w:r>
  </w:p>
  <w:p w14:paraId="1E03530A" w14:textId="4F77159C" w:rsidR="00D95C4C" w:rsidRPr="008F06E7" w:rsidRDefault="00D95C4C" w:rsidP="00655736">
    <w:pPr>
      <w:jc w:val="right"/>
      <w:rPr>
        <w:rFonts w:ascii="Arial" w:hAnsi="Arial" w:cs="Arial"/>
        <w:b/>
        <w:sz w:val="22"/>
        <w:szCs w:val="22"/>
        <w:lang w:val="pt-PT"/>
      </w:rPr>
    </w:pPr>
    <w:r>
      <w:rPr>
        <w:rFonts w:ascii="Arial" w:hAnsi="Arial" w:hint="eastAsia"/>
        <w:b/>
        <w:sz w:val="22"/>
      </w:rPr>
      <w:t>巴黎</w:t>
    </w:r>
    <w:r w:rsidRPr="008F06E7">
      <w:rPr>
        <w:rFonts w:ascii="Arial" w:hAnsi="Arial" w:hint="eastAsia"/>
        <w:b/>
        <w:sz w:val="22"/>
        <w:lang w:val="pt-PT"/>
      </w:rPr>
      <w:t>，</w:t>
    </w:r>
    <w:r w:rsidRPr="00125C4B">
      <w:rPr>
        <w:rFonts w:ascii="Arial" w:hAnsi="Arial" w:hint="eastAsia"/>
        <w:b/>
        <w:sz w:val="22"/>
        <w:lang w:val="pt-PT"/>
      </w:rPr>
      <w:t>2022</w:t>
    </w:r>
    <w:r w:rsidRPr="00125C4B">
      <w:rPr>
        <w:rFonts w:ascii="Arial" w:hAnsi="Arial" w:hint="eastAsia"/>
        <w:b/>
        <w:sz w:val="22"/>
      </w:rPr>
      <w:t>年</w:t>
    </w:r>
    <w:r w:rsidRPr="00125C4B">
      <w:rPr>
        <w:rFonts w:ascii="Arial" w:hAnsi="Arial" w:hint="eastAsia"/>
        <w:b/>
        <w:sz w:val="22"/>
        <w:lang w:val="pt-PT"/>
      </w:rPr>
      <w:t>6</w:t>
    </w:r>
    <w:r w:rsidRPr="00125C4B">
      <w:rPr>
        <w:rFonts w:ascii="Arial" w:hAnsi="Arial" w:hint="eastAsia"/>
        <w:b/>
        <w:sz w:val="22"/>
      </w:rPr>
      <w:t>月</w:t>
    </w:r>
    <w:r w:rsidR="00125C4B" w:rsidRPr="00125C4B">
      <w:rPr>
        <w:rFonts w:ascii="Arial" w:hAnsi="Arial"/>
        <w:b/>
        <w:sz w:val="22"/>
        <w:lang w:val="pt-PT"/>
      </w:rPr>
      <w:t>27</w:t>
    </w:r>
    <w:r w:rsidRPr="00125C4B">
      <w:rPr>
        <w:rFonts w:ascii="Arial" w:hAnsi="Arial" w:hint="eastAsia"/>
        <w:b/>
        <w:sz w:val="22"/>
      </w:rPr>
      <w:t>日</w:t>
    </w:r>
  </w:p>
  <w:p w14:paraId="00956E32" w14:textId="3C573EC5" w:rsidR="00D95C4C" w:rsidRPr="00E37E12" w:rsidRDefault="00D95C4C" w:rsidP="008F06E7">
    <w:pPr>
      <w:jc w:val="right"/>
      <w:rPr>
        <w:rFonts w:ascii="Arial" w:hAnsi="Arial" w:cs="Arial"/>
        <w:b/>
        <w:sz w:val="22"/>
        <w:szCs w:val="22"/>
      </w:rPr>
    </w:pPr>
    <w:r>
      <w:rPr>
        <w:rFonts w:ascii="Arial" w:hAnsi="Arial" w:hint="eastAsia"/>
        <w:b/>
        <w:sz w:val="22"/>
      </w:rPr>
      <w:t>原</w:t>
    </w:r>
    <w:r w:rsidR="008F06E7">
      <w:rPr>
        <w:rFonts w:ascii="Arial" w:hAnsi="Arial" w:hint="eastAsia"/>
        <w:b/>
        <w:sz w:val="22"/>
      </w:rPr>
      <w:t>文</w:t>
    </w:r>
    <w:r>
      <w:rPr>
        <w:rFonts w:ascii="Arial" w:hAnsi="Arial" w:hint="eastAsia"/>
        <w:b/>
        <w:sz w:val="22"/>
      </w:rPr>
      <w:t>：英文</w:t>
    </w:r>
  </w:p>
  <w:p w14:paraId="7FB1132E" w14:textId="77777777" w:rsidR="00540FE0" w:rsidRPr="00E37E12" w:rsidRDefault="00540FE0" w:rsidP="00540FE0">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1B03C72"/>
    <w:multiLevelType w:val="hybridMultilevel"/>
    <w:tmpl w:val="3AD43A9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1B401E05"/>
    <w:multiLevelType w:val="hybridMultilevel"/>
    <w:tmpl w:val="55563DA0"/>
    <w:lvl w:ilvl="0" w:tplc="86807812">
      <w:start w:val="1"/>
      <w:numFmt w:val="decimal"/>
      <w:lvlText w:val="%1."/>
      <w:lvlJc w:val="left"/>
      <w:pPr>
        <w:ind w:left="1080" w:hanging="360"/>
      </w:pPr>
      <w:rPr>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7"/>
  </w:num>
  <w:num w:numId="3">
    <w:abstractNumId w:val="4"/>
  </w:num>
  <w:num w:numId="4">
    <w:abstractNumId w:val="17"/>
  </w:num>
  <w:num w:numId="5">
    <w:abstractNumId w:val="15"/>
  </w:num>
  <w:num w:numId="6">
    <w:abstractNumId w:val="1"/>
  </w:num>
  <w:num w:numId="7">
    <w:abstractNumId w:val="5"/>
  </w:num>
  <w:num w:numId="8">
    <w:abstractNumId w:val="11"/>
  </w:num>
  <w:num w:numId="9">
    <w:abstractNumId w:val="6"/>
  </w:num>
  <w:num w:numId="10">
    <w:abstractNumId w:val="8"/>
  </w:num>
  <w:num w:numId="11">
    <w:abstractNumId w:val="10"/>
  </w:num>
  <w:num w:numId="12">
    <w:abstractNumId w:val="9"/>
  </w:num>
  <w:num w:numId="13">
    <w:abstractNumId w:val="16"/>
  </w:num>
  <w:num w:numId="14">
    <w:abstractNumId w:val="12"/>
  </w:num>
  <w:num w:numId="15">
    <w:abstractNumId w:val="13"/>
  </w:num>
  <w:num w:numId="16">
    <w:abstractNumId w:val="8"/>
  </w:num>
  <w:num w:numId="17">
    <w:abstractNumId w:val="8"/>
  </w:num>
  <w:num w:numId="18">
    <w:abstractNumId w:val="8"/>
  </w:num>
  <w:num w:numId="19">
    <w:abstractNumId w:val="0"/>
  </w:num>
  <w:num w:numId="20">
    <w:abstractNumId w:val="2"/>
  </w:num>
  <w:num w:numId="21">
    <w:abstractNumId w:val="6"/>
  </w:num>
  <w:num w:numId="22">
    <w:abstractNumId w:val="6"/>
  </w:num>
  <w:num w:numId="23">
    <w:abstractNumId w:val="6"/>
  </w:num>
  <w:num w:numId="24">
    <w:abstractNumId w:val="3"/>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866"/>
    <w:rsid w:val="00002943"/>
    <w:rsid w:val="000048ED"/>
    <w:rsid w:val="00030DAF"/>
    <w:rsid w:val="00033C6B"/>
    <w:rsid w:val="00041A66"/>
    <w:rsid w:val="00051677"/>
    <w:rsid w:val="0005176E"/>
    <w:rsid w:val="00055C72"/>
    <w:rsid w:val="00063D7B"/>
    <w:rsid w:val="000765F7"/>
    <w:rsid w:val="00077AB7"/>
    <w:rsid w:val="00081CD8"/>
    <w:rsid w:val="00091778"/>
    <w:rsid w:val="0009186E"/>
    <w:rsid w:val="000A7F0E"/>
    <w:rsid w:val="000B44BA"/>
    <w:rsid w:val="000B60D0"/>
    <w:rsid w:val="000C0D61"/>
    <w:rsid w:val="000D6EAF"/>
    <w:rsid w:val="000F3A3F"/>
    <w:rsid w:val="000F5115"/>
    <w:rsid w:val="00102557"/>
    <w:rsid w:val="0011498C"/>
    <w:rsid w:val="00125C4B"/>
    <w:rsid w:val="00126AF3"/>
    <w:rsid w:val="0014734C"/>
    <w:rsid w:val="00164D56"/>
    <w:rsid w:val="0016511A"/>
    <w:rsid w:val="00167B10"/>
    <w:rsid w:val="0017402F"/>
    <w:rsid w:val="00176720"/>
    <w:rsid w:val="001902D3"/>
    <w:rsid w:val="00191ADC"/>
    <w:rsid w:val="00196C1B"/>
    <w:rsid w:val="001A49E4"/>
    <w:rsid w:val="001B0F73"/>
    <w:rsid w:val="001C7007"/>
    <w:rsid w:val="001D3D34"/>
    <w:rsid w:val="001D5C04"/>
    <w:rsid w:val="001E400E"/>
    <w:rsid w:val="001E783F"/>
    <w:rsid w:val="00207839"/>
    <w:rsid w:val="00222A2D"/>
    <w:rsid w:val="00223029"/>
    <w:rsid w:val="00224FA5"/>
    <w:rsid w:val="00234745"/>
    <w:rsid w:val="00235569"/>
    <w:rsid w:val="002407AF"/>
    <w:rsid w:val="00241C18"/>
    <w:rsid w:val="002579C0"/>
    <w:rsid w:val="00263DD3"/>
    <w:rsid w:val="002757E3"/>
    <w:rsid w:val="002A3544"/>
    <w:rsid w:val="002B54C1"/>
    <w:rsid w:val="002C09E3"/>
    <w:rsid w:val="002C4D46"/>
    <w:rsid w:val="002C5BF4"/>
    <w:rsid w:val="002D13AD"/>
    <w:rsid w:val="002F312A"/>
    <w:rsid w:val="002F4E51"/>
    <w:rsid w:val="003051FE"/>
    <w:rsid w:val="00323C4C"/>
    <w:rsid w:val="00325648"/>
    <w:rsid w:val="003265D0"/>
    <w:rsid w:val="00345CB4"/>
    <w:rsid w:val="003549B8"/>
    <w:rsid w:val="00367541"/>
    <w:rsid w:val="003C2A0C"/>
    <w:rsid w:val="003D069C"/>
    <w:rsid w:val="003D33E7"/>
    <w:rsid w:val="003D4E9D"/>
    <w:rsid w:val="003D7646"/>
    <w:rsid w:val="003E1701"/>
    <w:rsid w:val="003F113A"/>
    <w:rsid w:val="004136C1"/>
    <w:rsid w:val="00414643"/>
    <w:rsid w:val="004227A6"/>
    <w:rsid w:val="004241BE"/>
    <w:rsid w:val="004421E5"/>
    <w:rsid w:val="004445CF"/>
    <w:rsid w:val="00451753"/>
    <w:rsid w:val="0045181E"/>
    <w:rsid w:val="00451B20"/>
    <w:rsid w:val="00452284"/>
    <w:rsid w:val="00465CCA"/>
    <w:rsid w:val="00483135"/>
    <w:rsid w:val="004856CA"/>
    <w:rsid w:val="00487BF1"/>
    <w:rsid w:val="0049705E"/>
    <w:rsid w:val="004A1C39"/>
    <w:rsid w:val="004A34A0"/>
    <w:rsid w:val="004C26A9"/>
    <w:rsid w:val="004D0FBC"/>
    <w:rsid w:val="004E68D9"/>
    <w:rsid w:val="004E70AA"/>
    <w:rsid w:val="004F3299"/>
    <w:rsid w:val="00502B22"/>
    <w:rsid w:val="00502D44"/>
    <w:rsid w:val="00526B7B"/>
    <w:rsid w:val="00530673"/>
    <w:rsid w:val="005308CE"/>
    <w:rsid w:val="00540FE0"/>
    <w:rsid w:val="00547EFD"/>
    <w:rsid w:val="00567A81"/>
    <w:rsid w:val="0057439C"/>
    <w:rsid w:val="005833AA"/>
    <w:rsid w:val="005A66AD"/>
    <w:rsid w:val="005B0127"/>
    <w:rsid w:val="005B2055"/>
    <w:rsid w:val="005B7A35"/>
    <w:rsid w:val="005C4B73"/>
    <w:rsid w:val="005E1CD0"/>
    <w:rsid w:val="005E1D2B"/>
    <w:rsid w:val="00600D93"/>
    <w:rsid w:val="0063300C"/>
    <w:rsid w:val="006440FF"/>
    <w:rsid w:val="0065097D"/>
    <w:rsid w:val="00655736"/>
    <w:rsid w:val="006572C5"/>
    <w:rsid w:val="00663B8D"/>
    <w:rsid w:val="00682564"/>
    <w:rsid w:val="00696C8D"/>
    <w:rsid w:val="006A2AC2"/>
    <w:rsid w:val="006A3617"/>
    <w:rsid w:val="006B2F66"/>
    <w:rsid w:val="006B40AD"/>
    <w:rsid w:val="006E1656"/>
    <w:rsid w:val="006E46E4"/>
    <w:rsid w:val="006F2919"/>
    <w:rsid w:val="006F41B4"/>
    <w:rsid w:val="00703FBF"/>
    <w:rsid w:val="00711141"/>
    <w:rsid w:val="00717DA5"/>
    <w:rsid w:val="007210E9"/>
    <w:rsid w:val="00730141"/>
    <w:rsid w:val="00731C8A"/>
    <w:rsid w:val="00744484"/>
    <w:rsid w:val="0074648D"/>
    <w:rsid w:val="00763A0D"/>
    <w:rsid w:val="00773188"/>
    <w:rsid w:val="00783782"/>
    <w:rsid w:val="00784B8C"/>
    <w:rsid w:val="0079127D"/>
    <w:rsid w:val="007C0810"/>
    <w:rsid w:val="007C2FBC"/>
    <w:rsid w:val="007C3929"/>
    <w:rsid w:val="0082310E"/>
    <w:rsid w:val="00823A11"/>
    <w:rsid w:val="00830204"/>
    <w:rsid w:val="00845045"/>
    <w:rsid w:val="00852866"/>
    <w:rsid w:val="0085414A"/>
    <w:rsid w:val="0086269D"/>
    <w:rsid w:val="0086543A"/>
    <w:rsid w:val="00870170"/>
    <w:rsid w:val="008716D7"/>
    <w:rsid w:val="008724E5"/>
    <w:rsid w:val="0087694F"/>
    <w:rsid w:val="00884A9D"/>
    <w:rsid w:val="0088512B"/>
    <w:rsid w:val="008948AA"/>
    <w:rsid w:val="008964B0"/>
    <w:rsid w:val="008A1ED4"/>
    <w:rsid w:val="008A2B2D"/>
    <w:rsid w:val="008A4E1E"/>
    <w:rsid w:val="008C296C"/>
    <w:rsid w:val="008C31AF"/>
    <w:rsid w:val="008D4305"/>
    <w:rsid w:val="008E5C95"/>
    <w:rsid w:val="008F06E7"/>
    <w:rsid w:val="009163A7"/>
    <w:rsid w:val="00940EBB"/>
    <w:rsid w:val="00946D0B"/>
    <w:rsid w:val="00957085"/>
    <w:rsid w:val="00970F33"/>
    <w:rsid w:val="0097574F"/>
    <w:rsid w:val="00992591"/>
    <w:rsid w:val="009A18CD"/>
    <w:rsid w:val="009B3891"/>
    <w:rsid w:val="009C4D2B"/>
    <w:rsid w:val="009C5923"/>
    <w:rsid w:val="009D0A36"/>
    <w:rsid w:val="009D27E3"/>
    <w:rsid w:val="009D2F2A"/>
    <w:rsid w:val="009F2827"/>
    <w:rsid w:val="00A018E9"/>
    <w:rsid w:val="00A12558"/>
    <w:rsid w:val="00A13903"/>
    <w:rsid w:val="00A24140"/>
    <w:rsid w:val="00A32E1D"/>
    <w:rsid w:val="00A34ED5"/>
    <w:rsid w:val="00A42170"/>
    <w:rsid w:val="00A45DBF"/>
    <w:rsid w:val="00A53B1B"/>
    <w:rsid w:val="00A645DF"/>
    <w:rsid w:val="00A65C29"/>
    <w:rsid w:val="00A755A2"/>
    <w:rsid w:val="00A86047"/>
    <w:rsid w:val="00A9535B"/>
    <w:rsid w:val="00AA6660"/>
    <w:rsid w:val="00AB2C36"/>
    <w:rsid w:val="00AB70B6"/>
    <w:rsid w:val="00AD1A86"/>
    <w:rsid w:val="00AD516E"/>
    <w:rsid w:val="00AE103E"/>
    <w:rsid w:val="00AE12BD"/>
    <w:rsid w:val="00AE49FA"/>
    <w:rsid w:val="00AF0A07"/>
    <w:rsid w:val="00AF4AEC"/>
    <w:rsid w:val="00AF625E"/>
    <w:rsid w:val="00B1157C"/>
    <w:rsid w:val="00B21F4A"/>
    <w:rsid w:val="00B44007"/>
    <w:rsid w:val="00B57B71"/>
    <w:rsid w:val="00B66CC0"/>
    <w:rsid w:val="00B96B09"/>
    <w:rsid w:val="00BA17EF"/>
    <w:rsid w:val="00BA4252"/>
    <w:rsid w:val="00BB04AF"/>
    <w:rsid w:val="00BB68B7"/>
    <w:rsid w:val="00BB74C8"/>
    <w:rsid w:val="00BD44E0"/>
    <w:rsid w:val="00BD52C9"/>
    <w:rsid w:val="00BE4A58"/>
    <w:rsid w:val="00BE6354"/>
    <w:rsid w:val="00C22A26"/>
    <w:rsid w:val="00C22CA5"/>
    <w:rsid w:val="00C23809"/>
    <w:rsid w:val="00C23A97"/>
    <w:rsid w:val="00C2513C"/>
    <w:rsid w:val="00C42C66"/>
    <w:rsid w:val="00C70EA7"/>
    <w:rsid w:val="00C7516E"/>
    <w:rsid w:val="00C75770"/>
    <w:rsid w:val="00CA6344"/>
    <w:rsid w:val="00CA7A29"/>
    <w:rsid w:val="00D0012A"/>
    <w:rsid w:val="00D00B2B"/>
    <w:rsid w:val="00D04F01"/>
    <w:rsid w:val="00D153AB"/>
    <w:rsid w:val="00D20182"/>
    <w:rsid w:val="00D24877"/>
    <w:rsid w:val="00D25762"/>
    <w:rsid w:val="00D3329A"/>
    <w:rsid w:val="00D463E2"/>
    <w:rsid w:val="00D57858"/>
    <w:rsid w:val="00D61929"/>
    <w:rsid w:val="00D770EC"/>
    <w:rsid w:val="00D95C4C"/>
    <w:rsid w:val="00DA036C"/>
    <w:rsid w:val="00DA36ED"/>
    <w:rsid w:val="00DC6245"/>
    <w:rsid w:val="00DE34F1"/>
    <w:rsid w:val="00DE56E9"/>
    <w:rsid w:val="00DF4942"/>
    <w:rsid w:val="00E16C50"/>
    <w:rsid w:val="00E226E8"/>
    <w:rsid w:val="00E30123"/>
    <w:rsid w:val="00E34738"/>
    <w:rsid w:val="00E37E12"/>
    <w:rsid w:val="00E627B1"/>
    <w:rsid w:val="00E71E7D"/>
    <w:rsid w:val="00E873CE"/>
    <w:rsid w:val="00E9376C"/>
    <w:rsid w:val="00EA00C0"/>
    <w:rsid w:val="00EA335E"/>
    <w:rsid w:val="00EA528C"/>
    <w:rsid w:val="00EC56A0"/>
    <w:rsid w:val="00ED26FB"/>
    <w:rsid w:val="00ED7F97"/>
    <w:rsid w:val="00EE343E"/>
    <w:rsid w:val="00EF1201"/>
    <w:rsid w:val="00EF19A6"/>
    <w:rsid w:val="00EF34E2"/>
    <w:rsid w:val="00EF4F1F"/>
    <w:rsid w:val="00EF69E3"/>
    <w:rsid w:val="00EF7940"/>
    <w:rsid w:val="00EF7CD3"/>
    <w:rsid w:val="00F010E0"/>
    <w:rsid w:val="00F014E7"/>
    <w:rsid w:val="00F01A96"/>
    <w:rsid w:val="00F366D2"/>
    <w:rsid w:val="00F40C94"/>
    <w:rsid w:val="00F46262"/>
    <w:rsid w:val="00F53DE9"/>
    <w:rsid w:val="00F57450"/>
    <w:rsid w:val="00F576CB"/>
    <w:rsid w:val="00F71A02"/>
    <w:rsid w:val="00F930A5"/>
    <w:rsid w:val="00FB5F09"/>
    <w:rsid w:val="00FB6630"/>
    <w:rsid w:val="00FC5562"/>
    <w:rsid w:val="00FC6573"/>
    <w:rsid w:val="00FC7929"/>
    <w:rsid w:val="00FD1226"/>
    <w:rsid w:val="00FF09AA"/>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CAA34B"/>
  <w15:docId w15:val="{2FAA24A9-1F49-4570-8F7B-FB35DA5A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hAnsi="Times New Roman"/>
      <w:sz w:val="24"/>
      <w:szCs w:val="24"/>
      <w:lang w:val="fr-FR"/>
    </w:rPr>
  </w:style>
  <w:style w:type="paragraph" w:styleId="Titre1">
    <w:name w:val="heading 1"/>
    <w:basedOn w:val="Normal"/>
    <w:next w:val="Normal"/>
    <w:link w:val="Titre1Car"/>
    <w:uiPriority w:val="9"/>
    <w:rsid w:val="00FF09AA"/>
    <w:pPr>
      <w:keepNext/>
      <w:keepLines/>
      <w:spacing w:before="340" w:after="330" w:line="578" w:lineRule="auto"/>
      <w:outlineLvl w:val="0"/>
    </w:pPr>
    <w:rPr>
      <w:b/>
      <w:bCs/>
      <w:kern w:val="44"/>
      <w:sz w:val="44"/>
      <w:szCs w:val="4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eastAsia="SimSun" w:hAnsi="Tahoma" w:cs="Tahoma"/>
      <w:sz w:val="16"/>
      <w:szCs w:val="16"/>
      <w:lang w:val="en-GB"/>
    </w:rPr>
  </w:style>
  <w:style w:type="paragraph" w:customStyle="1" w:styleId="Sansinterligne2">
    <w:name w:val="Sans interligne2"/>
    <w:uiPriority w:val="1"/>
    <w:rsid w:val="006C3FFC"/>
    <w:rPr>
      <w:rFonts w:ascii="Times New Roman" w:hAnsi="Times New Roman"/>
      <w:sz w:val="24"/>
      <w:szCs w:val="24"/>
      <w:lang w:val="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71A02"/>
    <w:rPr>
      <w:rFonts w:ascii="Arial" w:eastAsia="SimSun" w:hAnsi="Arial"/>
      <w:b/>
      <w:bCs/>
      <w:snapToGrid w:val="0"/>
      <w:sz w:val="22"/>
      <w:szCs w:val="24"/>
      <w:lang w:eastAsia="zh-CN"/>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SimSu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hAnsi="Arial"/>
      <w:snapToGrid w:val="0"/>
      <w:sz w:val="22"/>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hAnsi="Times New Roman"/>
      <w:sz w:val="24"/>
      <w:szCs w:val="24"/>
      <w:lang w:val="fr-FR"/>
    </w:rPr>
  </w:style>
  <w:style w:type="paragraph" w:customStyle="1" w:styleId="GAPara">
    <w:name w:val="GA Para"/>
    <w:qFormat/>
    <w:rsid w:val="00345CB4"/>
    <w:pPr>
      <w:numPr>
        <w:numId w:val="9"/>
      </w:numPr>
      <w:spacing w:after="120"/>
    </w:pPr>
    <w:rPr>
      <w:rFonts w:ascii="Arial"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hAnsi="Arial" w:cs="Arial"/>
      <w:sz w:val="22"/>
      <w:szCs w:val="22"/>
      <w:u w:val="single"/>
      <w:lang w:val="en-GB"/>
    </w:rPr>
  </w:style>
  <w:style w:type="paragraph" w:styleId="Paragraphedeliste">
    <w:name w:val="List Paragraph"/>
    <w:basedOn w:val="Normal"/>
    <w:uiPriority w:val="34"/>
    <w:qFormat/>
    <w:rsid w:val="002F312A"/>
    <w:pPr>
      <w:ind w:left="720"/>
      <w:contextualSpacing/>
    </w:pPr>
  </w:style>
  <w:style w:type="paragraph" w:customStyle="1" w:styleId="COMParaDecision">
    <w:name w:val="COM Para Decision"/>
    <w:basedOn w:val="Normal"/>
    <w:uiPriority w:val="99"/>
    <w:qFormat/>
    <w:rsid w:val="008A1ED4"/>
    <w:pPr>
      <w:autoSpaceDE w:val="0"/>
      <w:autoSpaceDN w:val="0"/>
      <w:adjustRightInd w:val="0"/>
      <w:spacing w:after="120"/>
      <w:ind w:left="1134" w:hanging="567"/>
      <w:jc w:val="both"/>
    </w:pPr>
    <w:rPr>
      <w:rFonts w:ascii="Arial" w:hAnsi="Arial" w:cs="Arial"/>
      <w:sz w:val="22"/>
      <w:szCs w:val="22"/>
      <w:u w:val="single"/>
      <w:lang w:val="en-GB"/>
    </w:rPr>
  </w:style>
  <w:style w:type="table" w:customStyle="1" w:styleId="TableGrid1">
    <w:name w:val="Table Grid1"/>
    <w:basedOn w:val="TableauNormal"/>
    <w:uiPriority w:val="59"/>
    <w:rsid w:val="00191ADC"/>
    <w:rPr>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A24140"/>
    <w:pPr>
      <w:spacing w:after="120"/>
    </w:pPr>
    <w:rPr>
      <w:rFonts w:ascii="Arial" w:hAnsi="Arial" w:cs="Arial"/>
      <w:snapToGrid w:val="0"/>
      <w:sz w:val="22"/>
      <w:szCs w:val="22"/>
    </w:rPr>
  </w:style>
  <w:style w:type="paragraph" w:styleId="Rvision">
    <w:name w:val="Revision"/>
    <w:hidden/>
    <w:uiPriority w:val="99"/>
    <w:semiHidden/>
    <w:rsid w:val="00E71E7D"/>
    <w:rPr>
      <w:rFonts w:ascii="Times New Roman" w:hAnsi="Times New Roman"/>
      <w:sz w:val="24"/>
      <w:szCs w:val="24"/>
      <w:lang w:val="fr-FR"/>
    </w:rPr>
  </w:style>
  <w:style w:type="character" w:styleId="Marquedecommentaire">
    <w:name w:val="annotation reference"/>
    <w:basedOn w:val="Policepardfaut"/>
    <w:uiPriority w:val="99"/>
    <w:semiHidden/>
    <w:unhideWhenUsed/>
    <w:rsid w:val="00567A81"/>
    <w:rPr>
      <w:sz w:val="16"/>
      <w:szCs w:val="16"/>
    </w:rPr>
  </w:style>
  <w:style w:type="paragraph" w:styleId="Commentaire">
    <w:name w:val="annotation text"/>
    <w:basedOn w:val="Normal"/>
    <w:link w:val="CommentaireCar"/>
    <w:uiPriority w:val="99"/>
    <w:semiHidden/>
    <w:unhideWhenUsed/>
    <w:rsid w:val="00567A81"/>
    <w:rPr>
      <w:sz w:val="20"/>
      <w:szCs w:val="20"/>
    </w:rPr>
  </w:style>
  <w:style w:type="character" w:customStyle="1" w:styleId="CommentaireCar">
    <w:name w:val="Commentaire Car"/>
    <w:basedOn w:val="Policepardfaut"/>
    <w:link w:val="Commentaire"/>
    <w:uiPriority w:val="99"/>
    <w:semiHidden/>
    <w:rsid w:val="00567A81"/>
    <w:rPr>
      <w:rFonts w:ascii="Times New Roman" w:eastAsia="SimSun" w:hAnsi="Times New Roman"/>
      <w:lang w:val="fr-FR" w:eastAsia="zh-CN"/>
    </w:rPr>
  </w:style>
  <w:style w:type="paragraph" w:styleId="Objetducommentaire">
    <w:name w:val="annotation subject"/>
    <w:basedOn w:val="Commentaire"/>
    <w:next w:val="Commentaire"/>
    <w:link w:val="ObjetducommentaireCar"/>
    <w:uiPriority w:val="99"/>
    <w:semiHidden/>
    <w:unhideWhenUsed/>
    <w:rsid w:val="00567A81"/>
    <w:rPr>
      <w:b/>
      <w:bCs/>
    </w:rPr>
  </w:style>
  <w:style w:type="character" w:customStyle="1" w:styleId="ObjetducommentaireCar">
    <w:name w:val="Objet du commentaire Car"/>
    <w:basedOn w:val="CommentaireCar"/>
    <w:link w:val="Objetducommentaire"/>
    <w:uiPriority w:val="99"/>
    <w:semiHidden/>
    <w:rsid w:val="00567A81"/>
    <w:rPr>
      <w:rFonts w:ascii="Times New Roman" w:eastAsia="SimSun" w:hAnsi="Times New Roman"/>
      <w:b/>
      <w:bCs/>
      <w:lang w:val="fr-FR" w:eastAsia="zh-CN"/>
    </w:rPr>
  </w:style>
  <w:style w:type="character" w:customStyle="1" w:styleId="Titre1Car">
    <w:name w:val="Titre 1 Car"/>
    <w:basedOn w:val="Policepardfaut"/>
    <w:link w:val="Titre1"/>
    <w:uiPriority w:val="9"/>
    <w:rsid w:val="00FF09AA"/>
    <w:rPr>
      <w:rFonts w:ascii="Times New Roman" w:hAnsi="Times New Roman"/>
      <w:b/>
      <w:bCs/>
      <w:kern w:val="44"/>
      <w:sz w:val="44"/>
      <w:szCs w:val="4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SimSun"/>
        <a:cs typeface=""/>
      </a:majorFont>
      <a:minorFont>
        <a:latin typeface="Calibri"/>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94CF7-F6E2-4EAB-BE3C-8CBCD8FA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269</TotalTime>
  <Pages>3</Pages>
  <Words>317</Words>
  <Characters>1749</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Ohinata, Fumiko</cp:lastModifiedBy>
  <cp:revision>27</cp:revision>
  <cp:lastPrinted>2022-06-02T14:48:00Z</cp:lastPrinted>
  <dcterms:created xsi:type="dcterms:W3CDTF">2022-06-13T15:36:00Z</dcterms:created>
  <dcterms:modified xsi:type="dcterms:W3CDTF">2022-06-27T16:26:00Z</dcterms:modified>
</cp:coreProperties>
</file>