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8E489" w14:textId="77777777" w:rsidR="0062356F" w:rsidRPr="007A3834" w:rsidRDefault="0062356F" w:rsidP="0062356F">
      <w:pPr>
        <w:spacing w:before="1440"/>
        <w:jc w:val="center"/>
        <w:rPr>
          <w:rFonts w:ascii="Arial" w:hAnsi="Arial" w:cs="Arial"/>
          <w:b/>
          <w:bCs/>
          <w:sz w:val="22"/>
          <w:szCs w:val="22"/>
          <w:lang w:val="en-GB"/>
        </w:rPr>
      </w:pPr>
      <w:r w:rsidRPr="007A3834">
        <w:rPr>
          <w:rFonts w:ascii="SimSun" w:cs="SimSun" w:hint="eastAsia"/>
          <w:b/>
          <w:bCs/>
          <w:sz w:val="22"/>
          <w:szCs w:val="22"/>
          <w:lang w:val="zh-CN"/>
        </w:rPr>
        <w:t>保护非物质文化遗产公约</w:t>
      </w:r>
    </w:p>
    <w:p w14:paraId="44A44CD6" w14:textId="77777777" w:rsidR="0062356F" w:rsidRPr="007A3834" w:rsidRDefault="0062356F" w:rsidP="0062356F">
      <w:pPr>
        <w:spacing w:before="1200"/>
        <w:jc w:val="center"/>
        <w:rPr>
          <w:rFonts w:ascii="Arial" w:hAnsi="Arial" w:cs="Arial"/>
          <w:b/>
          <w:bCs/>
          <w:sz w:val="22"/>
          <w:szCs w:val="22"/>
          <w:lang w:val="en-GB"/>
        </w:rPr>
      </w:pPr>
      <w:r w:rsidRPr="007A3834">
        <w:rPr>
          <w:rFonts w:ascii="SimSun" w:cs="SimSun" w:hint="eastAsia"/>
          <w:b/>
          <w:bCs/>
          <w:sz w:val="22"/>
          <w:szCs w:val="22"/>
          <w:lang w:val="zh-CN"/>
        </w:rPr>
        <w:t>《保护非物质文化遗产公约》缔约国大会</w:t>
      </w:r>
    </w:p>
    <w:p w14:paraId="6E248B53" w14:textId="77777777" w:rsidR="0062356F" w:rsidRPr="007A3834" w:rsidRDefault="0062356F" w:rsidP="0062356F">
      <w:pPr>
        <w:spacing w:before="840"/>
        <w:jc w:val="center"/>
        <w:rPr>
          <w:rFonts w:ascii="SimSun" w:cs="SimSun"/>
          <w:b/>
          <w:bCs/>
          <w:sz w:val="22"/>
          <w:szCs w:val="22"/>
          <w:lang w:val="zh-CN"/>
        </w:rPr>
      </w:pPr>
      <w:r w:rsidRPr="007A3834">
        <w:rPr>
          <w:rFonts w:ascii="SimSun" w:hAnsi="SimSun" w:cs="SimSun" w:hint="eastAsia"/>
          <w:b/>
          <w:bCs/>
          <w:sz w:val="22"/>
          <w:szCs w:val="22"/>
          <w:lang w:val="zh-CN"/>
        </w:rPr>
        <w:t>第九届会议</w:t>
      </w:r>
    </w:p>
    <w:p w14:paraId="0B01EA57" w14:textId="77777777" w:rsidR="0062356F" w:rsidRPr="007A3834" w:rsidRDefault="0062356F" w:rsidP="0062356F">
      <w:pPr>
        <w:jc w:val="center"/>
        <w:rPr>
          <w:rFonts w:ascii="SimSun" w:hAnsi="SimSun" w:cs="SimSun"/>
          <w:b/>
          <w:bCs/>
          <w:sz w:val="22"/>
          <w:szCs w:val="22"/>
          <w:lang w:val="zh-CN"/>
        </w:rPr>
      </w:pPr>
      <w:r w:rsidRPr="007A3834">
        <w:rPr>
          <w:rFonts w:ascii="SimSun" w:hAnsi="SimSun" w:cs="SimSun"/>
          <w:b/>
          <w:bCs/>
          <w:sz w:val="22"/>
          <w:szCs w:val="22"/>
          <w:lang w:val="zh-CN"/>
        </w:rPr>
        <w:t>教科文组织总部，</w:t>
      </w:r>
      <w:r w:rsidRPr="007A3834">
        <w:rPr>
          <w:rFonts w:ascii="SimSun" w:hAnsi="SimSun" w:cs="SimSun" w:hint="eastAsia"/>
          <w:b/>
          <w:bCs/>
          <w:sz w:val="22"/>
          <w:szCs w:val="22"/>
          <w:lang w:val="zh-CN"/>
        </w:rPr>
        <w:t>一</w:t>
      </w:r>
      <w:r w:rsidRPr="007A3834">
        <w:rPr>
          <w:rFonts w:ascii="SimSun" w:hAnsi="SimSun" w:cs="SimSun"/>
          <w:b/>
          <w:bCs/>
          <w:sz w:val="22"/>
          <w:szCs w:val="22"/>
          <w:lang w:val="zh-CN"/>
        </w:rPr>
        <w:t>号会议厅</w:t>
      </w:r>
    </w:p>
    <w:p w14:paraId="6387B065" w14:textId="77777777" w:rsidR="0062356F" w:rsidRPr="007A3834" w:rsidRDefault="0062356F" w:rsidP="0062356F">
      <w:pPr>
        <w:pStyle w:val="Heading1"/>
        <w:tabs>
          <w:tab w:val="left" w:pos="3465"/>
          <w:tab w:val="center" w:pos="4819"/>
        </w:tabs>
        <w:spacing w:before="0" w:after="0" w:line="240" w:lineRule="auto"/>
        <w:jc w:val="center"/>
        <w:rPr>
          <w:rFonts w:ascii="SimSun" w:hAnsi="SimSun" w:cs="SimSun"/>
          <w:kern w:val="0"/>
          <w:sz w:val="22"/>
          <w:szCs w:val="22"/>
          <w:lang w:val="zh-CN"/>
        </w:rPr>
      </w:pPr>
      <w:r w:rsidRPr="007A3834">
        <w:rPr>
          <w:rFonts w:ascii="SimSun" w:hAnsi="SimSun" w:cs="SimSun"/>
          <w:kern w:val="0"/>
          <w:sz w:val="22"/>
          <w:szCs w:val="22"/>
          <w:lang w:val="zh-CN"/>
        </w:rPr>
        <w:t>202</w:t>
      </w:r>
      <w:r w:rsidRPr="007A3834">
        <w:rPr>
          <w:rFonts w:ascii="SimSun" w:hAnsi="SimSun" w:cs="SimSun" w:hint="eastAsia"/>
          <w:kern w:val="0"/>
          <w:sz w:val="22"/>
          <w:szCs w:val="22"/>
          <w:lang w:val="zh-CN"/>
        </w:rPr>
        <w:t>2年7月5日至7日</w:t>
      </w:r>
    </w:p>
    <w:p w14:paraId="1A8796C2" w14:textId="48FDF745" w:rsidR="00655736" w:rsidRPr="007A3834" w:rsidRDefault="0062356F" w:rsidP="0062356F">
      <w:pPr>
        <w:pStyle w:val="Sansinterligne2"/>
        <w:spacing w:before="960"/>
        <w:jc w:val="center"/>
        <w:rPr>
          <w:rFonts w:ascii="Arial" w:hAnsi="Arial" w:cs="Arial"/>
          <w:b/>
          <w:sz w:val="22"/>
          <w:szCs w:val="22"/>
        </w:rPr>
      </w:pPr>
      <w:r w:rsidRPr="007A3834">
        <w:rPr>
          <w:rFonts w:ascii="SimSun" w:cs="SimSun"/>
          <w:b/>
          <w:bCs/>
          <w:sz w:val="22"/>
          <w:szCs w:val="22"/>
          <w:u w:val="single"/>
          <w:lang w:val="zh-CN"/>
        </w:rPr>
        <w:t>临时议程</w:t>
      </w:r>
      <w:r w:rsidR="00655736" w:rsidRPr="007A3834">
        <w:rPr>
          <w:rFonts w:ascii="Arial" w:hAnsi="Arial" w:hint="eastAsia"/>
          <w:b/>
          <w:sz w:val="22"/>
          <w:u w:val="single"/>
        </w:rPr>
        <w:t>项目</w:t>
      </w:r>
      <w:r w:rsidR="00655736" w:rsidRPr="008C17B8">
        <w:rPr>
          <w:rFonts w:ascii="SimSun" w:hAnsi="SimSun"/>
          <w:b/>
          <w:sz w:val="22"/>
          <w:u w:val="single"/>
        </w:rPr>
        <w:t>8</w:t>
      </w:r>
      <w:r w:rsidR="00655736" w:rsidRPr="007A3834">
        <w:rPr>
          <w:rFonts w:ascii="Arial" w:hAnsi="Arial" w:hint="eastAsia"/>
          <w:b/>
          <w:sz w:val="22"/>
        </w:rPr>
        <w:t>：</w:t>
      </w:r>
    </w:p>
    <w:p w14:paraId="5EAF5ABB" w14:textId="5A3DA6AB" w:rsidR="002F312A" w:rsidRPr="007A3834" w:rsidRDefault="004C5244" w:rsidP="00664523">
      <w:pPr>
        <w:pStyle w:val="Sansinterligne2"/>
        <w:spacing w:after="720"/>
        <w:jc w:val="center"/>
        <w:rPr>
          <w:rFonts w:ascii="Arial" w:hAnsi="Arial" w:cs="Arial"/>
          <w:b/>
          <w:sz w:val="22"/>
          <w:szCs w:val="22"/>
        </w:rPr>
      </w:pPr>
      <w:r>
        <w:rPr>
          <w:rFonts w:ascii="Arial" w:hAnsi="Arial" w:hint="eastAsia"/>
          <w:b/>
          <w:sz w:val="22"/>
        </w:rPr>
        <w:t>认</w:t>
      </w:r>
      <w:r w:rsidR="00AB0BAF" w:rsidRPr="007A3834">
        <w:rPr>
          <w:rFonts w:ascii="Arial" w:hAnsi="Arial" w:hint="eastAsia"/>
          <w:b/>
          <w:sz w:val="22"/>
        </w:rPr>
        <w:t>可海地“久慕汤</w:t>
      </w:r>
      <w:r>
        <w:rPr>
          <w:rFonts w:ascii="Arial" w:hAnsi="Arial" w:hint="eastAsia"/>
          <w:b/>
          <w:sz w:val="22"/>
        </w:rPr>
        <w:t>（</w:t>
      </w:r>
      <w:proofErr w:type="spellStart"/>
      <w:r>
        <w:rPr>
          <w:rFonts w:ascii="Arial" w:hAnsi="Arial" w:hint="eastAsia"/>
          <w:b/>
          <w:sz w:val="22"/>
        </w:rPr>
        <w:t>Joumou</w:t>
      </w:r>
      <w:proofErr w:type="spellEnd"/>
      <w:r>
        <w:rPr>
          <w:rFonts w:ascii="Arial" w:hAnsi="Arial"/>
          <w:b/>
          <w:sz w:val="22"/>
        </w:rPr>
        <w:t xml:space="preserve"> </w:t>
      </w:r>
      <w:proofErr w:type="spellStart"/>
      <w:r>
        <w:rPr>
          <w:rFonts w:ascii="Arial" w:hAnsi="Arial"/>
          <w:b/>
          <w:sz w:val="22"/>
        </w:rPr>
        <w:t>soup</w:t>
      </w:r>
      <w:proofErr w:type="spellEnd"/>
      <w:r>
        <w:rPr>
          <w:rFonts w:ascii="Arial" w:hAnsi="Arial" w:hint="eastAsia"/>
          <w:b/>
          <w:sz w:val="22"/>
        </w:rPr>
        <w:t>）</w:t>
      </w:r>
      <w:r w:rsidR="00AB0BAF" w:rsidRPr="007A3834">
        <w:rPr>
          <w:rFonts w:ascii="Arial" w:hAnsi="Arial" w:hint="eastAsia"/>
          <w:b/>
          <w:sz w:val="22"/>
        </w:rPr>
        <w:t>”列入《人类非物质文化遗产代表作名录》的程序</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7A3834" w14:paraId="796B6D01" w14:textId="77777777" w:rsidTr="002F312A">
        <w:trPr>
          <w:jc w:val="center"/>
        </w:trPr>
        <w:tc>
          <w:tcPr>
            <w:tcW w:w="5670" w:type="dxa"/>
            <w:vAlign w:val="center"/>
          </w:tcPr>
          <w:p w14:paraId="08389200" w14:textId="0C905312" w:rsidR="0057439C" w:rsidRPr="007A3834" w:rsidRDefault="0057439C" w:rsidP="005B7A35">
            <w:pPr>
              <w:pStyle w:val="Sansinterligne1"/>
              <w:spacing w:before="200" w:after="200"/>
              <w:jc w:val="center"/>
              <w:rPr>
                <w:rFonts w:ascii="Arial" w:hAnsi="Arial" w:cs="Arial"/>
                <w:b/>
                <w:sz w:val="22"/>
                <w:szCs w:val="22"/>
              </w:rPr>
            </w:pPr>
            <w:r w:rsidRPr="007A3834">
              <w:rPr>
                <w:rFonts w:ascii="Arial" w:hAnsi="Arial" w:hint="eastAsia"/>
                <w:b/>
                <w:sz w:val="22"/>
              </w:rPr>
              <w:t>摘要</w:t>
            </w:r>
          </w:p>
          <w:p w14:paraId="17CF88BF" w14:textId="0A2FD095" w:rsidR="00E11627" w:rsidRPr="008C17B8" w:rsidRDefault="00E11627" w:rsidP="00E11627">
            <w:pPr>
              <w:pStyle w:val="Sansinterligne1"/>
              <w:spacing w:before="200" w:after="200"/>
              <w:jc w:val="both"/>
              <w:rPr>
                <w:rFonts w:asciiTheme="minorBidi" w:hAnsiTheme="minorBidi"/>
                <w:sz w:val="22"/>
              </w:rPr>
            </w:pPr>
            <w:r w:rsidRPr="007A3834">
              <w:rPr>
                <w:rFonts w:asciiTheme="minorBidi" w:hAnsiTheme="minorBidi" w:hint="eastAsia"/>
                <w:sz w:val="22"/>
              </w:rPr>
              <w:t>在接连发生自然灾害后，海地申请在</w:t>
            </w:r>
            <w:r w:rsidRPr="008C17B8">
              <w:rPr>
                <w:rFonts w:ascii="Arial" w:hAnsi="Arial" w:cs="Arial"/>
                <w:sz w:val="22"/>
              </w:rPr>
              <w:t>2021</w:t>
            </w:r>
            <w:r w:rsidRPr="007A3834">
              <w:rPr>
                <w:rFonts w:asciiTheme="minorBidi" w:hAnsiTheme="minorBidi" w:hint="eastAsia"/>
                <w:sz w:val="22"/>
              </w:rPr>
              <w:t>年周期内加快审查“久慕汤”</w:t>
            </w:r>
            <w:r w:rsidRPr="008C17B8">
              <w:rPr>
                <w:rFonts w:ascii="Arial" w:hAnsi="Arial" w:cs="Arial" w:hint="eastAsia"/>
                <w:sz w:val="22"/>
              </w:rPr>
              <w:t>（</w:t>
            </w:r>
            <w:proofErr w:type="spellStart"/>
            <w:r w:rsidRPr="008C17B8">
              <w:rPr>
                <w:rFonts w:ascii="Arial" w:hAnsi="Arial" w:cs="Arial"/>
                <w:sz w:val="22"/>
              </w:rPr>
              <w:t>Joumou</w:t>
            </w:r>
            <w:proofErr w:type="spellEnd"/>
            <w:r w:rsidRPr="008C17B8">
              <w:rPr>
                <w:rFonts w:ascii="Arial" w:hAnsi="Arial" w:cs="Arial"/>
                <w:sz w:val="22"/>
              </w:rPr>
              <w:t xml:space="preserve"> </w:t>
            </w:r>
            <w:proofErr w:type="spellStart"/>
            <w:r w:rsidRPr="008C17B8">
              <w:rPr>
                <w:rFonts w:ascii="Arial" w:hAnsi="Arial" w:cs="Arial"/>
                <w:sz w:val="22"/>
              </w:rPr>
              <w:t>soup</w:t>
            </w:r>
            <w:proofErr w:type="spellEnd"/>
            <w:r w:rsidRPr="008C17B8">
              <w:rPr>
                <w:rFonts w:ascii="Arial" w:hAnsi="Arial" w:cs="Arial" w:hint="eastAsia"/>
                <w:sz w:val="22"/>
              </w:rPr>
              <w:t>）</w:t>
            </w:r>
            <w:r w:rsidRPr="007A3834">
              <w:rPr>
                <w:rFonts w:asciiTheme="minorBidi" w:hAnsiTheme="minorBidi" w:hint="eastAsia"/>
                <w:sz w:val="22"/>
              </w:rPr>
              <w:t>申报，以便将其列入代表作名录。请大会本届会议</w:t>
            </w:r>
            <w:r w:rsidR="00170E26">
              <w:rPr>
                <w:rFonts w:asciiTheme="minorBidi" w:hAnsiTheme="minorBidi" w:hint="eastAsia"/>
                <w:sz w:val="22"/>
              </w:rPr>
              <w:t>认</w:t>
            </w:r>
            <w:r w:rsidRPr="007A3834">
              <w:rPr>
                <w:rFonts w:asciiTheme="minorBidi" w:hAnsiTheme="minorBidi" w:hint="eastAsia"/>
                <w:sz w:val="22"/>
              </w:rPr>
              <w:t>可委员会第十六届会议采用的将该遗产项目列入代表作名录的例外程序。</w:t>
            </w:r>
          </w:p>
          <w:p w14:paraId="7D45CA36" w14:textId="67618B2A" w:rsidR="00655736" w:rsidRPr="007A3834" w:rsidRDefault="00FB6630" w:rsidP="005B7A35">
            <w:pPr>
              <w:pStyle w:val="Sansinterligne2"/>
              <w:spacing w:after="120"/>
              <w:jc w:val="both"/>
              <w:rPr>
                <w:rFonts w:ascii="Arial" w:hAnsi="Arial" w:cs="Arial"/>
                <w:b/>
                <w:sz w:val="22"/>
                <w:szCs w:val="22"/>
              </w:rPr>
            </w:pPr>
            <w:r w:rsidRPr="007A3834">
              <w:rPr>
                <w:rFonts w:ascii="Arial" w:hAnsi="Arial" w:hint="eastAsia"/>
                <w:b/>
                <w:sz w:val="22"/>
              </w:rPr>
              <w:t>需要做出的决定：</w:t>
            </w:r>
            <w:r w:rsidRPr="007A3834">
              <w:rPr>
                <w:rFonts w:ascii="Arial" w:hAnsi="Arial" w:hint="eastAsia"/>
                <w:sz w:val="22"/>
              </w:rPr>
              <w:t>第</w:t>
            </w:r>
            <w:r w:rsidRPr="007A3834">
              <w:rPr>
                <w:rFonts w:ascii="Arial" w:hAnsi="Arial" w:hint="eastAsia"/>
                <w:sz w:val="22"/>
              </w:rPr>
              <w:t>1</w:t>
            </w:r>
            <w:r w:rsidR="00A52480">
              <w:rPr>
                <w:rFonts w:ascii="Arial" w:hAnsi="Arial" w:hint="eastAsia"/>
                <w:sz w:val="22"/>
              </w:rPr>
              <w:t>1</w:t>
            </w:r>
            <w:r w:rsidRPr="007A3834">
              <w:rPr>
                <w:rFonts w:ascii="Arial" w:hAnsi="Arial" w:hint="eastAsia"/>
                <w:sz w:val="22"/>
              </w:rPr>
              <w:t>段</w:t>
            </w:r>
          </w:p>
        </w:tc>
      </w:tr>
    </w:tbl>
    <w:p w14:paraId="2941B514" w14:textId="77777777" w:rsidR="00176720" w:rsidRPr="007A3834" w:rsidRDefault="00655736" w:rsidP="00176720">
      <w:pPr>
        <w:pStyle w:val="GAPara"/>
        <w:numPr>
          <w:ilvl w:val="0"/>
          <w:numId w:val="0"/>
        </w:numPr>
        <w:jc w:val="both"/>
      </w:pPr>
      <w:r w:rsidRPr="007A3834">
        <w:rPr>
          <w:rFonts w:hint="eastAsia"/>
        </w:rPr>
        <w:br w:type="page"/>
      </w:r>
    </w:p>
    <w:p w14:paraId="73E7C7A4" w14:textId="45878564" w:rsidR="00A14246" w:rsidRPr="007A3834" w:rsidRDefault="00A14246" w:rsidP="0079465B">
      <w:pPr>
        <w:pStyle w:val="GAPara"/>
        <w:numPr>
          <w:ilvl w:val="0"/>
          <w:numId w:val="0"/>
        </w:numPr>
        <w:spacing w:before="360"/>
        <w:ind w:left="567"/>
        <w:jc w:val="both"/>
        <w:rPr>
          <w:b/>
          <w:bCs/>
        </w:rPr>
      </w:pPr>
      <w:r w:rsidRPr="007A3834">
        <w:rPr>
          <w:rFonts w:hint="eastAsia"/>
          <w:b/>
        </w:rPr>
        <w:lastRenderedPageBreak/>
        <w:t>背景</w:t>
      </w:r>
    </w:p>
    <w:p w14:paraId="58CC8187" w14:textId="2424BC73" w:rsidR="00176720" w:rsidRPr="007A3834" w:rsidRDefault="001E5E3E" w:rsidP="00102603">
      <w:pPr>
        <w:pStyle w:val="GAPara"/>
        <w:numPr>
          <w:ilvl w:val="0"/>
          <w:numId w:val="19"/>
        </w:numPr>
        <w:ind w:left="567" w:hanging="567"/>
      </w:pPr>
      <w:r w:rsidRPr="007A3834">
        <w:rPr>
          <w:rFonts w:hint="eastAsia"/>
        </w:rPr>
        <w:t>2021</w:t>
      </w:r>
      <w:r w:rsidRPr="007A3834">
        <w:rPr>
          <w:rFonts w:hint="eastAsia"/>
        </w:rPr>
        <w:t>年</w:t>
      </w:r>
      <w:r w:rsidRPr="007A3834">
        <w:rPr>
          <w:rFonts w:hint="eastAsia"/>
        </w:rPr>
        <w:t>12</w:t>
      </w:r>
      <w:r w:rsidRPr="007A3834">
        <w:rPr>
          <w:rFonts w:hint="eastAsia"/>
        </w:rPr>
        <w:t>月，委员会第十六届会议作为例外情况，加速审查了海地提交的《列入人类非物质文化遗产代表作名录》（下称“代表作名录”）的“久慕汤”申报。在海地人民面临广泛的社会和政治动荡的背景下，</w:t>
      </w:r>
      <w:r w:rsidRPr="007A3834">
        <w:rPr>
          <w:rFonts w:hint="eastAsia"/>
        </w:rPr>
        <w:t>2021</w:t>
      </w:r>
      <w:r w:rsidRPr="007A3834">
        <w:rPr>
          <w:rFonts w:hint="eastAsia"/>
        </w:rPr>
        <w:t>年</w:t>
      </w:r>
      <w:r w:rsidRPr="007A3834">
        <w:rPr>
          <w:rFonts w:hint="eastAsia"/>
        </w:rPr>
        <w:t>8</w:t>
      </w:r>
      <w:r w:rsidRPr="007A3834">
        <w:rPr>
          <w:rFonts w:hint="eastAsia"/>
        </w:rPr>
        <w:t>月，海地接连遭受自然灾害，该国申请在</w:t>
      </w:r>
      <w:r w:rsidRPr="007A3834">
        <w:rPr>
          <w:rFonts w:hint="eastAsia"/>
        </w:rPr>
        <w:t>2021</w:t>
      </w:r>
      <w:r w:rsidRPr="007A3834">
        <w:rPr>
          <w:rFonts w:hint="eastAsia"/>
        </w:rPr>
        <w:t>年周期内而不是</w:t>
      </w:r>
      <w:r w:rsidR="009560BF">
        <w:rPr>
          <w:rFonts w:hint="eastAsia"/>
        </w:rPr>
        <w:t>按原计划</w:t>
      </w:r>
      <w:r w:rsidRPr="007A3834">
        <w:rPr>
          <w:rFonts w:hint="eastAsia"/>
        </w:rPr>
        <w:t>在</w:t>
      </w:r>
      <w:r w:rsidRPr="007A3834">
        <w:rPr>
          <w:rFonts w:hint="eastAsia"/>
        </w:rPr>
        <w:t>2022</w:t>
      </w:r>
      <w:r w:rsidRPr="007A3834">
        <w:rPr>
          <w:rFonts w:hint="eastAsia"/>
        </w:rPr>
        <w:t>年周期内审查此项申报（</w:t>
      </w:r>
      <w:r w:rsidR="009560BF">
        <w:rPr>
          <w:rFonts w:hint="eastAsia"/>
        </w:rPr>
        <w:t>第</w:t>
      </w:r>
      <w:hyperlink r:id="rId8" w:history="1">
        <w:r w:rsidRPr="007A3834">
          <w:rPr>
            <w:rStyle w:val="Hyperlink"/>
            <w:rFonts w:hint="eastAsia"/>
          </w:rPr>
          <w:t>LHE/21/16.COM/19</w:t>
        </w:r>
      </w:hyperlink>
      <w:r w:rsidRPr="007A3834">
        <w:rPr>
          <w:rFonts w:hint="eastAsia"/>
        </w:rPr>
        <w:t>号文件）。</w:t>
      </w:r>
    </w:p>
    <w:p w14:paraId="295A4BB6" w14:textId="2141890C" w:rsidR="0013158A" w:rsidRPr="007A3834" w:rsidRDefault="0013158A" w:rsidP="00102603">
      <w:pPr>
        <w:pStyle w:val="GAPara"/>
        <w:numPr>
          <w:ilvl w:val="0"/>
          <w:numId w:val="19"/>
        </w:numPr>
        <w:ind w:left="567" w:hanging="567"/>
      </w:pPr>
      <w:r w:rsidRPr="007A3834">
        <w:rPr>
          <w:rFonts w:hint="eastAsia"/>
        </w:rPr>
        <w:t>申报材料表明，与“久慕汤”有关的做法象征着海地独立后获得的自由，也是海地社会各阶层都认同的包容性要素。作为海地第一份列入</w:t>
      </w:r>
      <w:r w:rsidRPr="007A3834">
        <w:rPr>
          <w:rFonts w:hint="eastAsia"/>
        </w:rPr>
        <w:t>2003</w:t>
      </w:r>
      <w:r w:rsidRPr="007A3834">
        <w:rPr>
          <w:rFonts w:hint="eastAsia"/>
        </w:rPr>
        <w:t>年《公约》名录的申报材料，海地国家当局预计，在海地人民努力从异常艰难的情况下恢复过来的时候，列入遗产名录将为他们带来希望和鼓舞。</w:t>
      </w:r>
    </w:p>
    <w:p w14:paraId="790B939E" w14:textId="7B6052DB" w:rsidR="00C42C66" w:rsidRPr="007A3834" w:rsidRDefault="00D43EB7" w:rsidP="0079465B">
      <w:pPr>
        <w:pStyle w:val="GAPara"/>
        <w:numPr>
          <w:ilvl w:val="0"/>
          <w:numId w:val="0"/>
        </w:numPr>
        <w:spacing w:before="240"/>
        <w:ind w:left="567"/>
        <w:jc w:val="both"/>
        <w:rPr>
          <w:b/>
          <w:bCs/>
        </w:rPr>
      </w:pPr>
      <w:r w:rsidRPr="007A3834">
        <w:rPr>
          <w:rFonts w:hint="eastAsia"/>
          <w:b/>
        </w:rPr>
        <w:t>“久慕汤”列入名录所遵循的步骤</w:t>
      </w:r>
    </w:p>
    <w:p w14:paraId="622B92D4" w14:textId="02FA6786" w:rsidR="008B6D66" w:rsidRPr="007A3834" w:rsidRDefault="00E2315D" w:rsidP="00E2315D">
      <w:pPr>
        <w:pStyle w:val="GAPara"/>
        <w:numPr>
          <w:ilvl w:val="0"/>
          <w:numId w:val="19"/>
        </w:numPr>
        <w:ind w:left="567" w:hanging="567"/>
        <w:jc w:val="both"/>
      </w:pPr>
      <w:r w:rsidRPr="007A3834">
        <w:rPr>
          <w:rFonts w:hint="eastAsia"/>
        </w:rPr>
        <w:t>该申请已按照以下步骤处理。</w:t>
      </w:r>
    </w:p>
    <w:tbl>
      <w:tblPr>
        <w:tblStyle w:val="TableGrid"/>
        <w:tblW w:w="0" w:type="auto"/>
        <w:tblInd w:w="567" w:type="dxa"/>
        <w:tblLook w:val="04A0" w:firstRow="1" w:lastRow="0" w:firstColumn="1" w:lastColumn="0" w:noHBand="0" w:noVBand="1"/>
      </w:tblPr>
      <w:tblGrid>
        <w:gridCol w:w="2122"/>
        <w:gridCol w:w="6939"/>
      </w:tblGrid>
      <w:tr w:rsidR="00E2315D" w:rsidRPr="007A3834" w14:paraId="028190A7" w14:textId="77777777" w:rsidTr="007566BA">
        <w:tc>
          <w:tcPr>
            <w:tcW w:w="2122" w:type="dxa"/>
          </w:tcPr>
          <w:p w14:paraId="78F9BAF6" w14:textId="5F2B3043" w:rsidR="00E2315D" w:rsidRPr="007A3834" w:rsidRDefault="00E2315D" w:rsidP="007566BA">
            <w:pPr>
              <w:pStyle w:val="GAPara"/>
              <w:numPr>
                <w:ilvl w:val="0"/>
                <w:numId w:val="0"/>
              </w:numPr>
              <w:spacing w:after="0"/>
              <w:jc w:val="both"/>
            </w:pPr>
            <w:r w:rsidRPr="007A3834">
              <w:rPr>
                <w:rFonts w:hint="eastAsia"/>
              </w:rPr>
              <w:t>2021</w:t>
            </w:r>
            <w:r w:rsidRPr="007A3834">
              <w:rPr>
                <w:rFonts w:hint="eastAsia"/>
              </w:rPr>
              <w:t>年</w:t>
            </w:r>
            <w:r w:rsidRPr="007A3834">
              <w:rPr>
                <w:rFonts w:hint="eastAsia"/>
              </w:rPr>
              <w:t>3</w:t>
            </w:r>
            <w:r w:rsidRPr="007A3834">
              <w:rPr>
                <w:rFonts w:hint="eastAsia"/>
              </w:rPr>
              <w:t>月</w:t>
            </w:r>
            <w:r w:rsidRPr="007A3834">
              <w:rPr>
                <w:rFonts w:hint="eastAsia"/>
              </w:rPr>
              <w:t>25</w:t>
            </w:r>
            <w:r w:rsidRPr="007A3834">
              <w:rPr>
                <w:rFonts w:hint="eastAsia"/>
              </w:rPr>
              <w:t>日</w:t>
            </w:r>
          </w:p>
        </w:tc>
        <w:tc>
          <w:tcPr>
            <w:tcW w:w="6939" w:type="dxa"/>
          </w:tcPr>
          <w:p w14:paraId="1F866947" w14:textId="59438014" w:rsidR="00E2315D" w:rsidRPr="007A3834" w:rsidRDefault="00E2315D" w:rsidP="00E2315D">
            <w:pPr>
              <w:pStyle w:val="GAPara"/>
              <w:numPr>
                <w:ilvl w:val="0"/>
                <w:numId w:val="0"/>
              </w:numPr>
              <w:spacing w:after="0"/>
              <w:jc w:val="both"/>
            </w:pPr>
            <w:r w:rsidRPr="007A3834">
              <w:rPr>
                <w:rFonts w:hint="eastAsia"/>
              </w:rPr>
              <w:t>“久慕汤”申报由海地使用</w:t>
            </w:r>
            <w:r w:rsidRPr="007A3834">
              <w:rPr>
                <w:rFonts w:hint="eastAsia"/>
              </w:rPr>
              <w:t>ICH-02</w:t>
            </w:r>
            <w:r w:rsidRPr="007A3834">
              <w:rPr>
                <w:rFonts w:hint="eastAsia"/>
              </w:rPr>
              <w:t>表提交，供</w:t>
            </w:r>
            <w:r w:rsidRPr="007A3834">
              <w:rPr>
                <w:rFonts w:hint="eastAsia"/>
              </w:rPr>
              <w:t>2022</w:t>
            </w:r>
            <w:r w:rsidRPr="007A3834">
              <w:rPr>
                <w:rFonts w:hint="eastAsia"/>
              </w:rPr>
              <w:t>年委员会第十七届会议审议，以便可能列入代表作名录。</w:t>
            </w:r>
          </w:p>
        </w:tc>
      </w:tr>
      <w:tr w:rsidR="0032141D" w:rsidRPr="007A3834" w14:paraId="00CCD928" w14:textId="77777777" w:rsidTr="007566BA">
        <w:tc>
          <w:tcPr>
            <w:tcW w:w="2122" w:type="dxa"/>
          </w:tcPr>
          <w:p w14:paraId="378E6789" w14:textId="5D656F73" w:rsidR="0032141D" w:rsidRPr="007A3834" w:rsidRDefault="0032141D" w:rsidP="007566BA">
            <w:pPr>
              <w:pStyle w:val="GAPara"/>
              <w:numPr>
                <w:ilvl w:val="0"/>
                <w:numId w:val="0"/>
              </w:numPr>
              <w:spacing w:after="0"/>
              <w:jc w:val="both"/>
            </w:pPr>
            <w:r w:rsidRPr="007A3834">
              <w:rPr>
                <w:rFonts w:hint="eastAsia"/>
              </w:rPr>
              <w:t>2021</w:t>
            </w:r>
            <w:r w:rsidRPr="007A3834">
              <w:rPr>
                <w:rFonts w:hint="eastAsia"/>
              </w:rPr>
              <w:t>年</w:t>
            </w:r>
            <w:r w:rsidRPr="007A3834">
              <w:rPr>
                <w:rFonts w:hint="eastAsia"/>
              </w:rPr>
              <w:t>8</w:t>
            </w:r>
            <w:r w:rsidRPr="007A3834">
              <w:rPr>
                <w:rFonts w:hint="eastAsia"/>
              </w:rPr>
              <w:t>月</w:t>
            </w:r>
            <w:r w:rsidRPr="007A3834">
              <w:rPr>
                <w:rFonts w:hint="eastAsia"/>
              </w:rPr>
              <w:t>10</w:t>
            </w:r>
            <w:r w:rsidRPr="007A3834">
              <w:rPr>
                <w:rFonts w:hint="eastAsia"/>
              </w:rPr>
              <w:t>日</w:t>
            </w:r>
          </w:p>
        </w:tc>
        <w:tc>
          <w:tcPr>
            <w:tcW w:w="6939" w:type="dxa"/>
          </w:tcPr>
          <w:p w14:paraId="6D26B3CE" w14:textId="5B622837" w:rsidR="0032141D" w:rsidRPr="007A3834" w:rsidRDefault="0032141D" w:rsidP="00E2315D">
            <w:pPr>
              <w:pStyle w:val="GAPara"/>
              <w:numPr>
                <w:ilvl w:val="0"/>
                <w:numId w:val="0"/>
              </w:numPr>
              <w:spacing w:after="0"/>
              <w:jc w:val="both"/>
            </w:pPr>
            <w:r w:rsidRPr="007A3834">
              <w:rPr>
                <w:rFonts w:hint="eastAsia"/>
              </w:rPr>
              <w:t>秘书处在技术完整性检查框架内受理了此项申报（业务指南第</w:t>
            </w:r>
            <w:r w:rsidRPr="007A3834">
              <w:rPr>
                <w:rFonts w:hint="eastAsia"/>
              </w:rPr>
              <w:t>54</w:t>
            </w:r>
            <w:r w:rsidRPr="007A3834">
              <w:rPr>
                <w:rFonts w:hint="eastAsia"/>
              </w:rPr>
              <w:t>段），并要求海地国家当局提交补充资料以完成申报。</w:t>
            </w:r>
          </w:p>
        </w:tc>
      </w:tr>
      <w:tr w:rsidR="00E2315D" w:rsidRPr="007A3834" w14:paraId="65D99352" w14:textId="77777777" w:rsidTr="007566BA">
        <w:tc>
          <w:tcPr>
            <w:tcW w:w="2122" w:type="dxa"/>
          </w:tcPr>
          <w:p w14:paraId="7681D2B1" w14:textId="7B1D5EEB" w:rsidR="00E2315D" w:rsidRPr="007A3834" w:rsidRDefault="00E2315D" w:rsidP="007566BA">
            <w:pPr>
              <w:pStyle w:val="GAPara"/>
              <w:numPr>
                <w:ilvl w:val="0"/>
                <w:numId w:val="0"/>
              </w:numPr>
              <w:spacing w:after="0"/>
              <w:jc w:val="both"/>
            </w:pPr>
            <w:r w:rsidRPr="007A3834">
              <w:rPr>
                <w:rFonts w:hint="eastAsia"/>
              </w:rPr>
              <w:t>2021</w:t>
            </w:r>
            <w:r w:rsidRPr="007A3834">
              <w:rPr>
                <w:rFonts w:hint="eastAsia"/>
              </w:rPr>
              <w:t>年</w:t>
            </w:r>
            <w:r w:rsidRPr="007A3834">
              <w:rPr>
                <w:rFonts w:hint="eastAsia"/>
              </w:rPr>
              <w:t>8</w:t>
            </w:r>
            <w:r w:rsidRPr="007A3834">
              <w:rPr>
                <w:rFonts w:hint="eastAsia"/>
              </w:rPr>
              <w:t>月</w:t>
            </w:r>
            <w:r w:rsidRPr="007A3834">
              <w:rPr>
                <w:rFonts w:hint="eastAsia"/>
              </w:rPr>
              <w:t>23</w:t>
            </w:r>
            <w:r w:rsidRPr="007A3834">
              <w:rPr>
                <w:rFonts w:hint="eastAsia"/>
              </w:rPr>
              <w:t>日</w:t>
            </w:r>
          </w:p>
        </w:tc>
        <w:tc>
          <w:tcPr>
            <w:tcW w:w="6939" w:type="dxa"/>
          </w:tcPr>
          <w:p w14:paraId="6D7CBFDE" w14:textId="305E5AB9" w:rsidR="00E2315D" w:rsidRPr="007A3834" w:rsidRDefault="00E2315D" w:rsidP="00E2315D">
            <w:pPr>
              <w:pStyle w:val="GAPara"/>
              <w:numPr>
                <w:ilvl w:val="0"/>
                <w:numId w:val="0"/>
              </w:numPr>
              <w:spacing w:after="0"/>
              <w:jc w:val="both"/>
            </w:pPr>
            <w:r w:rsidRPr="007A3834">
              <w:rPr>
                <w:rFonts w:hint="eastAsia"/>
              </w:rPr>
              <w:t>秘书处收到了海地的一封信，申请在委员会第十六届会议而不是第十七届会议加速审议此项申报。</w:t>
            </w:r>
          </w:p>
        </w:tc>
      </w:tr>
      <w:tr w:rsidR="0032141D" w:rsidRPr="007A3834" w14:paraId="31173A0E" w14:textId="77777777" w:rsidTr="007566BA">
        <w:tc>
          <w:tcPr>
            <w:tcW w:w="2122" w:type="dxa"/>
          </w:tcPr>
          <w:p w14:paraId="7C39D5BA" w14:textId="637E7A22" w:rsidR="0032141D" w:rsidRPr="007A3834" w:rsidRDefault="0032141D" w:rsidP="007566BA">
            <w:pPr>
              <w:pStyle w:val="GAPara"/>
              <w:numPr>
                <w:ilvl w:val="0"/>
                <w:numId w:val="0"/>
              </w:numPr>
              <w:spacing w:after="0"/>
              <w:jc w:val="both"/>
            </w:pPr>
            <w:r w:rsidRPr="007A3834">
              <w:rPr>
                <w:rFonts w:hint="eastAsia"/>
              </w:rPr>
              <w:t>2021</w:t>
            </w:r>
            <w:r w:rsidRPr="007A3834">
              <w:rPr>
                <w:rFonts w:hint="eastAsia"/>
              </w:rPr>
              <w:t>年</w:t>
            </w:r>
            <w:r w:rsidRPr="007A3834">
              <w:rPr>
                <w:rFonts w:hint="eastAsia"/>
              </w:rPr>
              <w:t>8</w:t>
            </w:r>
            <w:r w:rsidRPr="007A3834">
              <w:rPr>
                <w:rFonts w:hint="eastAsia"/>
              </w:rPr>
              <w:t>月</w:t>
            </w:r>
            <w:r w:rsidRPr="007A3834">
              <w:rPr>
                <w:rFonts w:hint="eastAsia"/>
              </w:rPr>
              <w:t>25</w:t>
            </w:r>
            <w:r w:rsidRPr="007A3834">
              <w:rPr>
                <w:rFonts w:hint="eastAsia"/>
              </w:rPr>
              <w:t>日</w:t>
            </w:r>
          </w:p>
        </w:tc>
        <w:tc>
          <w:tcPr>
            <w:tcW w:w="6939" w:type="dxa"/>
          </w:tcPr>
          <w:p w14:paraId="51C942DF" w14:textId="7DDFBA56" w:rsidR="0032141D" w:rsidRPr="007A3834" w:rsidRDefault="005D5CD9" w:rsidP="00E2315D">
            <w:pPr>
              <w:pStyle w:val="GAPara"/>
              <w:numPr>
                <w:ilvl w:val="0"/>
                <w:numId w:val="0"/>
              </w:numPr>
              <w:spacing w:after="0"/>
              <w:jc w:val="both"/>
            </w:pPr>
            <w:r w:rsidRPr="007A3834">
              <w:rPr>
                <w:rFonts w:hint="eastAsia"/>
              </w:rPr>
              <w:t>根据海地提交的补充资料，秘书处认为此项申报在技术上是完整的。</w:t>
            </w:r>
          </w:p>
        </w:tc>
      </w:tr>
      <w:tr w:rsidR="00E2315D" w:rsidRPr="007A3834" w14:paraId="55D66531" w14:textId="77777777" w:rsidTr="007566BA">
        <w:tc>
          <w:tcPr>
            <w:tcW w:w="2122" w:type="dxa"/>
          </w:tcPr>
          <w:p w14:paraId="66F58B60" w14:textId="1F53DE3B" w:rsidR="00E2315D" w:rsidRPr="007A3834" w:rsidRDefault="000C701F" w:rsidP="007566BA">
            <w:pPr>
              <w:pStyle w:val="GAPara"/>
              <w:numPr>
                <w:ilvl w:val="0"/>
                <w:numId w:val="0"/>
              </w:numPr>
              <w:spacing w:after="0"/>
              <w:jc w:val="both"/>
            </w:pPr>
            <w:r w:rsidRPr="007A3834">
              <w:rPr>
                <w:rFonts w:hint="eastAsia"/>
              </w:rPr>
              <w:t>2021</w:t>
            </w:r>
            <w:r w:rsidRPr="007A3834">
              <w:rPr>
                <w:rFonts w:hint="eastAsia"/>
              </w:rPr>
              <w:t>年</w:t>
            </w:r>
            <w:r w:rsidRPr="007A3834">
              <w:rPr>
                <w:rFonts w:hint="eastAsia"/>
              </w:rPr>
              <w:t>9</w:t>
            </w:r>
            <w:r w:rsidRPr="007A3834">
              <w:rPr>
                <w:rFonts w:hint="eastAsia"/>
              </w:rPr>
              <w:t>月</w:t>
            </w:r>
            <w:r w:rsidRPr="007A3834">
              <w:rPr>
                <w:rFonts w:hint="eastAsia"/>
              </w:rPr>
              <w:t>14</w:t>
            </w:r>
            <w:r w:rsidRPr="007A3834">
              <w:rPr>
                <w:rFonts w:hint="eastAsia"/>
              </w:rPr>
              <w:t>日</w:t>
            </w:r>
          </w:p>
        </w:tc>
        <w:tc>
          <w:tcPr>
            <w:tcW w:w="6939" w:type="dxa"/>
          </w:tcPr>
          <w:p w14:paraId="74F0D2DD" w14:textId="6A33668D" w:rsidR="00E2315D" w:rsidRPr="007A3834" w:rsidRDefault="00D67BAC" w:rsidP="00E2315D">
            <w:pPr>
              <w:pStyle w:val="GAPara"/>
              <w:numPr>
                <w:ilvl w:val="0"/>
                <w:numId w:val="0"/>
              </w:numPr>
              <w:spacing w:after="0"/>
              <w:jc w:val="both"/>
            </w:pPr>
            <w:r w:rsidRPr="007A3834">
              <w:rPr>
                <w:rFonts w:hint="eastAsia"/>
              </w:rPr>
              <w:t>秘书处在</w:t>
            </w:r>
            <w:r w:rsidRPr="007A3834">
              <w:rPr>
                <w:rFonts w:hint="eastAsia"/>
              </w:rPr>
              <w:t>9</w:t>
            </w:r>
            <w:r w:rsidRPr="007A3834">
              <w:rPr>
                <w:rFonts w:hint="eastAsia"/>
              </w:rPr>
              <w:t>月份的会议上提请</w:t>
            </w:r>
            <w:r w:rsidRPr="007A3834">
              <w:rPr>
                <w:rFonts w:hint="eastAsia"/>
              </w:rPr>
              <w:t>2021</w:t>
            </w:r>
            <w:r w:rsidRPr="007A3834">
              <w:rPr>
                <w:rFonts w:hint="eastAsia"/>
              </w:rPr>
              <w:t>年审查机构成员注意此项申报，并要求作为例外情况对申报材料进行审查。秘书处明确指出，这一审查应在与任何其他申报材料相同的条件下进行，并遵循同样的列入标准和方法。</w:t>
            </w:r>
          </w:p>
        </w:tc>
      </w:tr>
      <w:tr w:rsidR="00D67BAC" w:rsidRPr="007A3834" w14:paraId="6A8ABCE3" w14:textId="77777777" w:rsidTr="007566BA">
        <w:tc>
          <w:tcPr>
            <w:tcW w:w="2122" w:type="dxa"/>
          </w:tcPr>
          <w:p w14:paraId="7F1048CB" w14:textId="13935AA8" w:rsidR="00D67BAC" w:rsidRPr="007A3834" w:rsidRDefault="00E84B79" w:rsidP="007566BA">
            <w:pPr>
              <w:pStyle w:val="GAPara"/>
              <w:numPr>
                <w:ilvl w:val="0"/>
                <w:numId w:val="0"/>
              </w:numPr>
              <w:spacing w:after="0"/>
              <w:jc w:val="both"/>
            </w:pPr>
            <w:r w:rsidRPr="007A3834">
              <w:rPr>
                <w:rFonts w:hint="eastAsia"/>
              </w:rPr>
              <w:t>2021</w:t>
            </w:r>
            <w:r w:rsidRPr="007A3834">
              <w:rPr>
                <w:rFonts w:hint="eastAsia"/>
              </w:rPr>
              <w:t>年</w:t>
            </w:r>
            <w:r w:rsidRPr="007A3834">
              <w:rPr>
                <w:rFonts w:hint="eastAsia"/>
              </w:rPr>
              <w:t>9</w:t>
            </w:r>
            <w:r w:rsidRPr="007A3834">
              <w:rPr>
                <w:rFonts w:hint="eastAsia"/>
              </w:rPr>
              <w:t>月</w:t>
            </w:r>
            <w:r w:rsidRPr="007A3834">
              <w:rPr>
                <w:rFonts w:hint="eastAsia"/>
              </w:rPr>
              <w:t>16</w:t>
            </w:r>
            <w:r w:rsidRPr="007A3834">
              <w:rPr>
                <w:rFonts w:hint="eastAsia"/>
              </w:rPr>
              <w:t>日</w:t>
            </w:r>
          </w:p>
        </w:tc>
        <w:tc>
          <w:tcPr>
            <w:tcW w:w="6939" w:type="dxa"/>
          </w:tcPr>
          <w:p w14:paraId="2EC584F7" w14:textId="02F43614" w:rsidR="00D67BAC" w:rsidRPr="007A3834" w:rsidRDefault="00D67BAC" w:rsidP="00E2315D">
            <w:pPr>
              <w:pStyle w:val="GAPara"/>
              <w:numPr>
                <w:ilvl w:val="0"/>
                <w:numId w:val="0"/>
              </w:numPr>
              <w:spacing w:after="0"/>
              <w:jc w:val="both"/>
            </w:pPr>
            <w:r w:rsidRPr="007A3834">
              <w:rPr>
                <w:rFonts w:hint="eastAsia"/>
              </w:rPr>
              <w:t>经过内部磋商，审查机构成员同意对申报材料进行审查，但达成一项共识，即他们的审查不会影响委员会就是否在</w:t>
            </w:r>
            <w:r w:rsidRPr="007A3834">
              <w:rPr>
                <w:rFonts w:hint="eastAsia"/>
              </w:rPr>
              <w:t>2021</w:t>
            </w:r>
            <w:r w:rsidRPr="007A3834">
              <w:rPr>
                <w:rFonts w:hint="eastAsia"/>
              </w:rPr>
              <w:t>年</w:t>
            </w:r>
            <w:r w:rsidRPr="007A3834">
              <w:rPr>
                <w:rFonts w:hint="eastAsia"/>
              </w:rPr>
              <w:t>12</w:t>
            </w:r>
            <w:r w:rsidRPr="007A3834">
              <w:rPr>
                <w:rFonts w:hint="eastAsia"/>
              </w:rPr>
              <w:t>月第十六届会议上审议此项申报</w:t>
            </w:r>
            <w:proofErr w:type="gramStart"/>
            <w:r w:rsidRPr="007A3834">
              <w:rPr>
                <w:rFonts w:hint="eastAsia"/>
              </w:rPr>
              <w:t>作出</w:t>
            </w:r>
            <w:proofErr w:type="gramEnd"/>
            <w:r w:rsidRPr="007A3834">
              <w:rPr>
                <w:rFonts w:hint="eastAsia"/>
              </w:rPr>
              <w:t>的决定（审查机构主席在</w:t>
            </w:r>
            <w:r w:rsidRPr="007A3834">
              <w:rPr>
                <w:rFonts w:hint="eastAsia"/>
              </w:rPr>
              <w:t>2021</w:t>
            </w:r>
            <w:r w:rsidRPr="007A3834">
              <w:rPr>
                <w:rFonts w:hint="eastAsia"/>
              </w:rPr>
              <w:t>年</w:t>
            </w:r>
            <w:r w:rsidRPr="007A3834">
              <w:rPr>
                <w:rFonts w:hint="eastAsia"/>
              </w:rPr>
              <w:t>11</w:t>
            </w:r>
            <w:r w:rsidRPr="007A3834">
              <w:rPr>
                <w:rFonts w:hint="eastAsia"/>
              </w:rPr>
              <w:t>月</w:t>
            </w:r>
            <w:r w:rsidRPr="007A3834">
              <w:rPr>
                <w:rFonts w:hint="eastAsia"/>
              </w:rPr>
              <w:t>2</w:t>
            </w:r>
            <w:r w:rsidRPr="007A3834">
              <w:rPr>
                <w:rFonts w:hint="eastAsia"/>
              </w:rPr>
              <w:t>日提交的信函中也提到了这一点）。</w:t>
            </w:r>
          </w:p>
        </w:tc>
      </w:tr>
      <w:tr w:rsidR="00E804B7" w:rsidRPr="007A3834" w14:paraId="15B1B3CD" w14:textId="77777777" w:rsidTr="007566BA">
        <w:tc>
          <w:tcPr>
            <w:tcW w:w="2122" w:type="dxa"/>
          </w:tcPr>
          <w:p w14:paraId="02D30423" w14:textId="43098F36" w:rsidR="00E804B7" w:rsidRPr="007A3834" w:rsidRDefault="00E804B7" w:rsidP="007566BA">
            <w:pPr>
              <w:pStyle w:val="GAPara"/>
              <w:numPr>
                <w:ilvl w:val="0"/>
                <w:numId w:val="0"/>
              </w:numPr>
              <w:spacing w:after="0"/>
              <w:jc w:val="both"/>
            </w:pPr>
            <w:r w:rsidRPr="007A3834">
              <w:rPr>
                <w:rFonts w:hint="eastAsia"/>
              </w:rPr>
              <w:t>2021</w:t>
            </w:r>
            <w:r w:rsidRPr="007A3834">
              <w:rPr>
                <w:rFonts w:hint="eastAsia"/>
              </w:rPr>
              <w:t>年</w:t>
            </w:r>
            <w:r w:rsidRPr="007A3834">
              <w:rPr>
                <w:rFonts w:hint="eastAsia"/>
              </w:rPr>
              <w:t>9</w:t>
            </w:r>
            <w:r w:rsidRPr="007A3834">
              <w:rPr>
                <w:rFonts w:hint="eastAsia"/>
              </w:rPr>
              <w:t>月</w:t>
            </w:r>
            <w:r w:rsidRPr="007A3834">
              <w:rPr>
                <w:rFonts w:hint="eastAsia"/>
              </w:rPr>
              <w:t>14</w:t>
            </w:r>
            <w:r w:rsidRPr="007A3834">
              <w:rPr>
                <w:rFonts w:hint="eastAsia"/>
              </w:rPr>
              <w:t>日至</w:t>
            </w:r>
            <w:r w:rsidRPr="007A3834">
              <w:rPr>
                <w:rFonts w:hint="eastAsia"/>
              </w:rPr>
              <w:t>10</w:t>
            </w:r>
            <w:r w:rsidRPr="007A3834">
              <w:rPr>
                <w:rFonts w:hint="eastAsia"/>
              </w:rPr>
              <w:t>月</w:t>
            </w:r>
            <w:r w:rsidRPr="007A3834">
              <w:rPr>
                <w:rFonts w:hint="eastAsia"/>
              </w:rPr>
              <w:t>13</w:t>
            </w:r>
            <w:r w:rsidRPr="007A3834">
              <w:rPr>
                <w:rFonts w:hint="eastAsia"/>
              </w:rPr>
              <w:t>日</w:t>
            </w:r>
          </w:p>
        </w:tc>
        <w:tc>
          <w:tcPr>
            <w:tcW w:w="6939" w:type="dxa"/>
          </w:tcPr>
          <w:p w14:paraId="745255C7" w14:textId="33513EC6" w:rsidR="00E804B7" w:rsidRPr="007A3834" w:rsidRDefault="00AC0CD5" w:rsidP="00E2315D">
            <w:pPr>
              <w:pStyle w:val="GAPara"/>
              <w:numPr>
                <w:ilvl w:val="0"/>
                <w:numId w:val="0"/>
              </w:numPr>
              <w:spacing w:after="0"/>
              <w:jc w:val="both"/>
            </w:pPr>
            <w:r w:rsidRPr="007A3834">
              <w:rPr>
                <w:rFonts w:hint="eastAsia"/>
              </w:rPr>
              <w:t>审查机构的成员使用在线界面对申报材料进行了单独审查。</w:t>
            </w:r>
          </w:p>
        </w:tc>
      </w:tr>
      <w:tr w:rsidR="00E804B7" w:rsidRPr="007A3834" w14:paraId="7052D6EB" w14:textId="77777777" w:rsidTr="007566BA">
        <w:tc>
          <w:tcPr>
            <w:tcW w:w="2122" w:type="dxa"/>
          </w:tcPr>
          <w:p w14:paraId="4FE576C5" w14:textId="4201CAD3" w:rsidR="00E804B7" w:rsidRPr="007A3834" w:rsidRDefault="00FD37EC" w:rsidP="007566BA">
            <w:pPr>
              <w:pStyle w:val="GAPara"/>
              <w:numPr>
                <w:ilvl w:val="0"/>
                <w:numId w:val="0"/>
              </w:numPr>
              <w:spacing w:after="0"/>
              <w:jc w:val="both"/>
            </w:pPr>
            <w:r w:rsidRPr="007A3834">
              <w:rPr>
                <w:rFonts w:hint="eastAsia"/>
              </w:rPr>
              <w:t>2021</w:t>
            </w:r>
            <w:r w:rsidRPr="007A3834">
              <w:rPr>
                <w:rFonts w:hint="eastAsia"/>
              </w:rPr>
              <w:t>年</w:t>
            </w:r>
            <w:r w:rsidRPr="007A3834">
              <w:rPr>
                <w:rFonts w:hint="eastAsia"/>
              </w:rPr>
              <w:t>10</w:t>
            </w:r>
            <w:r w:rsidRPr="007A3834">
              <w:rPr>
                <w:rFonts w:hint="eastAsia"/>
              </w:rPr>
              <w:t>月</w:t>
            </w:r>
            <w:r w:rsidRPr="007A3834">
              <w:rPr>
                <w:rFonts w:hint="eastAsia"/>
              </w:rPr>
              <w:t>14</w:t>
            </w:r>
            <w:r w:rsidRPr="007A3834">
              <w:rPr>
                <w:rFonts w:hint="eastAsia"/>
              </w:rPr>
              <w:t>日</w:t>
            </w:r>
          </w:p>
        </w:tc>
        <w:tc>
          <w:tcPr>
            <w:tcW w:w="6939" w:type="dxa"/>
          </w:tcPr>
          <w:p w14:paraId="310A39A9" w14:textId="4D672DA5" w:rsidR="00E804B7" w:rsidRPr="007A3834" w:rsidRDefault="00AB3943" w:rsidP="00E2315D">
            <w:pPr>
              <w:pStyle w:val="GAPara"/>
              <w:numPr>
                <w:ilvl w:val="0"/>
                <w:numId w:val="0"/>
              </w:numPr>
              <w:spacing w:after="0"/>
              <w:jc w:val="both"/>
            </w:pPr>
            <w:r w:rsidRPr="007A3834">
              <w:rPr>
                <w:rFonts w:hint="eastAsia"/>
              </w:rPr>
              <w:t>在一次在线会议上，审查机构根据每项必要的列入标准对申报材料进行了集体评估，以得出集体建议。</w:t>
            </w:r>
          </w:p>
        </w:tc>
      </w:tr>
      <w:tr w:rsidR="00FD37EC" w:rsidRPr="007A3834" w14:paraId="4406BD49" w14:textId="77777777" w:rsidTr="007566BA">
        <w:tc>
          <w:tcPr>
            <w:tcW w:w="2122" w:type="dxa"/>
          </w:tcPr>
          <w:p w14:paraId="144AF875" w14:textId="7344E041" w:rsidR="00FD37EC" w:rsidRPr="007A3834" w:rsidRDefault="007566BA" w:rsidP="007566BA">
            <w:pPr>
              <w:pStyle w:val="GAPara"/>
              <w:numPr>
                <w:ilvl w:val="0"/>
                <w:numId w:val="0"/>
              </w:numPr>
              <w:spacing w:after="0"/>
              <w:jc w:val="both"/>
            </w:pPr>
            <w:r w:rsidRPr="007A3834">
              <w:rPr>
                <w:rFonts w:hint="eastAsia"/>
              </w:rPr>
              <w:t>2021</w:t>
            </w:r>
            <w:r w:rsidRPr="007A3834">
              <w:rPr>
                <w:rFonts w:hint="eastAsia"/>
              </w:rPr>
              <w:t>年</w:t>
            </w:r>
            <w:r w:rsidRPr="007A3834">
              <w:rPr>
                <w:rFonts w:hint="eastAsia"/>
              </w:rPr>
              <w:t>10</w:t>
            </w:r>
            <w:r w:rsidRPr="007A3834">
              <w:rPr>
                <w:rFonts w:hint="eastAsia"/>
              </w:rPr>
              <w:t>月</w:t>
            </w:r>
            <w:r w:rsidRPr="007A3834">
              <w:rPr>
                <w:rFonts w:hint="eastAsia"/>
              </w:rPr>
              <w:t>28</w:t>
            </w:r>
            <w:r w:rsidRPr="007A3834">
              <w:rPr>
                <w:rFonts w:hint="eastAsia"/>
              </w:rPr>
              <w:t>日</w:t>
            </w:r>
          </w:p>
        </w:tc>
        <w:tc>
          <w:tcPr>
            <w:tcW w:w="6939" w:type="dxa"/>
          </w:tcPr>
          <w:p w14:paraId="1B2A6238" w14:textId="2437686A" w:rsidR="00FD37EC" w:rsidRPr="007A3834" w:rsidRDefault="003B7208" w:rsidP="00E2315D">
            <w:pPr>
              <w:pStyle w:val="GAPara"/>
              <w:numPr>
                <w:ilvl w:val="0"/>
                <w:numId w:val="0"/>
              </w:numPr>
              <w:spacing w:after="0"/>
              <w:jc w:val="both"/>
            </w:pPr>
            <w:r w:rsidRPr="007A3834">
              <w:rPr>
                <w:rFonts w:hint="eastAsia"/>
              </w:rPr>
              <w:t>在报告员拟定的草案基础上，审查机构以电子磋商方式最后确定了决定草案；建议将该遗产项目列入代表作名录。</w:t>
            </w:r>
          </w:p>
        </w:tc>
      </w:tr>
      <w:tr w:rsidR="007566BA" w:rsidRPr="007A3834" w14:paraId="0CDD0DCC" w14:textId="77777777" w:rsidTr="007566BA">
        <w:tc>
          <w:tcPr>
            <w:tcW w:w="2122" w:type="dxa"/>
          </w:tcPr>
          <w:p w14:paraId="092C4B80" w14:textId="6EAA8A3F" w:rsidR="007566BA" w:rsidRPr="007A3834" w:rsidRDefault="007566BA" w:rsidP="007566BA">
            <w:pPr>
              <w:pStyle w:val="GAPara"/>
              <w:numPr>
                <w:ilvl w:val="0"/>
                <w:numId w:val="0"/>
              </w:numPr>
              <w:spacing w:after="0"/>
              <w:jc w:val="both"/>
            </w:pPr>
            <w:r w:rsidRPr="007A3834">
              <w:rPr>
                <w:rFonts w:hint="eastAsia"/>
              </w:rPr>
              <w:t>2021</w:t>
            </w:r>
            <w:r w:rsidRPr="007A3834">
              <w:rPr>
                <w:rFonts w:hint="eastAsia"/>
              </w:rPr>
              <w:t>年</w:t>
            </w:r>
            <w:r w:rsidRPr="007A3834">
              <w:rPr>
                <w:rFonts w:hint="eastAsia"/>
              </w:rPr>
              <w:t>12</w:t>
            </w:r>
            <w:r w:rsidRPr="007A3834">
              <w:rPr>
                <w:rFonts w:hint="eastAsia"/>
              </w:rPr>
              <w:t>月</w:t>
            </w:r>
            <w:r w:rsidRPr="007A3834">
              <w:rPr>
                <w:rFonts w:hint="eastAsia"/>
              </w:rPr>
              <w:t>2</w:t>
            </w:r>
            <w:r w:rsidRPr="007A3834">
              <w:rPr>
                <w:rFonts w:hint="eastAsia"/>
              </w:rPr>
              <w:t>日</w:t>
            </w:r>
          </w:p>
        </w:tc>
        <w:tc>
          <w:tcPr>
            <w:tcW w:w="6939" w:type="dxa"/>
          </w:tcPr>
          <w:p w14:paraId="03591DE8" w14:textId="64F2E25A" w:rsidR="007566BA" w:rsidRPr="007A3834" w:rsidRDefault="007566BA" w:rsidP="00E2315D">
            <w:pPr>
              <w:pStyle w:val="GAPara"/>
              <w:numPr>
                <w:ilvl w:val="0"/>
                <w:numId w:val="0"/>
              </w:numPr>
              <w:spacing w:after="0"/>
              <w:jc w:val="both"/>
            </w:pPr>
            <w:r w:rsidRPr="007A3834">
              <w:rPr>
                <w:rFonts w:hint="eastAsia"/>
              </w:rPr>
              <w:t>秘书处已将该事项列入根据《议事规则》第</w:t>
            </w:r>
            <w:r w:rsidRPr="007A3834">
              <w:rPr>
                <w:rFonts w:hint="eastAsia"/>
              </w:rPr>
              <w:t>9</w:t>
            </w:r>
            <w:r w:rsidRPr="007A3834">
              <w:rPr>
                <w:rFonts w:hint="eastAsia"/>
              </w:rPr>
              <w:t>条编制的临时议程；海地的申请载列在项目</w:t>
            </w:r>
            <w:r w:rsidRPr="007A3834">
              <w:rPr>
                <w:rFonts w:hint="eastAsia"/>
              </w:rPr>
              <w:t>19</w:t>
            </w:r>
            <w:r w:rsidRPr="007A3834">
              <w:rPr>
                <w:rFonts w:hint="eastAsia"/>
              </w:rPr>
              <w:t>“其他事项”之下，并公布了相应的文件</w:t>
            </w:r>
            <w:hyperlink r:id="rId9" w:history="1">
              <w:r w:rsidRPr="007A3834">
                <w:rPr>
                  <w:rStyle w:val="Hyperlink"/>
                  <w:rFonts w:hint="eastAsia"/>
                </w:rPr>
                <w:t>LHE/21/16.COM/19</w:t>
              </w:r>
            </w:hyperlink>
            <w:r w:rsidRPr="007A3834">
              <w:rPr>
                <w:rFonts w:hint="eastAsia"/>
              </w:rPr>
              <w:t xml:space="preserve"> </w:t>
            </w:r>
            <w:r w:rsidRPr="007A3834">
              <w:rPr>
                <w:rFonts w:hint="eastAsia"/>
              </w:rPr>
              <w:t>。</w:t>
            </w:r>
          </w:p>
        </w:tc>
      </w:tr>
      <w:tr w:rsidR="007566BA" w:rsidRPr="007A3834" w14:paraId="3FD21AAB" w14:textId="77777777" w:rsidTr="007566BA">
        <w:tc>
          <w:tcPr>
            <w:tcW w:w="2122" w:type="dxa"/>
          </w:tcPr>
          <w:p w14:paraId="160079F6" w14:textId="6FBAE7D5" w:rsidR="007566BA" w:rsidRPr="007A3834" w:rsidRDefault="00D43EB7" w:rsidP="007566BA">
            <w:pPr>
              <w:pStyle w:val="GAPara"/>
              <w:numPr>
                <w:ilvl w:val="0"/>
                <w:numId w:val="0"/>
              </w:numPr>
              <w:spacing w:after="0"/>
              <w:jc w:val="both"/>
            </w:pPr>
            <w:r w:rsidRPr="007A3834">
              <w:rPr>
                <w:rFonts w:hint="eastAsia"/>
              </w:rPr>
              <w:t>2021</w:t>
            </w:r>
            <w:r w:rsidRPr="007A3834">
              <w:rPr>
                <w:rFonts w:hint="eastAsia"/>
              </w:rPr>
              <w:t>年</w:t>
            </w:r>
            <w:r w:rsidRPr="007A3834">
              <w:rPr>
                <w:rFonts w:hint="eastAsia"/>
              </w:rPr>
              <w:t>12</w:t>
            </w:r>
            <w:r w:rsidRPr="007A3834">
              <w:rPr>
                <w:rFonts w:hint="eastAsia"/>
              </w:rPr>
              <w:t>月</w:t>
            </w:r>
            <w:r w:rsidRPr="007A3834">
              <w:rPr>
                <w:rFonts w:hint="eastAsia"/>
              </w:rPr>
              <w:t>3</w:t>
            </w:r>
            <w:r w:rsidRPr="007A3834">
              <w:rPr>
                <w:rFonts w:hint="eastAsia"/>
              </w:rPr>
              <w:t>日</w:t>
            </w:r>
          </w:p>
        </w:tc>
        <w:tc>
          <w:tcPr>
            <w:tcW w:w="6939" w:type="dxa"/>
          </w:tcPr>
          <w:p w14:paraId="2B539043" w14:textId="7F1C0F1D" w:rsidR="007566BA" w:rsidRPr="007A3834" w:rsidRDefault="00D43EB7" w:rsidP="00E2315D">
            <w:pPr>
              <w:pStyle w:val="GAPara"/>
              <w:numPr>
                <w:ilvl w:val="0"/>
                <w:numId w:val="0"/>
              </w:numPr>
              <w:spacing w:after="0"/>
              <w:jc w:val="both"/>
            </w:pPr>
            <w:r w:rsidRPr="007A3834">
              <w:rPr>
                <w:rFonts w:hint="eastAsia"/>
              </w:rPr>
              <w:t>秘书处还提请主席团注意海地的申请。如上所述，秘书处向主席团通报了海地的申请和申报材料的处理情况。</w:t>
            </w:r>
          </w:p>
        </w:tc>
      </w:tr>
    </w:tbl>
    <w:p w14:paraId="28B748B3" w14:textId="21546314" w:rsidR="00E2315D" w:rsidRPr="007A3834" w:rsidRDefault="00D43EB7" w:rsidP="0079465B">
      <w:pPr>
        <w:pStyle w:val="GAPara"/>
        <w:numPr>
          <w:ilvl w:val="0"/>
          <w:numId w:val="0"/>
        </w:numPr>
        <w:spacing w:before="240"/>
        <w:ind w:left="567"/>
        <w:jc w:val="both"/>
        <w:rPr>
          <w:b/>
          <w:bCs/>
        </w:rPr>
      </w:pPr>
      <w:r w:rsidRPr="007A3834">
        <w:rPr>
          <w:rFonts w:hint="eastAsia"/>
          <w:b/>
        </w:rPr>
        <w:t>向第十六届会议提议的程序</w:t>
      </w:r>
    </w:p>
    <w:p w14:paraId="6926724D" w14:textId="5FE93ACD" w:rsidR="001E5588" w:rsidRPr="007A3834" w:rsidRDefault="001E5588" w:rsidP="00102603">
      <w:pPr>
        <w:pStyle w:val="GAPara"/>
        <w:numPr>
          <w:ilvl w:val="0"/>
          <w:numId w:val="19"/>
        </w:numPr>
        <w:ind w:left="567" w:hanging="567"/>
      </w:pPr>
      <w:r w:rsidRPr="007A3834">
        <w:rPr>
          <w:rFonts w:hint="eastAsia"/>
        </w:rPr>
        <w:t>以下是秘书处与教科文组织国际准则及法律事务办公室协商拟定的</w:t>
      </w:r>
      <w:proofErr w:type="gramStart"/>
      <w:r w:rsidRPr="007A3834">
        <w:rPr>
          <w:rFonts w:hint="eastAsia"/>
        </w:rPr>
        <w:t>考量</w:t>
      </w:r>
      <w:proofErr w:type="gramEnd"/>
      <w:r w:rsidRPr="007A3834">
        <w:rPr>
          <w:rFonts w:hint="eastAsia"/>
        </w:rPr>
        <w:t>，已提请委员会第十六届会议注意：</w:t>
      </w:r>
    </w:p>
    <w:p w14:paraId="02FBD04A" w14:textId="079B2CBF" w:rsidR="001E5588" w:rsidRPr="007A3834" w:rsidRDefault="001E5588" w:rsidP="0062356F">
      <w:pPr>
        <w:pStyle w:val="COMPara"/>
        <w:numPr>
          <w:ilvl w:val="1"/>
          <w:numId w:val="9"/>
        </w:numPr>
        <w:ind w:left="1134" w:hanging="567"/>
      </w:pPr>
      <w:r w:rsidRPr="007A3834">
        <w:rPr>
          <w:rFonts w:hint="eastAsia"/>
        </w:rPr>
        <w:t>除委员会的职能外，《公约》第</w:t>
      </w:r>
      <w:r w:rsidR="00EA450C">
        <w:rPr>
          <w:rFonts w:hint="eastAsia"/>
        </w:rPr>
        <w:t>七</w:t>
      </w:r>
      <w:r w:rsidR="00EA450C">
        <w:rPr>
          <w:rFonts w:hint="eastAsia"/>
        </w:rPr>
        <w:t xml:space="preserve"> </w:t>
      </w:r>
      <w:r w:rsidRPr="007A3834">
        <w:rPr>
          <w:rFonts w:hint="eastAsia"/>
        </w:rPr>
        <w:t>(g)</w:t>
      </w:r>
      <w:r w:rsidRPr="007A3834">
        <w:rPr>
          <w:rFonts w:hint="eastAsia"/>
        </w:rPr>
        <w:t>条还包括“根据委员会制定的、大会批准的客观遴选标准，审议缔约国提出的申请并就以下事项</w:t>
      </w:r>
      <w:proofErr w:type="gramStart"/>
      <w:r w:rsidRPr="007A3834">
        <w:rPr>
          <w:rFonts w:hint="eastAsia"/>
        </w:rPr>
        <w:t>作出</w:t>
      </w:r>
      <w:proofErr w:type="gramEnd"/>
      <w:r w:rsidRPr="007A3834">
        <w:rPr>
          <w:rFonts w:hint="eastAsia"/>
        </w:rPr>
        <w:t>决定</w:t>
      </w:r>
      <w:r w:rsidRPr="007A3834">
        <w:rPr>
          <w:rFonts w:hint="eastAsia"/>
        </w:rPr>
        <w:t>[</w:t>
      </w:r>
      <w:r w:rsidRPr="007A3834">
        <w:rPr>
          <w:rFonts w:hint="eastAsia"/>
        </w:rPr>
        <w:t>…</w:t>
      </w:r>
      <w:r w:rsidRPr="007A3834">
        <w:rPr>
          <w:rFonts w:hint="eastAsia"/>
        </w:rPr>
        <w:t>]</w:t>
      </w:r>
      <w:r w:rsidRPr="007A3834">
        <w:rPr>
          <w:rFonts w:hint="eastAsia"/>
        </w:rPr>
        <w:t>列入第</w:t>
      </w:r>
      <w:r w:rsidR="00EA450C">
        <w:rPr>
          <w:rFonts w:hint="eastAsia"/>
        </w:rPr>
        <w:t>十六</w:t>
      </w:r>
      <w:r w:rsidRPr="007A3834">
        <w:rPr>
          <w:rFonts w:hint="eastAsia"/>
        </w:rPr>
        <w:t>条、第</w:t>
      </w:r>
      <w:r w:rsidR="00EA450C">
        <w:rPr>
          <w:rFonts w:hint="eastAsia"/>
        </w:rPr>
        <w:t>十七</w:t>
      </w:r>
      <w:r w:rsidRPr="007A3834">
        <w:rPr>
          <w:rFonts w:hint="eastAsia"/>
        </w:rPr>
        <w:t>条和第</w:t>
      </w:r>
      <w:r w:rsidR="00EA450C">
        <w:rPr>
          <w:rFonts w:hint="eastAsia"/>
        </w:rPr>
        <w:t>十八</w:t>
      </w:r>
      <w:r w:rsidRPr="007A3834">
        <w:rPr>
          <w:rFonts w:hint="eastAsia"/>
        </w:rPr>
        <w:t>条述及的名录和提名</w:t>
      </w:r>
      <w:r w:rsidRPr="007A3834">
        <w:rPr>
          <w:rFonts w:hint="eastAsia"/>
        </w:rPr>
        <w:t>[</w:t>
      </w:r>
      <w:r w:rsidRPr="007A3834">
        <w:rPr>
          <w:rFonts w:hint="eastAsia"/>
        </w:rPr>
        <w:t>…</w:t>
      </w:r>
      <w:r w:rsidRPr="007A3834">
        <w:rPr>
          <w:rFonts w:hint="eastAsia"/>
        </w:rPr>
        <w:t>]</w:t>
      </w:r>
      <w:r w:rsidRPr="007A3834">
        <w:rPr>
          <w:rFonts w:hint="eastAsia"/>
        </w:rPr>
        <w:t>”。因此，委员会有权决定是否将某一遗产项目列入代表作名录，而委员会的授权直接来自《公约》。</w:t>
      </w:r>
    </w:p>
    <w:p w14:paraId="117251F8" w14:textId="671050E2" w:rsidR="001E5588" w:rsidRPr="007A3834" w:rsidRDefault="001E5588" w:rsidP="00102603">
      <w:pPr>
        <w:pStyle w:val="COMPara"/>
        <w:numPr>
          <w:ilvl w:val="1"/>
          <w:numId w:val="9"/>
        </w:numPr>
        <w:ind w:left="1134" w:hanging="567"/>
      </w:pPr>
      <w:r w:rsidRPr="007A3834">
        <w:rPr>
          <w:rFonts w:hint="eastAsia"/>
        </w:rPr>
        <w:lastRenderedPageBreak/>
        <w:t>大会核准的《业务指南》（第</w:t>
      </w:r>
      <w:r w:rsidRPr="007A3834">
        <w:rPr>
          <w:rFonts w:hint="eastAsia"/>
        </w:rPr>
        <w:t>54</w:t>
      </w:r>
      <w:r w:rsidRPr="007A3834">
        <w:rPr>
          <w:rFonts w:hint="eastAsia"/>
        </w:rPr>
        <w:t>至</w:t>
      </w:r>
      <w:r w:rsidRPr="007A3834">
        <w:rPr>
          <w:rFonts w:hint="eastAsia"/>
        </w:rPr>
        <w:t>56</w:t>
      </w:r>
      <w:r w:rsidRPr="007A3834">
        <w:rPr>
          <w:rFonts w:hint="eastAsia"/>
        </w:rPr>
        <w:t>段）规定了评价和审查申报材料的程序，特别是其时间表。在这方面，值得回顾《公约》第</w:t>
      </w:r>
      <w:r w:rsidRPr="007A3834">
        <w:rPr>
          <w:rFonts w:hint="eastAsia"/>
        </w:rPr>
        <w:t>7(e)</w:t>
      </w:r>
      <w:r w:rsidRPr="007A3834">
        <w:rPr>
          <w:rFonts w:hint="eastAsia"/>
        </w:rPr>
        <w:t>条，根据该条规定，委员会“拟订实施公约的业务指南并提交大会批准”。</w:t>
      </w:r>
    </w:p>
    <w:p w14:paraId="69BF5B94" w14:textId="77777777" w:rsidR="001E5588" w:rsidRPr="007A3834" w:rsidRDefault="001E5588" w:rsidP="00FC220D">
      <w:pPr>
        <w:pStyle w:val="COMPara"/>
        <w:numPr>
          <w:ilvl w:val="0"/>
          <w:numId w:val="19"/>
        </w:numPr>
        <w:ind w:left="567" w:hanging="567"/>
        <w:jc w:val="both"/>
      </w:pPr>
      <w:r w:rsidRPr="007A3834">
        <w:rPr>
          <w:rFonts w:hint="eastAsia"/>
        </w:rPr>
        <w:t>换言之，根据《公约》的规定，委员会有权按照委员会拟定并经大会批准的《业务指南》所预见的程序，审议列入申请并</w:t>
      </w:r>
      <w:proofErr w:type="gramStart"/>
      <w:r w:rsidRPr="007A3834">
        <w:rPr>
          <w:rFonts w:hint="eastAsia"/>
        </w:rPr>
        <w:t>作出</w:t>
      </w:r>
      <w:proofErr w:type="gramEnd"/>
      <w:r w:rsidRPr="007A3834">
        <w:rPr>
          <w:rFonts w:hint="eastAsia"/>
        </w:rPr>
        <w:t>决定。</w:t>
      </w:r>
    </w:p>
    <w:p w14:paraId="6D292E5B" w14:textId="1B5E5214" w:rsidR="001E5588" w:rsidRPr="007A3834" w:rsidRDefault="007A70E8" w:rsidP="00FC220D">
      <w:pPr>
        <w:pStyle w:val="COMPara"/>
        <w:numPr>
          <w:ilvl w:val="0"/>
          <w:numId w:val="19"/>
        </w:numPr>
        <w:ind w:left="567" w:hanging="567"/>
        <w:jc w:val="both"/>
      </w:pPr>
      <w:r w:rsidRPr="007A3834">
        <w:rPr>
          <w:rFonts w:hint="eastAsia"/>
        </w:rPr>
        <w:t>综上所述，有人提议，如果委员会认为海地强调的特殊情况使得有必要在</w:t>
      </w:r>
      <w:r w:rsidRPr="007A3834">
        <w:rPr>
          <w:rFonts w:hint="eastAsia"/>
        </w:rPr>
        <w:t>2021</w:t>
      </w:r>
      <w:r w:rsidRPr="007A3834">
        <w:rPr>
          <w:rFonts w:hint="eastAsia"/>
        </w:rPr>
        <w:t>年第十六届会议之前快速审查“久慕汤”的申报，委员会不妨决定进行审议，如果认为满足了这些条件，则可以将该遗产项目列入代表作名录。只要列入名录是在</w:t>
      </w:r>
      <w:r w:rsidR="00EA450C">
        <w:rPr>
          <w:rFonts w:hint="eastAsia"/>
        </w:rPr>
        <w:t>《</w:t>
      </w:r>
      <w:r w:rsidRPr="007A3834">
        <w:rPr>
          <w:rFonts w:hint="eastAsia"/>
        </w:rPr>
        <w:t>业务指南</w:t>
      </w:r>
      <w:r w:rsidR="00EA450C">
        <w:rPr>
          <w:rFonts w:hint="eastAsia"/>
        </w:rPr>
        <w:t>》</w:t>
      </w:r>
      <w:r w:rsidRPr="007A3834">
        <w:rPr>
          <w:rFonts w:hint="eastAsia"/>
        </w:rPr>
        <w:t>中没有预见的情况下进行的，委员会遵循的程序及其列入名录的决定仍需要大会在</w:t>
      </w:r>
      <w:r w:rsidR="00A52480">
        <w:rPr>
          <w:rFonts w:hint="eastAsia"/>
        </w:rPr>
        <w:t>其</w:t>
      </w:r>
      <w:r w:rsidRPr="007A3834">
        <w:rPr>
          <w:rFonts w:hint="eastAsia"/>
        </w:rPr>
        <w:t>第九届会议上</w:t>
      </w:r>
      <w:proofErr w:type="gramStart"/>
      <w:r w:rsidRPr="007A3834">
        <w:rPr>
          <w:rFonts w:hint="eastAsia"/>
        </w:rPr>
        <w:t>作出</w:t>
      </w:r>
      <w:proofErr w:type="gramEnd"/>
      <w:r w:rsidR="00A52480">
        <w:rPr>
          <w:rFonts w:hint="eastAsia"/>
        </w:rPr>
        <w:t>核准</w:t>
      </w:r>
      <w:r w:rsidRPr="007A3834">
        <w:rPr>
          <w:rFonts w:hint="eastAsia"/>
        </w:rPr>
        <w:t>。尽管委员会将在委员会第十六届会议上决定将申报项目列入名录，但是否列入仍需经大会核准。</w:t>
      </w:r>
    </w:p>
    <w:p w14:paraId="19F86923" w14:textId="1B0B9378" w:rsidR="00084CE0" w:rsidRPr="007A3834" w:rsidRDefault="00A25769" w:rsidP="003D1402">
      <w:pPr>
        <w:pStyle w:val="GAPara"/>
        <w:numPr>
          <w:ilvl w:val="0"/>
          <w:numId w:val="19"/>
        </w:numPr>
        <w:ind w:left="567" w:hanging="567"/>
        <w:jc w:val="both"/>
      </w:pPr>
      <w:r w:rsidRPr="007A3834">
        <w:rPr>
          <w:rFonts w:hint="eastAsia"/>
        </w:rPr>
        <w:t>在此基础上，委员会第十六届会议决定（第</w:t>
      </w:r>
      <w:r w:rsidRPr="007A3834">
        <w:rPr>
          <w:rFonts w:hint="eastAsia"/>
        </w:rPr>
        <w:t xml:space="preserve"> </w:t>
      </w:r>
      <w:hyperlink r:id="rId10" w:history="1">
        <w:r w:rsidRPr="007A3834">
          <w:rPr>
            <w:rStyle w:val="Hyperlink"/>
            <w:rFonts w:hint="eastAsia"/>
          </w:rPr>
          <w:t>16.</w:t>
        </w:r>
        <w:r w:rsidR="00AA5CA3" w:rsidRPr="007A3834">
          <w:rPr>
            <w:rStyle w:val="Hyperlink"/>
            <w:rFonts w:hint="eastAsia"/>
          </w:rPr>
          <w:t>COM</w:t>
        </w:r>
        <w:r w:rsidR="00AA5CA3">
          <w:rPr>
            <w:rStyle w:val="Hyperlink"/>
          </w:rPr>
          <w:t> </w:t>
        </w:r>
        <w:r w:rsidRPr="007A3834">
          <w:rPr>
            <w:rStyle w:val="Hyperlink"/>
            <w:rFonts w:hint="eastAsia"/>
          </w:rPr>
          <w:t>19</w:t>
        </w:r>
      </w:hyperlink>
      <w:r w:rsidRPr="007A3834">
        <w:rPr>
          <w:rFonts w:hint="eastAsia"/>
        </w:rPr>
        <w:t>号决定）</w:t>
      </w:r>
      <w:r w:rsidR="00EA450C">
        <w:rPr>
          <w:rFonts w:hint="eastAsia"/>
        </w:rPr>
        <w:t>将</w:t>
      </w:r>
      <w:r w:rsidRPr="007A3834">
        <w:rPr>
          <w:rFonts w:hint="eastAsia"/>
        </w:rPr>
        <w:t>“久慕汤”列入代表作名录。在这样做时，委员会认识到“紧急情况下保护非物质文化遗产的运作原则和模式对本案的相关性”，并认为“加快审查此项申报的申请可以出于同情和特殊考虑，</w:t>
      </w:r>
      <w:proofErr w:type="gramStart"/>
      <w:r w:rsidRPr="007A3834">
        <w:rPr>
          <w:rFonts w:hint="eastAsia"/>
        </w:rPr>
        <w:t>作出</w:t>
      </w:r>
      <w:proofErr w:type="gramEnd"/>
      <w:r w:rsidRPr="007A3834">
        <w:rPr>
          <w:rFonts w:hint="eastAsia"/>
        </w:rPr>
        <w:t>积极回应”。同时，委员会指出，这种列入是在程序方面的例外情况下发生的，并且：</w:t>
      </w:r>
    </w:p>
    <w:p w14:paraId="69E61B4F" w14:textId="11CFE7BD" w:rsidR="00084CE0" w:rsidRPr="007A3834" w:rsidRDefault="00084CE0" w:rsidP="00084CE0">
      <w:pPr>
        <w:pStyle w:val="GAPara"/>
        <w:numPr>
          <w:ilvl w:val="0"/>
          <w:numId w:val="0"/>
        </w:numPr>
        <w:ind w:left="567"/>
        <w:jc w:val="both"/>
      </w:pPr>
      <w:r w:rsidRPr="007A3834">
        <w:rPr>
          <w:rFonts w:hint="eastAsia"/>
        </w:rPr>
        <w:t xml:space="preserve">a) </w:t>
      </w:r>
      <w:r w:rsidRPr="007A3834">
        <w:rPr>
          <w:rFonts w:hint="eastAsia"/>
        </w:rPr>
        <w:t>请秘书处提请大会本届会议注意这项决定，以便大会核准所遵循的程序；以及</w:t>
      </w:r>
    </w:p>
    <w:p w14:paraId="3BB29D5C" w14:textId="77777777" w:rsidR="00084CE0" w:rsidRPr="007A3834" w:rsidRDefault="00084CE0" w:rsidP="00084CE0">
      <w:pPr>
        <w:pStyle w:val="GAPara"/>
        <w:numPr>
          <w:ilvl w:val="0"/>
          <w:numId w:val="0"/>
        </w:numPr>
        <w:ind w:left="567"/>
        <w:jc w:val="both"/>
      </w:pPr>
      <w:r w:rsidRPr="007A3834">
        <w:rPr>
          <w:rFonts w:hint="eastAsia"/>
        </w:rPr>
        <w:t xml:space="preserve">b) </w:t>
      </w:r>
      <w:r w:rsidRPr="007A3834">
        <w:rPr>
          <w:rFonts w:hint="eastAsia"/>
        </w:rPr>
        <w:t>请不限成员名额政府间工作组（下称“工作组”）在</w:t>
      </w:r>
      <w:r w:rsidRPr="007A3834">
        <w:rPr>
          <w:rFonts w:hint="eastAsia"/>
        </w:rPr>
        <w:t>2003</w:t>
      </w:r>
      <w:r w:rsidRPr="007A3834">
        <w:rPr>
          <w:rFonts w:hint="eastAsia"/>
        </w:rPr>
        <w:t>年《公约》列入机制全局反思的框架内，审查针对特殊情况的程序。</w:t>
      </w:r>
    </w:p>
    <w:p w14:paraId="2F27FBF3" w14:textId="638CCBC1" w:rsidR="00667DC6" w:rsidRPr="007A3834" w:rsidRDefault="00325C93" w:rsidP="00667DC6">
      <w:pPr>
        <w:pStyle w:val="GAPara"/>
        <w:numPr>
          <w:ilvl w:val="0"/>
          <w:numId w:val="0"/>
        </w:numPr>
        <w:spacing w:before="240"/>
        <w:ind w:left="567"/>
        <w:jc w:val="both"/>
        <w:rPr>
          <w:b/>
          <w:bCs/>
        </w:rPr>
      </w:pPr>
      <w:r w:rsidRPr="007A3834">
        <w:rPr>
          <w:rFonts w:hint="eastAsia"/>
          <w:b/>
        </w:rPr>
        <w:t xml:space="preserve">a. </w:t>
      </w:r>
      <w:r w:rsidRPr="007A3834">
        <w:rPr>
          <w:rFonts w:hint="eastAsia"/>
          <w:b/>
        </w:rPr>
        <w:t>关于列入名录所遵循程序的考量</w:t>
      </w:r>
    </w:p>
    <w:p w14:paraId="0A21CA05" w14:textId="054C16FA" w:rsidR="00B54386" w:rsidRPr="007A3834" w:rsidRDefault="003B7208" w:rsidP="00102603">
      <w:pPr>
        <w:widowControl w:val="0"/>
        <w:numPr>
          <w:ilvl w:val="0"/>
          <w:numId w:val="19"/>
        </w:numPr>
        <w:ind w:left="567" w:hanging="567"/>
        <w:rPr>
          <w:rFonts w:ascii="Arial" w:hAnsi="Arial" w:cs="Arial"/>
          <w:sz w:val="22"/>
          <w:szCs w:val="22"/>
        </w:rPr>
      </w:pPr>
      <w:r w:rsidRPr="007A3834">
        <w:rPr>
          <w:rFonts w:ascii="Arial" w:hAnsi="Arial" w:hint="eastAsia"/>
          <w:sz w:val="22"/>
        </w:rPr>
        <w:t>海地的申请按照与任何其他申报材料相同的实质性要求进行处理。特别是</w:t>
      </w:r>
      <w:r w:rsidRPr="007A3834">
        <w:rPr>
          <w:rFonts w:ascii="Arial" w:hAnsi="Arial" w:hint="eastAsia"/>
          <w:sz w:val="22"/>
          <w:lang w:val="en-GB"/>
        </w:rPr>
        <w:t>，</w:t>
      </w:r>
      <w:r w:rsidRPr="007A3834">
        <w:rPr>
          <w:rFonts w:ascii="Arial" w:hAnsi="Arial" w:hint="eastAsia"/>
          <w:sz w:val="22"/>
        </w:rPr>
        <w:t>它受益于审查机构的全面评估</w:t>
      </w:r>
      <w:r w:rsidRPr="007A3834">
        <w:rPr>
          <w:rFonts w:ascii="Arial" w:hAnsi="Arial" w:hint="eastAsia"/>
          <w:sz w:val="22"/>
          <w:lang w:val="en-GB"/>
        </w:rPr>
        <w:t>，</w:t>
      </w:r>
      <w:r w:rsidRPr="007A3834">
        <w:rPr>
          <w:rFonts w:ascii="Arial" w:hAnsi="Arial" w:hint="eastAsia"/>
          <w:sz w:val="22"/>
        </w:rPr>
        <w:t>该评估在</w:t>
      </w:r>
      <w:r w:rsidRPr="007A3834">
        <w:rPr>
          <w:rFonts w:ascii="Arial" w:hAnsi="Arial" w:hint="eastAsia"/>
          <w:sz w:val="22"/>
          <w:lang w:val="en-GB"/>
        </w:rPr>
        <w:t>2021</w:t>
      </w:r>
      <w:r w:rsidRPr="007A3834">
        <w:rPr>
          <w:rFonts w:ascii="Arial" w:hAnsi="Arial" w:hint="eastAsia"/>
          <w:sz w:val="22"/>
        </w:rPr>
        <w:t>周期内评估其他申报材料所采用的相同条件下进行。审查机构认为，此项申报符合列入代表作名录的所有必要标准。</w:t>
      </w:r>
    </w:p>
    <w:p w14:paraId="52F2E15C" w14:textId="78A28851" w:rsidR="001D200A" w:rsidRPr="007A3834" w:rsidRDefault="00D319ED" w:rsidP="00102603">
      <w:pPr>
        <w:widowControl w:val="0"/>
        <w:numPr>
          <w:ilvl w:val="0"/>
          <w:numId w:val="19"/>
        </w:numPr>
        <w:spacing w:before="120" w:after="120"/>
        <w:ind w:left="567" w:hanging="567"/>
        <w:rPr>
          <w:rFonts w:ascii="Arial" w:hAnsi="Arial" w:cs="Arial"/>
          <w:sz w:val="22"/>
          <w:szCs w:val="22"/>
        </w:rPr>
      </w:pPr>
      <w:r w:rsidRPr="007A3834">
        <w:rPr>
          <w:rFonts w:ascii="Arial" w:hAnsi="Arial" w:hint="eastAsia"/>
          <w:sz w:val="22"/>
        </w:rPr>
        <w:t>正如委员会所强调的，该案例突显了名录机制在紧急情况下可以发挥的重要作用，因为它可以促进和提高在针对自然灾害影响而做的准备、响应和恢复方面有所帮助的遗产项目的知名度。对于这一特殊情况，大会不妨申明其第八届会议通过的“紧急情况下保护非物质文化遗产的运作原则和模式”的相关性，正如在委员会第十六届会议上声明的一样（第</w:t>
      </w:r>
      <w:hyperlink r:id="rId11" w:history="1">
        <w:r w:rsidRPr="007A3834">
          <w:rPr>
            <w:rStyle w:val="Hyperlink"/>
            <w:rFonts w:ascii="Arial" w:hAnsi="Arial" w:hint="eastAsia"/>
            <w:sz w:val="22"/>
          </w:rPr>
          <w:t>16.</w:t>
        </w:r>
        <w:r w:rsidR="00AA5CA3" w:rsidRPr="007A3834">
          <w:rPr>
            <w:rStyle w:val="Hyperlink"/>
            <w:rFonts w:ascii="Arial" w:hAnsi="Arial" w:hint="eastAsia"/>
            <w:sz w:val="22"/>
          </w:rPr>
          <w:t>COM</w:t>
        </w:r>
        <w:r w:rsidR="00AA5CA3">
          <w:rPr>
            <w:rStyle w:val="Hyperlink"/>
            <w:rFonts w:ascii="Arial" w:hAnsi="Arial"/>
            <w:sz w:val="22"/>
          </w:rPr>
          <w:t> </w:t>
        </w:r>
        <w:r w:rsidRPr="007A3834">
          <w:rPr>
            <w:rStyle w:val="Hyperlink"/>
            <w:rFonts w:ascii="Arial" w:hAnsi="Arial" w:hint="eastAsia"/>
            <w:sz w:val="22"/>
          </w:rPr>
          <w:t>19</w:t>
        </w:r>
      </w:hyperlink>
      <w:r w:rsidRPr="007A3834">
        <w:rPr>
          <w:rFonts w:ascii="Arial" w:hAnsi="Arial" w:hint="eastAsia"/>
          <w:sz w:val="22"/>
        </w:rPr>
        <w:t>号决定，第</w:t>
      </w:r>
      <w:r w:rsidRPr="007A3834">
        <w:rPr>
          <w:rFonts w:ascii="Arial" w:hAnsi="Arial" w:hint="eastAsia"/>
          <w:sz w:val="22"/>
        </w:rPr>
        <w:t>3</w:t>
      </w:r>
      <w:r w:rsidRPr="007A3834">
        <w:rPr>
          <w:rFonts w:ascii="Arial" w:hAnsi="Arial" w:hint="eastAsia"/>
          <w:sz w:val="22"/>
        </w:rPr>
        <w:t>段）。该文件强调，保护非物质文化遗产在紧急情况下可以发挥双重作用：一方面，非物质文化遗产</w:t>
      </w:r>
      <w:r w:rsidR="00170E26">
        <w:rPr>
          <w:rFonts w:ascii="Arial" w:hAnsi="Arial" w:hint="eastAsia"/>
          <w:sz w:val="22"/>
        </w:rPr>
        <w:t>会</w:t>
      </w:r>
      <w:r w:rsidRPr="007A3834">
        <w:rPr>
          <w:rFonts w:ascii="Arial" w:hAnsi="Arial" w:hint="eastAsia"/>
          <w:sz w:val="22"/>
        </w:rPr>
        <w:t>直接受到紧急情况的威胁；另一方面，它可以有效地帮助</w:t>
      </w:r>
      <w:r w:rsidR="00170E26">
        <w:rPr>
          <w:rFonts w:ascii="Arial" w:hAnsi="Arial" w:hint="eastAsia"/>
          <w:sz w:val="22"/>
        </w:rPr>
        <w:t>在面临紧急情况时做好准</w:t>
      </w:r>
      <w:r w:rsidRPr="007A3834">
        <w:rPr>
          <w:rFonts w:ascii="Arial" w:hAnsi="Arial" w:hint="eastAsia"/>
          <w:sz w:val="22"/>
        </w:rPr>
        <w:t>备、</w:t>
      </w:r>
      <w:r w:rsidR="00170E26">
        <w:rPr>
          <w:rFonts w:ascii="Arial" w:hAnsi="Arial" w:hint="eastAsia"/>
          <w:sz w:val="22"/>
        </w:rPr>
        <w:t>响应及</w:t>
      </w:r>
      <w:r w:rsidRPr="007A3834">
        <w:rPr>
          <w:rFonts w:ascii="Arial" w:hAnsi="Arial" w:hint="eastAsia"/>
          <w:sz w:val="22"/>
        </w:rPr>
        <w:t>恢复。运作原则和模式还指出，“《公约》的名录机制可能使我们有机会促进和提高</w:t>
      </w:r>
      <w:r w:rsidR="00170E26">
        <w:rPr>
          <w:rFonts w:ascii="Arial" w:hAnsi="Arial" w:hint="eastAsia"/>
          <w:sz w:val="22"/>
        </w:rPr>
        <w:t>相关遗产项目的知名度——这些项目在</w:t>
      </w:r>
      <w:r w:rsidRPr="007A3834">
        <w:rPr>
          <w:rFonts w:ascii="Arial" w:hAnsi="Arial" w:hint="eastAsia"/>
          <w:sz w:val="22"/>
        </w:rPr>
        <w:t>针对自然灾害</w:t>
      </w:r>
      <w:r w:rsidR="00170E26" w:rsidRPr="007A3834">
        <w:rPr>
          <w:rFonts w:ascii="Arial" w:hAnsi="Arial" w:hint="eastAsia"/>
          <w:sz w:val="22"/>
        </w:rPr>
        <w:t>[</w:t>
      </w:r>
      <w:r w:rsidR="00170E26" w:rsidRPr="007A3834">
        <w:rPr>
          <w:rFonts w:ascii="Arial" w:hAnsi="Arial" w:hint="eastAsia"/>
          <w:sz w:val="22"/>
        </w:rPr>
        <w:t>…</w:t>
      </w:r>
      <w:r w:rsidR="00170E26" w:rsidRPr="007A3834">
        <w:rPr>
          <w:rFonts w:ascii="Arial" w:hAnsi="Arial" w:hint="eastAsia"/>
          <w:sz w:val="22"/>
        </w:rPr>
        <w:t>]</w:t>
      </w:r>
      <w:r w:rsidR="00170E26">
        <w:rPr>
          <w:rFonts w:ascii="Arial" w:hAnsi="Arial" w:hint="eastAsia"/>
          <w:sz w:val="22"/>
        </w:rPr>
        <w:t>而做的准备、响应和恢复方面有所帮助</w:t>
      </w:r>
      <w:r w:rsidRPr="007A3834">
        <w:rPr>
          <w:rFonts w:ascii="Arial" w:hAnsi="Arial" w:hint="eastAsia"/>
          <w:sz w:val="22"/>
        </w:rPr>
        <w:t>”。</w:t>
      </w:r>
    </w:p>
    <w:p w14:paraId="3E7157D9" w14:textId="0E547C7F" w:rsidR="008A0CB4" w:rsidRPr="007A3834" w:rsidRDefault="00AA5CA3" w:rsidP="00AE51BF">
      <w:pPr>
        <w:pStyle w:val="GAPara"/>
        <w:keepNext/>
        <w:numPr>
          <w:ilvl w:val="0"/>
          <w:numId w:val="0"/>
        </w:numPr>
        <w:spacing w:before="240"/>
        <w:ind w:left="567"/>
        <w:jc w:val="both"/>
        <w:rPr>
          <w:b/>
          <w:bCs/>
        </w:rPr>
      </w:pPr>
      <w:r>
        <w:rPr>
          <w:b/>
        </w:rPr>
        <w:t>b</w:t>
      </w:r>
      <w:r w:rsidR="008A0CB4" w:rsidRPr="007A3834">
        <w:rPr>
          <w:rFonts w:hint="eastAsia"/>
          <w:b/>
        </w:rPr>
        <w:t xml:space="preserve">. </w:t>
      </w:r>
      <w:r w:rsidR="008A0CB4" w:rsidRPr="007A3834">
        <w:rPr>
          <w:rFonts w:hint="eastAsia"/>
          <w:b/>
        </w:rPr>
        <w:t>关于特殊情况程序的考量</w:t>
      </w:r>
    </w:p>
    <w:p w14:paraId="636BC743" w14:textId="1FA299B8" w:rsidR="007D649C" w:rsidRPr="007A3834" w:rsidRDefault="007D649C" w:rsidP="00AE51BF">
      <w:pPr>
        <w:keepNext/>
        <w:numPr>
          <w:ilvl w:val="0"/>
          <w:numId w:val="19"/>
        </w:numPr>
        <w:spacing w:before="120"/>
        <w:ind w:left="567" w:hanging="567"/>
        <w:jc w:val="both"/>
        <w:rPr>
          <w:rFonts w:ascii="Arial" w:hAnsi="Arial" w:cs="Arial"/>
          <w:sz w:val="22"/>
          <w:szCs w:val="22"/>
        </w:rPr>
      </w:pPr>
      <w:r w:rsidRPr="007A3834">
        <w:rPr>
          <w:rFonts w:ascii="Arial" w:hAnsi="Arial" w:hint="eastAsia"/>
          <w:sz w:val="22"/>
        </w:rPr>
        <w:t>应委员会第十六届会议的邀请</w:t>
      </w:r>
      <w:r w:rsidRPr="007A3834">
        <w:rPr>
          <w:rFonts w:ascii="Arial" w:hAnsi="Arial" w:hint="eastAsia"/>
          <w:sz w:val="22"/>
          <w:lang w:val="en-GB"/>
        </w:rPr>
        <w:t>，</w:t>
      </w:r>
      <w:r w:rsidRPr="007A3834">
        <w:rPr>
          <w:rFonts w:ascii="Arial" w:hAnsi="Arial" w:hint="eastAsia"/>
          <w:sz w:val="22"/>
        </w:rPr>
        <w:t>在</w:t>
      </w:r>
      <w:r w:rsidR="00170E26">
        <w:rPr>
          <w:rFonts w:ascii="Arial" w:hAnsi="Arial" w:hint="eastAsia"/>
          <w:sz w:val="22"/>
        </w:rPr>
        <w:t>其</w:t>
      </w:r>
      <w:r w:rsidRPr="007A3834">
        <w:rPr>
          <w:rFonts w:ascii="Arial" w:hAnsi="Arial" w:hint="eastAsia"/>
          <w:sz w:val="22"/>
          <w:lang w:val="en-GB"/>
        </w:rPr>
        <w:t>2022</w:t>
      </w:r>
      <w:r w:rsidRPr="007A3834">
        <w:rPr>
          <w:rFonts w:ascii="Arial" w:hAnsi="Arial" w:hint="eastAsia"/>
          <w:sz w:val="22"/>
        </w:rPr>
        <w:t>年</w:t>
      </w:r>
      <w:r w:rsidRPr="007A3834">
        <w:rPr>
          <w:rFonts w:ascii="Arial" w:hAnsi="Arial" w:hint="eastAsia"/>
          <w:sz w:val="22"/>
          <w:lang w:val="en-GB"/>
        </w:rPr>
        <w:t>4</w:t>
      </w:r>
      <w:r w:rsidRPr="007A3834">
        <w:rPr>
          <w:rFonts w:ascii="Arial" w:hAnsi="Arial" w:hint="eastAsia"/>
          <w:sz w:val="22"/>
        </w:rPr>
        <w:t>月</w:t>
      </w:r>
      <w:r w:rsidRPr="007A3834">
        <w:rPr>
          <w:rFonts w:ascii="Arial" w:hAnsi="Arial" w:hint="eastAsia"/>
          <w:sz w:val="22"/>
          <w:lang w:val="en-GB"/>
        </w:rPr>
        <w:t>25</w:t>
      </w:r>
      <w:r w:rsidRPr="007A3834">
        <w:rPr>
          <w:rFonts w:ascii="Arial" w:hAnsi="Arial" w:hint="eastAsia"/>
          <w:sz w:val="22"/>
        </w:rPr>
        <w:t>日和</w:t>
      </w:r>
      <w:r w:rsidRPr="007A3834">
        <w:rPr>
          <w:rFonts w:ascii="Arial" w:hAnsi="Arial" w:hint="eastAsia"/>
          <w:sz w:val="22"/>
          <w:lang w:val="en-GB"/>
        </w:rPr>
        <w:t>26</w:t>
      </w:r>
      <w:r w:rsidRPr="007A3834">
        <w:rPr>
          <w:rFonts w:ascii="Arial" w:hAnsi="Arial" w:hint="eastAsia"/>
          <w:sz w:val="22"/>
        </w:rPr>
        <w:t>日举行的第三部分会议上</w:t>
      </w:r>
      <w:r w:rsidRPr="007A3834">
        <w:rPr>
          <w:rFonts w:ascii="Arial" w:hAnsi="Arial" w:hint="eastAsia"/>
          <w:sz w:val="22"/>
          <w:lang w:val="en-GB"/>
        </w:rPr>
        <w:t>，</w:t>
      </w:r>
      <w:r w:rsidR="00170E26" w:rsidRPr="007A3834">
        <w:rPr>
          <w:rFonts w:ascii="Arial" w:hAnsi="Arial" w:hint="eastAsia"/>
          <w:sz w:val="22"/>
        </w:rPr>
        <w:t>不限成员名额政府间工作组</w:t>
      </w:r>
      <w:r w:rsidR="00170E26" w:rsidRPr="007A3834">
        <w:rPr>
          <w:rFonts w:ascii="Arial" w:hAnsi="Arial" w:hint="eastAsia"/>
          <w:sz w:val="22"/>
          <w:lang w:val="en-GB"/>
        </w:rPr>
        <w:t>（</w:t>
      </w:r>
      <w:r w:rsidR="00170E26" w:rsidRPr="007A3834">
        <w:rPr>
          <w:rFonts w:ascii="Arial" w:hAnsi="Arial" w:hint="eastAsia"/>
          <w:sz w:val="22"/>
        </w:rPr>
        <w:t>或称</w:t>
      </w:r>
      <w:r w:rsidR="00170E26" w:rsidRPr="007A3834">
        <w:rPr>
          <w:rFonts w:ascii="Arial" w:hAnsi="Arial" w:hint="eastAsia"/>
          <w:sz w:val="22"/>
          <w:lang w:val="en-GB"/>
        </w:rPr>
        <w:t>“</w:t>
      </w:r>
      <w:r w:rsidR="00170E26" w:rsidRPr="007A3834">
        <w:rPr>
          <w:rFonts w:ascii="Arial" w:hAnsi="Arial" w:hint="eastAsia"/>
          <w:sz w:val="22"/>
        </w:rPr>
        <w:t>工作组</w:t>
      </w:r>
      <w:r w:rsidR="00170E26" w:rsidRPr="007A3834">
        <w:rPr>
          <w:rFonts w:ascii="Arial" w:hAnsi="Arial" w:hint="eastAsia"/>
          <w:sz w:val="22"/>
          <w:lang w:val="en-GB"/>
        </w:rPr>
        <w:t>”）</w:t>
      </w:r>
      <w:r w:rsidRPr="007A3834">
        <w:rPr>
          <w:rFonts w:ascii="Arial" w:hAnsi="Arial" w:hint="eastAsia"/>
          <w:sz w:val="22"/>
        </w:rPr>
        <w:t>在</w:t>
      </w:r>
      <w:r w:rsidRPr="007A3834">
        <w:rPr>
          <w:rFonts w:ascii="Arial" w:hAnsi="Arial" w:hint="eastAsia"/>
          <w:sz w:val="22"/>
          <w:lang w:val="en-GB"/>
        </w:rPr>
        <w:t>2003</w:t>
      </w:r>
      <w:r w:rsidRPr="007A3834">
        <w:rPr>
          <w:rFonts w:ascii="Arial" w:hAnsi="Arial" w:hint="eastAsia"/>
          <w:sz w:val="22"/>
        </w:rPr>
        <w:t>年《公约》列入机制全局反思的框架内讨论了这一事项。大会本届会议将审议项目</w:t>
      </w:r>
      <w:r w:rsidRPr="007A3834">
        <w:rPr>
          <w:rFonts w:ascii="Arial" w:hAnsi="Arial" w:hint="eastAsia"/>
          <w:sz w:val="22"/>
        </w:rPr>
        <w:t>9</w:t>
      </w:r>
      <w:r w:rsidRPr="007A3834">
        <w:rPr>
          <w:rFonts w:ascii="Arial" w:hAnsi="Arial" w:hint="eastAsia"/>
          <w:sz w:val="22"/>
        </w:rPr>
        <w:t>下工作组三部分会议的建议。</w:t>
      </w:r>
      <w:hyperlink r:id="rId12" w:history="1">
        <w:r w:rsidRPr="00A52480">
          <w:rPr>
            <w:rStyle w:val="Hyperlink"/>
            <w:rFonts w:ascii="Arial" w:hAnsi="Arial" w:hint="eastAsia"/>
            <w:sz w:val="22"/>
          </w:rPr>
          <w:t>LHE/22/9.GA/9</w:t>
        </w:r>
      </w:hyperlink>
      <w:r w:rsidRPr="007A3834">
        <w:rPr>
          <w:rFonts w:ascii="Arial" w:hAnsi="Arial" w:hint="eastAsia"/>
          <w:sz w:val="22"/>
        </w:rPr>
        <w:t>号文件载有更多信息，包括工作组关于该专题的具体建议。</w:t>
      </w:r>
    </w:p>
    <w:p w14:paraId="4C2B0AB6" w14:textId="03237D59" w:rsidR="008A1ED4" w:rsidRPr="007A3834" w:rsidRDefault="008A1ED4" w:rsidP="00C40425">
      <w:pPr>
        <w:widowControl w:val="0"/>
        <w:numPr>
          <w:ilvl w:val="0"/>
          <w:numId w:val="19"/>
        </w:numPr>
        <w:spacing w:before="120"/>
        <w:ind w:left="567" w:hanging="567"/>
        <w:jc w:val="both"/>
        <w:rPr>
          <w:rFonts w:ascii="Arial" w:hAnsi="Arial" w:cs="Arial"/>
          <w:sz w:val="22"/>
          <w:szCs w:val="22"/>
        </w:rPr>
      </w:pPr>
      <w:proofErr w:type="gramStart"/>
      <w:r w:rsidRPr="007A3834">
        <w:rPr>
          <w:rFonts w:ascii="Arial" w:hAnsi="Arial" w:hint="eastAsia"/>
          <w:sz w:val="22"/>
        </w:rPr>
        <w:t>谨建议</w:t>
      </w:r>
      <w:proofErr w:type="gramEnd"/>
      <w:r w:rsidRPr="007A3834">
        <w:rPr>
          <w:rFonts w:ascii="Arial" w:hAnsi="Arial" w:hint="eastAsia"/>
          <w:sz w:val="22"/>
        </w:rPr>
        <w:t>大会通过如下决议：</w:t>
      </w:r>
    </w:p>
    <w:p w14:paraId="2A46BAC4" w14:textId="4984D4F1" w:rsidR="008A1ED4" w:rsidRPr="007A3834" w:rsidRDefault="00F010E0" w:rsidP="008A1ED4">
      <w:pPr>
        <w:pStyle w:val="GATitleResolution"/>
      </w:pPr>
      <w:r w:rsidRPr="007A3834">
        <w:rPr>
          <w:rFonts w:hint="eastAsia"/>
        </w:rPr>
        <w:t>第</w:t>
      </w:r>
      <w:r w:rsidRPr="007A3834">
        <w:rPr>
          <w:rFonts w:hint="eastAsia"/>
        </w:rPr>
        <w:t>9.GA 8</w:t>
      </w:r>
      <w:r w:rsidRPr="007A3834">
        <w:rPr>
          <w:rFonts w:hint="eastAsia"/>
        </w:rPr>
        <w:t>号决议草案</w:t>
      </w:r>
    </w:p>
    <w:p w14:paraId="7677B217" w14:textId="77777777" w:rsidR="008A1ED4" w:rsidRPr="007A3834" w:rsidRDefault="008A1ED4" w:rsidP="008A1ED4">
      <w:pPr>
        <w:pStyle w:val="GAPreambulaResolution"/>
      </w:pPr>
      <w:r w:rsidRPr="007A3834">
        <w:rPr>
          <w:rFonts w:hint="eastAsia"/>
        </w:rPr>
        <w:t>大会，</w:t>
      </w:r>
    </w:p>
    <w:p w14:paraId="68F801BB" w14:textId="5C8916DB" w:rsidR="008A1ED4" w:rsidRPr="007A3834" w:rsidRDefault="008A1ED4" w:rsidP="00B27FEE">
      <w:pPr>
        <w:pStyle w:val="COMParaDecision"/>
        <w:numPr>
          <w:ilvl w:val="0"/>
          <w:numId w:val="10"/>
        </w:numPr>
        <w:ind w:left="1134" w:hanging="567"/>
      </w:pPr>
      <w:r w:rsidRPr="007A3834">
        <w:rPr>
          <w:rFonts w:hint="eastAsia"/>
        </w:rPr>
        <w:t>审查了</w:t>
      </w:r>
      <w:r w:rsidR="00170E26" w:rsidRPr="008C17B8">
        <w:rPr>
          <w:rFonts w:hint="eastAsia"/>
          <w:u w:val="none"/>
        </w:rPr>
        <w:t>第</w:t>
      </w:r>
      <w:r w:rsidRPr="007A3834">
        <w:rPr>
          <w:rFonts w:hint="eastAsia"/>
          <w:u w:val="none"/>
        </w:rPr>
        <w:t>LHE/22/9.GA/8</w:t>
      </w:r>
      <w:r w:rsidRPr="007A3834">
        <w:rPr>
          <w:rFonts w:hint="eastAsia"/>
          <w:u w:val="none"/>
        </w:rPr>
        <w:t>号文件，</w:t>
      </w:r>
    </w:p>
    <w:p w14:paraId="0D675A00" w14:textId="5A38CB5C" w:rsidR="008A1ED4" w:rsidRPr="007A3834" w:rsidRDefault="008A1ED4" w:rsidP="00102603">
      <w:pPr>
        <w:pStyle w:val="COMParaDecision"/>
        <w:numPr>
          <w:ilvl w:val="0"/>
          <w:numId w:val="10"/>
        </w:numPr>
        <w:ind w:left="1134" w:hanging="567"/>
        <w:jc w:val="left"/>
      </w:pPr>
      <w:r w:rsidRPr="007A3834">
        <w:rPr>
          <w:rFonts w:hint="eastAsia"/>
        </w:rPr>
        <w:t>忆及</w:t>
      </w:r>
      <w:r w:rsidRPr="007A3834">
        <w:rPr>
          <w:rFonts w:hint="eastAsia"/>
          <w:u w:val="none"/>
        </w:rPr>
        <w:t>委员会决定将“久慕汤”列入《人类非物质文化遗产代表作名录》的第</w:t>
      </w:r>
      <w:hyperlink r:id="rId13" w:history="1">
        <w:r w:rsidRPr="00A52480">
          <w:rPr>
            <w:rStyle w:val="Hyperlink"/>
            <w:rFonts w:hint="eastAsia"/>
          </w:rPr>
          <w:t>16.</w:t>
        </w:r>
        <w:r w:rsidR="00AA5CA3" w:rsidRPr="00A52480">
          <w:rPr>
            <w:rStyle w:val="Hyperlink"/>
            <w:rFonts w:hint="eastAsia"/>
          </w:rPr>
          <w:t>COM</w:t>
        </w:r>
        <w:r w:rsidR="00AA5CA3">
          <w:rPr>
            <w:rStyle w:val="Hyperlink"/>
          </w:rPr>
          <w:t> </w:t>
        </w:r>
        <w:r w:rsidRPr="00A52480">
          <w:rPr>
            <w:rStyle w:val="Hyperlink"/>
            <w:rFonts w:hint="eastAsia"/>
          </w:rPr>
          <w:t>19</w:t>
        </w:r>
      </w:hyperlink>
      <w:r w:rsidRPr="007A3834">
        <w:rPr>
          <w:rFonts w:hint="eastAsia"/>
          <w:u w:val="none"/>
        </w:rPr>
        <w:t>号决定，以及</w:t>
      </w:r>
      <w:hyperlink r:id="rId14" w:history="1">
        <w:r w:rsidRPr="00A52480">
          <w:rPr>
            <w:rStyle w:val="Hyperlink"/>
            <w:rFonts w:hint="eastAsia"/>
          </w:rPr>
          <w:t>LHE/21/16.COM/19</w:t>
        </w:r>
      </w:hyperlink>
      <w:r w:rsidRPr="007A3834">
        <w:rPr>
          <w:rFonts w:hint="eastAsia"/>
          <w:u w:val="none"/>
        </w:rPr>
        <w:t>号文件，</w:t>
      </w:r>
    </w:p>
    <w:p w14:paraId="31D93219" w14:textId="6DC11B5D" w:rsidR="00FC5311" w:rsidRPr="007A3834" w:rsidRDefault="000116B8" w:rsidP="00102603">
      <w:pPr>
        <w:pStyle w:val="COMParaDecision"/>
        <w:numPr>
          <w:ilvl w:val="0"/>
          <w:numId w:val="10"/>
        </w:numPr>
        <w:ind w:left="1134" w:hanging="567"/>
        <w:jc w:val="left"/>
        <w:rPr>
          <w:u w:val="none"/>
        </w:rPr>
      </w:pPr>
      <w:r w:rsidRPr="007A3834">
        <w:rPr>
          <w:rFonts w:hint="eastAsia"/>
        </w:rPr>
        <w:t>表示</w:t>
      </w:r>
      <w:r w:rsidRPr="007A3834">
        <w:rPr>
          <w:rFonts w:hint="eastAsia"/>
          <w:u w:val="none"/>
        </w:rPr>
        <w:t>声援海地及其人民，</w:t>
      </w:r>
      <w:r w:rsidRPr="008C17B8">
        <w:rPr>
          <w:rFonts w:hint="eastAsia"/>
        </w:rPr>
        <w:t>声明</w:t>
      </w:r>
      <w:r w:rsidRPr="007A3834">
        <w:rPr>
          <w:rFonts w:hint="eastAsia"/>
          <w:u w:val="none"/>
        </w:rPr>
        <w:t>2003</w:t>
      </w:r>
      <w:r w:rsidRPr="007A3834">
        <w:rPr>
          <w:rFonts w:hint="eastAsia"/>
          <w:u w:val="none"/>
        </w:rPr>
        <w:t>年《公约》提供了一个机会来促进和提高在针对自然灾害影响而做的准备、响应和恢复方面有所帮助的遗产项目的知名度，并</w:t>
      </w:r>
      <w:r w:rsidRPr="007A3834">
        <w:rPr>
          <w:rFonts w:hint="eastAsia"/>
        </w:rPr>
        <w:t>认识到</w:t>
      </w:r>
      <w:r w:rsidRPr="007A3834">
        <w:rPr>
          <w:rFonts w:hint="eastAsia"/>
          <w:u w:val="none"/>
        </w:rPr>
        <w:t>紧急情况下保护非物质文化遗产的运作原则和模式对本案的相关性；</w:t>
      </w:r>
    </w:p>
    <w:p w14:paraId="6DF3C813" w14:textId="59763FFA" w:rsidR="006B446C" w:rsidRPr="007A3834" w:rsidRDefault="006B446C" w:rsidP="00102603">
      <w:pPr>
        <w:pStyle w:val="COMParaDecision"/>
        <w:numPr>
          <w:ilvl w:val="0"/>
          <w:numId w:val="10"/>
        </w:numPr>
        <w:ind w:left="1134" w:hanging="567"/>
        <w:jc w:val="left"/>
        <w:rPr>
          <w:u w:val="none"/>
        </w:rPr>
      </w:pPr>
      <w:r w:rsidRPr="007A3834">
        <w:rPr>
          <w:rFonts w:hint="eastAsia"/>
        </w:rPr>
        <w:t>注意到</w:t>
      </w:r>
      <w:r w:rsidRPr="007A3834">
        <w:rPr>
          <w:rFonts w:hint="eastAsia"/>
          <w:u w:val="none"/>
        </w:rPr>
        <w:t>为处理海地提出的申请而遵循的步骤，包括审查机构进行全面评估，同时考虑到提出该申请的原因多种多样，包括在该国广泛的社会和政治动动荡背景下接连发生的自然灾害；</w:t>
      </w:r>
    </w:p>
    <w:p w14:paraId="550AA3FB" w14:textId="3BEFEFDA" w:rsidR="001412D9" w:rsidRPr="007A3834" w:rsidRDefault="00170E26" w:rsidP="00102603">
      <w:pPr>
        <w:pStyle w:val="COMParaDecision"/>
        <w:numPr>
          <w:ilvl w:val="0"/>
          <w:numId w:val="10"/>
        </w:numPr>
        <w:ind w:left="1134" w:hanging="567"/>
        <w:jc w:val="left"/>
        <w:rPr>
          <w:u w:val="none"/>
        </w:rPr>
      </w:pPr>
      <w:r>
        <w:rPr>
          <w:rFonts w:hint="eastAsia"/>
        </w:rPr>
        <w:t>认</w:t>
      </w:r>
      <w:r w:rsidR="00B9100C" w:rsidRPr="007A3834">
        <w:rPr>
          <w:rFonts w:hint="eastAsia"/>
        </w:rPr>
        <w:t>可</w:t>
      </w:r>
      <w:r w:rsidR="00B9100C" w:rsidRPr="007A3834">
        <w:rPr>
          <w:rFonts w:hint="eastAsia"/>
          <w:u w:val="none"/>
        </w:rPr>
        <w:t>作为</w:t>
      </w:r>
      <w:r w:rsidR="00B9100C" w:rsidRPr="007A3834">
        <w:rPr>
          <w:rFonts w:hint="eastAsia"/>
          <w:u w:val="none"/>
        </w:rPr>
        <w:t>2021</w:t>
      </w:r>
      <w:r w:rsidR="00B9100C" w:rsidRPr="007A3834">
        <w:rPr>
          <w:rFonts w:hint="eastAsia"/>
          <w:u w:val="none"/>
        </w:rPr>
        <w:t>周期的一部分，将“久慕汤”列入《人类非物质文化遗产代表作名录》所遵循的程序。</w:t>
      </w:r>
    </w:p>
    <w:sectPr w:rsidR="001412D9" w:rsidRPr="007A3834" w:rsidSect="00176720">
      <w:headerReference w:type="even" r:id="rId15"/>
      <w:headerReference w:type="default" r:id="rId16"/>
      <w:headerReference w:type="first" r:id="rId1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DB8F9" w14:textId="77777777" w:rsidR="00274AE4" w:rsidRDefault="00274AE4" w:rsidP="00655736">
      <w:r>
        <w:separator/>
      </w:r>
    </w:p>
  </w:endnote>
  <w:endnote w:type="continuationSeparator" w:id="0">
    <w:p w14:paraId="1DD1D34B" w14:textId="77777777" w:rsidR="00274AE4" w:rsidRDefault="00274AE4"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D7CD1" w14:textId="77777777" w:rsidR="00274AE4" w:rsidRDefault="00274AE4" w:rsidP="00655736">
      <w:r>
        <w:separator/>
      </w:r>
    </w:p>
  </w:footnote>
  <w:footnote w:type="continuationSeparator" w:id="0">
    <w:p w14:paraId="5F6F6916" w14:textId="77777777" w:rsidR="00274AE4" w:rsidRDefault="00274AE4"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D5F8" w14:textId="24831160" w:rsidR="00D95C4C" w:rsidRPr="0062356F" w:rsidRDefault="006F41B4">
    <w:pPr>
      <w:pStyle w:val="Header"/>
      <w:rPr>
        <w:rFonts w:ascii="Arial" w:hAnsi="Arial"/>
        <w:sz w:val="20"/>
      </w:rPr>
    </w:pPr>
    <w:r>
      <w:rPr>
        <w:rFonts w:ascii="Arial" w:hAnsi="Arial" w:hint="eastAsia"/>
        <w:sz w:val="20"/>
      </w:rPr>
      <w:t xml:space="preserve">LHE/22/9.GA/8 </w:t>
    </w:r>
    <w:r>
      <w:rPr>
        <w:rFonts w:ascii="Arial" w:hAnsi="Arial" w:hint="eastAsia"/>
        <w:sz w:val="20"/>
      </w:rPr>
      <w:t>–</w:t>
    </w:r>
    <w:r>
      <w:rPr>
        <w:rFonts w:ascii="Arial" w:hAnsi="Arial" w:hint="eastAsia"/>
        <w:sz w:val="20"/>
      </w:rPr>
      <w:t xml:space="preserve"> </w:t>
    </w:r>
    <w:r>
      <w:rPr>
        <w:rFonts w:ascii="Arial" w:hAnsi="Arial" w:hint="eastAsia"/>
        <w:sz w:val="20"/>
      </w:rPr>
      <w:t>第</w:t>
    </w:r>
    <w:r w:rsidR="00D95C4C" w:rsidRPr="008C17B8">
      <w:rPr>
        <w:rFonts w:ascii="Arial" w:hAnsi="Arial" w:cs="Arial" w:hint="eastAsia"/>
        <w:sz w:val="20"/>
        <w:szCs w:val="20"/>
      </w:rPr>
      <w:fldChar w:fldCharType="begin"/>
    </w:r>
    <w:r w:rsidR="00D95C4C" w:rsidRPr="008C17B8">
      <w:rPr>
        <w:rFonts w:ascii="Arial" w:hAnsi="Arial" w:cs="Arial"/>
        <w:sz w:val="20"/>
        <w:szCs w:val="20"/>
      </w:rPr>
      <w:instrText xml:space="preserve"> PAGE </w:instrText>
    </w:r>
    <w:r w:rsidR="00D95C4C" w:rsidRPr="008C17B8">
      <w:rPr>
        <w:rFonts w:ascii="Arial" w:hAnsi="Arial" w:cs="Arial" w:hint="eastAsia"/>
        <w:sz w:val="20"/>
        <w:szCs w:val="20"/>
      </w:rPr>
      <w:fldChar w:fldCharType="separate"/>
    </w:r>
    <w:r w:rsidR="00102603" w:rsidRPr="008C17B8">
      <w:rPr>
        <w:rFonts w:ascii="Arial" w:hAnsi="Arial" w:cs="Arial"/>
        <w:noProof/>
        <w:sz w:val="20"/>
        <w:szCs w:val="20"/>
      </w:rPr>
      <w:t>2</w:t>
    </w:r>
    <w:r w:rsidR="00D95C4C" w:rsidRPr="008C17B8">
      <w:rPr>
        <w:rFonts w:ascii="Arial" w:hAnsi="Arial" w:cs="Arial" w:hint="eastAsia"/>
        <w:sz w:val="20"/>
        <w:szCs w:val="20"/>
      </w:rPr>
      <w:fldChar w:fldCharType="end"/>
    </w:r>
    <w:r w:rsidRPr="0062356F">
      <w:rPr>
        <w:rFonts w:ascii="Arial" w:hAnsi="Arial" w:hint="eastAsia"/>
        <w:sz w:val="20"/>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3C2" w14:textId="6C230482" w:rsidR="00D95C4C" w:rsidRPr="0063300C" w:rsidRDefault="00502D44" w:rsidP="0063300C">
    <w:pPr>
      <w:pStyle w:val="Header"/>
      <w:jc w:val="right"/>
      <w:rPr>
        <w:rFonts w:ascii="Arial" w:hAnsi="Arial" w:cs="Arial"/>
      </w:rPr>
    </w:pPr>
    <w:r>
      <w:rPr>
        <w:rFonts w:ascii="Arial" w:hAnsi="Arial" w:hint="eastAsia"/>
        <w:sz w:val="20"/>
      </w:rPr>
      <w:t xml:space="preserve">LHE/22/9.GA/8 </w:t>
    </w:r>
    <w:r>
      <w:rPr>
        <w:rFonts w:ascii="Arial" w:hAnsi="Arial" w:hint="eastAsia"/>
        <w:sz w:val="20"/>
      </w:rPr>
      <w:t>–</w:t>
    </w:r>
    <w:r>
      <w:rPr>
        <w:rFonts w:ascii="Arial" w:hAnsi="Arial" w:hint="eastAsia"/>
        <w:sz w:val="20"/>
      </w:rPr>
      <w:t xml:space="preserve"> </w:t>
    </w:r>
    <w:r>
      <w:rPr>
        <w:rFonts w:ascii="Arial" w:hAnsi="Arial" w:hint="eastAsia"/>
        <w:sz w:val="20"/>
      </w:rPr>
      <w:t>第</w:t>
    </w:r>
    <w:r w:rsidR="004A34A0" w:rsidRPr="0063300C">
      <w:rPr>
        <w:rStyle w:val="PageNumber"/>
        <w:rFonts w:ascii="Arial" w:hAnsi="Arial" w:cs="Arial" w:hint="eastAsia"/>
        <w:sz w:val="20"/>
        <w:szCs w:val="20"/>
      </w:rPr>
      <w:fldChar w:fldCharType="begin"/>
    </w:r>
    <w:r w:rsidR="004A34A0" w:rsidRPr="0063300C">
      <w:rPr>
        <w:rStyle w:val="PageNumber"/>
        <w:rFonts w:ascii="Arial" w:hAnsi="Arial" w:cs="Arial" w:hint="eastAsia"/>
        <w:sz w:val="20"/>
        <w:szCs w:val="20"/>
      </w:rPr>
      <w:instrText xml:space="preserve"> PAGE </w:instrText>
    </w:r>
    <w:r w:rsidR="004A34A0" w:rsidRPr="0063300C">
      <w:rPr>
        <w:rStyle w:val="PageNumber"/>
        <w:rFonts w:ascii="Arial" w:hAnsi="Arial" w:cs="Arial" w:hint="eastAsia"/>
        <w:sz w:val="20"/>
        <w:szCs w:val="20"/>
      </w:rPr>
      <w:fldChar w:fldCharType="separate"/>
    </w:r>
    <w:r w:rsidR="00102603">
      <w:rPr>
        <w:rStyle w:val="PageNumber"/>
        <w:rFonts w:ascii="Arial" w:hAnsi="Arial" w:cs="Arial"/>
        <w:noProof/>
        <w:sz w:val="20"/>
        <w:szCs w:val="20"/>
      </w:rPr>
      <w:t>3</w:t>
    </w:r>
    <w:r w:rsidR="004A34A0" w:rsidRPr="0063300C">
      <w:rPr>
        <w:rStyle w:val="PageNumber"/>
        <w:rFonts w:ascii="Arial" w:hAnsi="Arial" w:cs="Arial" w:hint="eastAsia"/>
        <w:sz w:val="20"/>
        <w:szCs w:val="20"/>
      </w:rPr>
      <w:fldChar w:fldCharType="end"/>
    </w:r>
    <w:r w:rsidRPr="008C17B8">
      <w:rPr>
        <w:rFonts w:hint="eastAsia"/>
        <w:sz w:val="20"/>
        <w:szCs w:val="20"/>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532A" w14:textId="5B3808CB" w:rsidR="00D95C4C" w:rsidRPr="008724E5" w:rsidRDefault="0062356F">
    <w:pPr>
      <w:pStyle w:val="Header"/>
    </w:pPr>
    <w:r>
      <w:rPr>
        <w:noProof/>
        <w:lang w:val="en-US"/>
      </w:rPr>
      <w:drawing>
        <wp:anchor distT="0" distB="0" distL="114300" distR="114300" simplePos="0" relativeHeight="251659264" behindDoc="0" locked="0" layoutInCell="1" allowOverlap="1" wp14:anchorId="0FB634DB" wp14:editId="2FD5551A">
          <wp:simplePos x="0" y="0"/>
          <wp:positionH relativeFrom="column">
            <wp:posOffset>35560</wp:posOffset>
          </wp:positionH>
          <wp:positionV relativeFrom="paragraph">
            <wp:posOffset>62230</wp:posOffset>
          </wp:positionV>
          <wp:extent cx="1752106" cy="1332000"/>
          <wp:effectExtent l="0" t="0" r="635" b="190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106" cy="13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7233C0" w14:textId="0080C653" w:rsidR="00D95C4C" w:rsidRPr="00A52480" w:rsidRDefault="003265D0" w:rsidP="00655736">
    <w:pPr>
      <w:pStyle w:val="Header"/>
      <w:spacing w:after="520"/>
      <w:jc w:val="right"/>
      <w:rPr>
        <w:rFonts w:ascii="Arial" w:hAnsi="Arial" w:cs="Arial"/>
        <w:b/>
        <w:sz w:val="44"/>
        <w:szCs w:val="44"/>
      </w:rPr>
    </w:pPr>
    <w:r w:rsidRPr="00A52480">
      <w:rPr>
        <w:rFonts w:ascii="Arial" w:hAnsi="Arial"/>
        <w:b/>
        <w:sz w:val="44"/>
      </w:rPr>
      <w:t>9 GA</w:t>
    </w:r>
  </w:p>
  <w:p w14:paraId="2037F6C9" w14:textId="50F0F0D2" w:rsidR="00D95C4C" w:rsidRPr="008C17B8" w:rsidRDefault="006F41B4" w:rsidP="00655736">
    <w:pPr>
      <w:jc w:val="right"/>
      <w:rPr>
        <w:rFonts w:ascii="Arial" w:hAnsi="Arial" w:cs="Arial"/>
        <w:b/>
        <w:sz w:val="22"/>
        <w:szCs w:val="22"/>
      </w:rPr>
    </w:pPr>
    <w:r w:rsidRPr="00A52480">
      <w:rPr>
        <w:rFonts w:ascii="Arial" w:hAnsi="Arial"/>
        <w:b/>
        <w:sz w:val="22"/>
      </w:rPr>
      <w:t>LHE/22/</w:t>
    </w:r>
    <w:r w:rsidRPr="008C17B8">
      <w:rPr>
        <w:rFonts w:ascii="Arial" w:hAnsi="Arial"/>
        <w:b/>
        <w:sz w:val="22"/>
      </w:rPr>
      <w:t>9.GA/8</w:t>
    </w:r>
  </w:p>
  <w:p w14:paraId="1E03530A" w14:textId="20ABDEAE" w:rsidR="00D95C4C" w:rsidRPr="00A52480" w:rsidRDefault="00D95C4C" w:rsidP="00655736">
    <w:pPr>
      <w:jc w:val="right"/>
      <w:rPr>
        <w:rFonts w:ascii="Arial" w:hAnsi="Arial" w:cs="Arial"/>
        <w:b/>
        <w:sz w:val="22"/>
        <w:szCs w:val="22"/>
      </w:rPr>
    </w:pPr>
    <w:r w:rsidRPr="008C17B8">
      <w:rPr>
        <w:rFonts w:ascii="Arial" w:hAnsi="Arial" w:hint="eastAsia"/>
        <w:b/>
        <w:sz w:val="22"/>
      </w:rPr>
      <w:t>巴黎，</w:t>
    </w:r>
    <w:r w:rsidRPr="008C17B8">
      <w:rPr>
        <w:rFonts w:ascii="Arial" w:hAnsi="Arial"/>
        <w:b/>
        <w:sz w:val="22"/>
      </w:rPr>
      <w:t>2022</w:t>
    </w:r>
    <w:r w:rsidRPr="008C17B8">
      <w:rPr>
        <w:rFonts w:ascii="Arial" w:hAnsi="Arial" w:hint="eastAsia"/>
        <w:b/>
        <w:sz w:val="22"/>
      </w:rPr>
      <w:t>年</w:t>
    </w:r>
    <w:r w:rsidR="008C17B8" w:rsidRPr="005157AF">
      <w:rPr>
        <w:rFonts w:ascii="Arial" w:hAnsi="Arial"/>
        <w:b/>
        <w:sz w:val="22"/>
      </w:rPr>
      <w:t>6</w:t>
    </w:r>
    <w:r w:rsidRPr="005157AF">
      <w:rPr>
        <w:rFonts w:ascii="Arial" w:hAnsi="Arial" w:hint="eastAsia"/>
        <w:b/>
        <w:sz w:val="22"/>
      </w:rPr>
      <w:t>月</w:t>
    </w:r>
    <w:r w:rsidR="008C17B8" w:rsidRPr="008C17B8">
      <w:rPr>
        <w:rFonts w:ascii="Arial" w:hAnsi="Arial"/>
        <w:b/>
        <w:sz w:val="22"/>
      </w:rPr>
      <w:t>17</w:t>
    </w:r>
    <w:r>
      <w:rPr>
        <w:rFonts w:ascii="Arial" w:hAnsi="Arial" w:hint="eastAsia"/>
        <w:b/>
        <w:sz w:val="22"/>
      </w:rPr>
      <w:t>日</w:t>
    </w:r>
  </w:p>
  <w:p w14:paraId="00956E32" w14:textId="09786BD7" w:rsidR="00D95C4C" w:rsidRPr="008C17B8" w:rsidRDefault="00D95C4C" w:rsidP="00703FBF">
    <w:pPr>
      <w:jc w:val="right"/>
      <w:rPr>
        <w:rFonts w:ascii="Arial" w:hAnsi="Arial" w:cs="Arial"/>
        <w:b/>
        <w:sz w:val="22"/>
        <w:szCs w:val="22"/>
        <w:lang w:val="pt-PT"/>
      </w:rPr>
    </w:pPr>
    <w:r>
      <w:rPr>
        <w:rFonts w:ascii="Arial" w:hAnsi="Arial" w:hint="eastAsia"/>
        <w:b/>
        <w:sz w:val="22"/>
      </w:rPr>
      <w:t>原</w:t>
    </w:r>
    <w:r w:rsidR="004C5244">
      <w:rPr>
        <w:rFonts w:ascii="Arial" w:hAnsi="Arial" w:hint="eastAsia"/>
        <w:b/>
        <w:sz w:val="22"/>
      </w:rPr>
      <w:t>文</w:t>
    </w:r>
    <w:r w:rsidRPr="008C17B8">
      <w:rPr>
        <w:rFonts w:ascii="Arial" w:hAnsi="Arial" w:hint="eastAsia"/>
        <w:b/>
        <w:sz w:val="22"/>
        <w:lang w:val="pt-PT"/>
      </w:rPr>
      <w:t>：</w:t>
    </w:r>
    <w:r>
      <w:rPr>
        <w:rFonts w:ascii="Arial" w:hAnsi="Arial" w:hint="eastAsia"/>
        <w:b/>
        <w:sz w:val="22"/>
      </w:rPr>
      <w:t>英文</w:t>
    </w:r>
  </w:p>
  <w:p w14:paraId="7FB1132E" w14:textId="77777777" w:rsidR="00540FE0" w:rsidRPr="008C17B8" w:rsidRDefault="00540FE0" w:rsidP="00540FE0">
    <w:pP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4A15545B"/>
    <w:multiLevelType w:val="multilevel"/>
    <w:tmpl w:val="BB02B6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2E799B"/>
    <w:multiLevelType w:val="multilevel"/>
    <w:tmpl w:val="F0D269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5"/>
  </w:num>
  <w:num w:numId="3">
    <w:abstractNumId w:val="2"/>
  </w:num>
  <w:num w:numId="4">
    <w:abstractNumId w:val="17"/>
  </w:num>
  <w:num w:numId="5">
    <w:abstractNumId w:val="15"/>
  </w:num>
  <w:num w:numId="6">
    <w:abstractNumId w:val="1"/>
  </w:num>
  <w:num w:numId="7">
    <w:abstractNumId w:val="3"/>
  </w:num>
  <w:num w:numId="8">
    <w:abstractNumId w:val="9"/>
  </w:num>
  <w:num w:numId="9">
    <w:abstractNumId w:val="4"/>
  </w:num>
  <w:num w:numId="10">
    <w:abstractNumId w:val="6"/>
  </w:num>
  <w:num w:numId="11">
    <w:abstractNumId w:val="8"/>
  </w:num>
  <w:num w:numId="12">
    <w:abstractNumId w:val="7"/>
  </w:num>
  <w:num w:numId="13">
    <w:abstractNumId w:val="16"/>
  </w:num>
  <w:num w:numId="14">
    <w:abstractNumId w:val="12"/>
  </w:num>
  <w:num w:numId="15">
    <w:abstractNumId w:val="13"/>
  </w:num>
  <w:num w:numId="16">
    <w:abstractNumId w:val="6"/>
  </w:num>
  <w:num w:numId="17">
    <w:abstractNumId w:val="6"/>
  </w:num>
  <w:num w:numId="18">
    <w:abstractNumId w:val="6"/>
  </w:num>
  <w:num w:numId="19">
    <w:abstractNumId w:val="0"/>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11"/>
    <w:lvlOverride w:ilvl="0">
      <w:lvl w:ilvl="0">
        <w:numFmt w:val="decimal"/>
        <w:lvlText w:val="%1."/>
        <w:lvlJc w:val="left"/>
      </w:lvl>
    </w:lvlOverride>
  </w:num>
  <w:num w:numId="32">
    <w:abstractNumId w:val="11"/>
    <w:lvlOverride w:ilvl="0">
      <w:lvl w:ilvl="0">
        <w:numFmt w:val="decimal"/>
        <w:lvlText w:val="%1."/>
        <w:lvlJc w:val="left"/>
      </w:lvl>
    </w:lvlOverride>
  </w:num>
  <w:num w:numId="33">
    <w:abstractNumId w:val="10"/>
    <w:lvlOverride w:ilvl="0">
      <w:lvl w:ilvl="0">
        <w:numFmt w:val="decimal"/>
        <w:lvlText w:val="%1."/>
        <w:lvlJc w:val="left"/>
      </w:lvl>
    </w:lvlOverride>
  </w:num>
  <w:num w:numId="34">
    <w:abstractNumId w:val="4"/>
  </w:num>
  <w:num w:numId="35">
    <w:abstractNumId w:val="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866"/>
    <w:rsid w:val="000048ED"/>
    <w:rsid w:val="000116B8"/>
    <w:rsid w:val="000119AB"/>
    <w:rsid w:val="0002190A"/>
    <w:rsid w:val="00027304"/>
    <w:rsid w:val="00041A66"/>
    <w:rsid w:val="00044200"/>
    <w:rsid w:val="0005176E"/>
    <w:rsid w:val="0006361D"/>
    <w:rsid w:val="0006409A"/>
    <w:rsid w:val="000765F7"/>
    <w:rsid w:val="00077AB7"/>
    <w:rsid w:val="00080FB9"/>
    <w:rsid w:val="00081CD8"/>
    <w:rsid w:val="00084CE0"/>
    <w:rsid w:val="000A3300"/>
    <w:rsid w:val="000A5575"/>
    <w:rsid w:val="000A7F0E"/>
    <w:rsid w:val="000C0D61"/>
    <w:rsid w:val="000C701F"/>
    <w:rsid w:val="000D1DDB"/>
    <w:rsid w:val="000E5428"/>
    <w:rsid w:val="000E758D"/>
    <w:rsid w:val="000F3A3F"/>
    <w:rsid w:val="001001EF"/>
    <w:rsid w:val="00102557"/>
    <w:rsid w:val="00102603"/>
    <w:rsid w:val="00122AD6"/>
    <w:rsid w:val="00125E7B"/>
    <w:rsid w:val="00130275"/>
    <w:rsid w:val="00130614"/>
    <w:rsid w:val="0013158A"/>
    <w:rsid w:val="001412D9"/>
    <w:rsid w:val="00164D56"/>
    <w:rsid w:val="00167B10"/>
    <w:rsid w:val="00170E26"/>
    <w:rsid w:val="0017348D"/>
    <w:rsid w:val="0017402F"/>
    <w:rsid w:val="00176720"/>
    <w:rsid w:val="00191ADC"/>
    <w:rsid w:val="00196C1B"/>
    <w:rsid w:val="00197835"/>
    <w:rsid w:val="001B0F73"/>
    <w:rsid w:val="001C32E8"/>
    <w:rsid w:val="001D200A"/>
    <w:rsid w:val="001D5C04"/>
    <w:rsid w:val="001E5588"/>
    <w:rsid w:val="001E5E3E"/>
    <w:rsid w:val="001E7C4F"/>
    <w:rsid w:val="001F6B77"/>
    <w:rsid w:val="002114BC"/>
    <w:rsid w:val="00221118"/>
    <w:rsid w:val="00222A2D"/>
    <w:rsid w:val="00223029"/>
    <w:rsid w:val="0022454B"/>
    <w:rsid w:val="00234745"/>
    <w:rsid w:val="002407AF"/>
    <w:rsid w:val="00242D3A"/>
    <w:rsid w:val="002629C2"/>
    <w:rsid w:val="00274AE4"/>
    <w:rsid w:val="0027794C"/>
    <w:rsid w:val="002B49D5"/>
    <w:rsid w:val="002C09E3"/>
    <w:rsid w:val="002C3F97"/>
    <w:rsid w:val="002C6CD3"/>
    <w:rsid w:val="002D2DFA"/>
    <w:rsid w:val="002F312A"/>
    <w:rsid w:val="002F7078"/>
    <w:rsid w:val="002F7B49"/>
    <w:rsid w:val="00320BF7"/>
    <w:rsid w:val="0032141D"/>
    <w:rsid w:val="00325C93"/>
    <w:rsid w:val="003265D0"/>
    <w:rsid w:val="00345CB4"/>
    <w:rsid w:val="00352BEA"/>
    <w:rsid w:val="003549B8"/>
    <w:rsid w:val="003556BE"/>
    <w:rsid w:val="00380469"/>
    <w:rsid w:val="003829E0"/>
    <w:rsid w:val="003A5714"/>
    <w:rsid w:val="003B7208"/>
    <w:rsid w:val="003C4047"/>
    <w:rsid w:val="003D069C"/>
    <w:rsid w:val="003D1402"/>
    <w:rsid w:val="003D7646"/>
    <w:rsid w:val="003D772F"/>
    <w:rsid w:val="003F113A"/>
    <w:rsid w:val="003F2144"/>
    <w:rsid w:val="00414643"/>
    <w:rsid w:val="004353A1"/>
    <w:rsid w:val="0044076C"/>
    <w:rsid w:val="004421E5"/>
    <w:rsid w:val="00452284"/>
    <w:rsid w:val="00483ACE"/>
    <w:rsid w:val="004856CA"/>
    <w:rsid w:val="0049705E"/>
    <w:rsid w:val="004A34A0"/>
    <w:rsid w:val="004B5D47"/>
    <w:rsid w:val="004C5244"/>
    <w:rsid w:val="004C671B"/>
    <w:rsid w:val="004F5EB4"/>
    <w:rsid w:val="00502D44"/>
    <w:rsid w:val="005157AF"/>
    <w:rsid w:val="00522F28"/>
    <w:rsid w:val="0052470E"/>
    <w:rsid w:val="00526B7B"/>
    <w:rsid w:val="005308CE"/>
    <w:rsid w:val="005376E3"/>
    <w:rsid w:val="00540FE0"/>
    <w:rsid w:val="0057439C"/>
    <w:rsid w:val="00580A2F"/>
    <w:rsid w:val="005B0127"/>
    <w:rsid w:val="005B7A35"/>
    <w:rsid w:val="005C4B73"/>
    <w:rsid w:val="005D5CD9"/>
    <w:rsid w:val="005E1D2B"/>
    <w:rsid w:val="005E36AF"/>
    <w:rsid w:val="00600522"/>
    <w:rsid w:val="00600D93"/>
    <w:rsid w:val="00614529"/>
    <w:rsid w:val="00622982"/>
    <w:rsid w:val="0062356F"/>
    <w:rsid w:val="0063300C"/>
    <w:rsid w:val="00655736"/>
    <w:rsid w:val="00663B8D"/>
    <w:rsid w:val="00664523"/>
    <w:rsid w:val="00667DC6"/>
    <w:rsid w:val="00673BF3"/>
    <w:rsid w:val="00682042"/>
    <w:rsid w:val="00696C8D"/>
    <w:rsid w:val="006A2AC2"/>
    <w:rsid w:val="006A3617"/>
    <w:rsid w:val="006B446C"/>
    <w:rsid w:val="006E46E4"/>
    <w:rsid w:val="006F41B4"/>
    <w:rsid w:val="00703FBF"/>
    <w:rsid w:val="007104CF"/>
    <w:rsid w:val="00716200"/>
    <w:rsid w:val="00717DA5"/>
    <w:rsid w:val="00722D0C"/>
    <w:rsid w:val="00726176"/>
    <w:rsid w:val="00730424"/>
    <w:rsid w:val="00744484"/>
    <w:rsid w:val="007566BA"/>
    <w:rsid w:val="007632E5"/>
    <w:rsid w:val="00763A0D"/>
    <w:rsid w:val="00773188"/>
    <w:rsid w:val="00783782"/>
    <w:rsid w:val="00784B8C"/>
    <w:rsid w:val="00793DC9"/>
    <w:rsid w:val="0079465B"/>
    <w:rsid w:val="007A3834"/>
    <w:rsid w:val="007A70E8"/>
    <w:rsid w:val="007D649C"/>
    <w:rsid w:val="007E0C2D"/>
    <w:rsid w:val="007E16B9"/>
    <w:rsid w:val="007E6E2E"/>
    <w:rsid w:val="00823A11"/>
    <w:rsid w:val="0084466C"/>
    <w:rsid w:val="00852866"/>
    <w:rsid w:val="0085414A"/>
    <w:rsid w:val="008564CB"/>
    <w:rsid w:val="0086269D"/>
    <w:rsid w:val="0086373C"/>
    <w:rsid w:val="0086543A"/>
    <w:rsid w:val="008724E5"/>
    <w:rsid w:val="00884A9D"/>
    <w:rsid w:val="00884EB7"/>
    <w:rsid w:val="0088512B"/>
    <w:rsid w:val="008877FC"/>
    <w:rsid w:val="00891B4E"/>
    <w:rsid w:val="008948AA"/>
    <w:rsid w:val="00897BC8"/>
    <w:rsid w:val="008A0CB4"/>
    <w:rsid w:val="008A1ED4"/>
    <w:rsid w:val="008A2B2D"/>
    <w:rsid w:val="008A4E1E"/>
    <w:rsid w:val="008B6D66"/>
    <w:rsid w:val="008C17B8"/>
    <w:rsid w:val="008C2235"/>
    <w:rsid w:val="008C296C"/>
    <w:rsid w:val="008D4305"/>
    <w:rsid w:val="008D6C06"/>
    <w:rsid w:val="008E47CB"/>
    <w:rsid w:val="008E547D"/>
    <w:rsid w:val="00914872"/>
    <w:rsid w:val="009163A7"/>
    <w:rsid w:val="00946D0B"/>
    <w:rsid w:val="009560BF"/>
    <w:rsid w:val="00964C0A"/>
    <w:rsid w:val="00965AAF"/>
    <w:rsid w:val="00971429"/>
    <w:rsid w:val="00971458"/>
    <w:rsid w:val="00985E52"/>
    <w:rsid w:val="009A18CD"/>
    <w:rsid w:val="009B0411"/>
    <w:rsid w:val="009B3FDC"/>
    <w:rsid w:val="00A12558"/>
    <w:rsid w:val="00A13903"/>
    <w:rsid w:val="00A14246"/>
    <w:rsid w:val="00A22821"/>
    <w:rsid w:val="00A25769"/>
    <w:rsid w:val="00A34ED5"/>
    <w:rsid w:val="00A35B14"/>
    <w:rsid w:val="00A45DBF"/>
    <w:rsid w:val="00A514EE"/>
    <w:rsid w:val="00A52480"/>
    <w:rsid w:val="00A6083B"/>
    <w:rsid w:val="00A645DF"/>
    <w:rsid w:val="00A65C29"/>
    <w:rsid w:val="00A755A2"/>
    <w:rsid w:val="00A802B7"/>
    <w:rsid w:val="00A81AEA"/>
    <w:rsid w:val="00A95E5D"/>
    <w:rsid w:val="00AA5CA3"/>
    <w:rsid w:val="00AA6660"/>
    <w:rsid w:val="00AB0BAF"/>
    <w:rsid w:val="00AB2C36"/>
    <w:rsid w:val="00AB3943"/>
    <w:rsid w:val="00AB70B6"/>
    <w:rsid w:val="00AC0CD5"/>
    <w:rsid w:val="00AC397A"/>
    <w:rsid w:val="00AC7692"/>
    <w:rsid w:val="00AD025E"/>
    <w:rsid w:val="00AD1A86"/>
    <w:rsid w:val="00AD7357"/>
    <w:rsid w:val="00AE103E"/>
    <w:rsid w:val="00AE51BF"/>
    <w:rsid w:val="00AE51FF"/>
    <w:rsid w:val="00AF0A07"/>
    <w:rsid w:val="00AF4A76"/>
    <w:rsid w:val="00AF4AEC"/>
    <w:rsid w:val="00AF625E"/>
    <w:rsid w:val="00B245C5"/>
    <w:rsid w:val="00B25F9E"/>
    <w:rsid w:val="00B27FEE"/>
    <w:rsid w:val="00B37588"/>
    <w:rsid w:val="00B414FB"/>
    <w:rsid w:val="00B42C45"/>
    <w:rsid w:val="00B54386"/>
    <w:rsid w:val="00B569A8"/>
    <w:rsid w:val="00B6559C"/>
    <w:rsid w:val="00B65BE3"/>
    <w:rsid w:val="00B777C8"/>
    <w:rsid w:val="00B8054F"/>
    <w:rsid w:val="00B9100C"/>
    <w:rsid w:val="00B96B09"/>
    <w:rsid w:val="00BB04AF"/>
    <w:rsid w:val="00BC4BE9"/>
    <w:rsid w:val="00BD13C5"/>
    <w:rsid w:val="00BD149B"/>
    <w:rsid w:val="00BD52C9"/>
    <w:rsid w:val="00BE6354"/>
    <w:rsid w:val="00BF0A55"/>
    <w:rsid w:val="00C044C9"/>
    <w:rsid w:val="00C13718"/>
    <w:rsid w:val="00C23A97"/>
    <w:rsid w:val="00C40425"/>
    <w:rsid w:val="00C42C66"/>
    <w:rsid w:val="00C560C5"/>
    <w:rsid w:val="00C70EA7"/>
    <w:rsid w:val="00C7516E"/>
    <w:rsid w:val="00C75770"/>
    <w:rsid w:val="00C75C84"/>
    <w:rsid w:val="00C76927"/>
    <w:rsid w:val="00C77376"/>
    <w:rsid w:val="00C87659"/>
    <w:rsid w:val="00CC12AD"/>
    <w:rsid w:val="00D00B2B"/>
    <w:rsid w:val="00D03752"/>
    <w:rsid w:val="00D104C0"/>
    <w:rsid w:val="00D13B6E"/>
    <w:rsid w:val="00D153A0"/>
    <w:rsid w:val="00D24877"/>
    <w:rsid w:val="00D25762"/>
    <w:rsid w:val="00D260CA"/>
    <w:rsid w:val="00D319ED"/>
    <w:rsid w:val="00D43EB7"/>
    <w:rsid w:val="00D4562D"/>
    <w:rsid w:val="00D52F98"/>
    <w:rsid w:val="00D67BAC"/>
    <w:rsid w:val="00D92269"/>
    <w:rsid w:val="00D95C4C"/>
    <w:rsid w:val="00DA36ED"/>
    <w:rsid w:val="00DA44D5"/>
    <w:rsid w:val="00DA53AF"/>
    <w:rsid w:val="00DE34F1"/>
    <w:rsid w:val="00DF4942"/>
    <w:rsid w:val="00E11627"/>
    <w:rsid w:val="00E2315D"/>
    <w:rsid w:val="00E33F40"/>
    <w:rsid w:val="00E45966"/>
    <w:rsid w:val="00E627B1"/>
    <w:rsid w:val="00E804B7"/>
    <w:rsid w:val="00E84B79"/>
    <w:rsid w:val="00E926BF"/>
    <w:rsid w:val="00E9376C"/>
    <w:rsid w:val="00EA335E"/>
    <w:rsid w:val="00EA450C"/>
    <w:rsid w:val="00EA528C"/>
    <w:rsid w:val="00EC22F6"/>
    <w:rsid w:val="00EC3AC0"/>
    <w:rsid w:val="00EC45DD"/>
    <w:rsid w:val="00EC652A"/>
    <w:rsid w:val="00EE5AA9"/>
    <w:rsid w:val="00EF19A6"/>
    <w:rsid w:val="00EF2061"/>
    <w:rsid w:val="00EF30D5"/>
    <w:rsid w:val="00EF34E2"/>
    <w:rsid w:val="00EF4F1F"/>
    <w:rsid w:val="00EF69E3"/>
    <w:rsid w:val="00F010E0"/>
    <w:rsid w:val="00F43E50"/>
    <w:rsid w:val="00F46262"/>
    <w:rsid w:val="00F4690F"/>
    <w:rsid w:val="00F53DE9"/>
    <w:rsid w:val="00F576CB"/>
    <w:rsid w:val="00F71A02"/>
    <w:rsid w:val="00F75FEF"/>
    <w:rsid w:val="00F76CE5"/>
    <w:rsid w:val="00F86794"/>
    <w:rsid w:val="00FB4767"/>
    <w:rsid w:val="00FB6630"/>
    <w:rsid w:val="00FC220D"/>
    <w:rsid w:val="00FC5311"/>
    <w:rsid w:val="00FC7D9D"/>
    <w:rsid w:val="00FD1226"/>
    <w:rsid w:val="00FD37EC"/>
    <w:rsid w:val="00FE32E9"/>
    <w:rsid w:val="00FF3C8E"/>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CAA34B"/>
  <w15:docId w15:val="{87517895-55A4-444E-B7CB-1A8A8EF5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hAnsi="Times New Roman"/>
      <w:sz w:val="24"/>
      <w:szCs w:val="24"/>
      <w:lang w:val="fr-FR"/>
    </w:rPr>
  </w:style>
  <w:style w:type="paragraph" w:styleId="Heading1">
    <w:name w:val="heading 1"/>
    <w:basedOn w:val="Normal"/>
    <w:next w:val="Normal"/>
    <w:link w:val="Heading1Char"/>
    <w:uiPriority w:val="9"/>
    <w:rsid w:val="0062356F"/>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eastAsia="SimSun" w:hAnsi="Tahoma" w:cs="Tahoma"/>
      <w:sz w:val="16"/>
      <w:szCs w:val="16"/>
      <w:lang w:val="en-GB"/>
    </w:rPr>
  </w:style>
  <w:style w:type="paragraph" w:customStyle="1" w:styleId="Sansinterligne2">
    <w:name w:val="Sans interligne2"/>
    <w:uiPriority w:val="1"/>
    <w:rsid w:val="006C3FFC"/>
    <w:rPr>
      <w:rFonts w:ascii="Times New Roman" w:hAnsi="Times New Roman"/>
      <w:sz w:val="24"/>
      <w:szCs w:val="24"/>
      <w:lang w:val="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SimSun" w:hAnsi="Arial"/>
      <w:b/>
      <w:bCs/>
      <w:snapToGrid w:val="0"/>
      <w:sz w:val="22"/>
      <w:szCs w:val="24"/>
      <w:lang w:eastAsia="zh-CN"/>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SimSu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hAnsi="Times New Roman"/>
      <w:sz w:val="24"/>
      <w:szCs w:val="24"/>
      <w:lang w:val="fr-FR"/>
    </w:rPr>
  </w:style>
  <w:style w:type="paragraph" w:customStyle="1" w:styleId="GAPara">
    <w:name w:val="GA Para"/>
    <w:qFormat/>
    <w:rsid w:val="00345CB4"/>
    <w:pPr>
      <w:numPr>
        <w:numId w:val="9"/>
      </w:numPr>
      <w:spacing w:after="120"/>
    </w:pPr>
    <w:rPr>
      <w:rFonts w:ascii="Arial"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hAnsi="Arial" w:cs="Arial"/>
      <w:sz w:val="22"/>
      <w:szCs w:val="22"/>
      <w:u w:val="single"/>
      <w:lang w:val="en-GB"/>
    </w:rPr>
  </w:style>
  <w:style w:type="table" w:customStyle="1" w:styleId="TableGrid1">
    <w:name w:val="Table Grid1"/>
    <w:basedOn w:val="TableNormal"/>
    <w:uiPriority w:val="59"/>
    <w:rsid w:val="00191ADC"/>
    <w:rPr>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A6083B"/>
    <w:rPr>
      <w:color w:val="0563C1" w:themeColor="hyperlink"/>
      <w:u w:val="single"/>
    </w:rPr>
  </w:style>
  <w:style w:type="character" w:customStyle="1" w:styleId="UnresolvedMention1">
    <w:name w:val="Unresolved Mention1"/>
    <w:basedOn w:val="DefaultParagraphFont"/>
    <w:uiPriority w:val="99"/>
    <w:semiHidden/>
    <w:unhideWhenUsed/>
    <w:rsid w:val="00A6083B"/>
    <w:rPr>
      <w:color w:val="605E5C"/>
      <w:shd w:val="clear" w:color="auto" w:fill="E1DFDD"/>
    </w:rPr>
  </w:style>
  <w:style w:type="character" w:styleId="CommentReference">
    <w:name w:val="annotation reference"/>
    <w:basedOn w:val="DefaultParagraphFont"/>
    <w:uiPriority w:val="99"/>
    <w:semiHidden/>
    <w:unhideWhenUsed/>
    <w:rsid w:val="000C701F"/>
    <w:rPr>
      <w:sz w:val="16"/>
      <w:szCs w:val="16"/>
    </w:rPr>
  </w:style>
  <w:style w:type="paragraph" w:styleId="CommentText">
    <w:name w:val="annotation text"/>
    <w:basedOn w:val="Normal"/>
    <w:link w:val="CommentTextChar"/>
    <w:uiPriority w:val="99"/>
    <w:semiHidden/>
    <w:unhideWhenUsed/>
    <w:rsid w:val="000C701F"/>
    <w:rPr>
      <w:sz w:val="20"/>
      <w:szCs w:val="20"/>
    </w:rPr>
  </w:style>
  <w:style w:type="character" w:customStyle="1" w:styleId="CommentTextChar">
    <w:name w:val="Comment Text Char"/>
    <w:basedOn w:val="DefaultParagraphFont"/>
    <w:link w:val="CommentText"/>
    <w:uiPriority w:val="99"/>
    <w:semiHidden/>
    <w:rsid w:val="000C701F"/>
    <w:rPr>
      <w:rFonts w:ascii="Times New Roman" w:eastAsia="SimSun" w:hAnsi="Times New Roman"/>
      <w:lang w:val="fr-FR" w:eastAsia="zh-CN"/>
    </w:rPr>
  </w:style>
  <w:style w:type="paragraph" w:styleId="CommentSubject">
    <w:name w:val="annotation subject"/>
    <w:basedOn w:val="CommentText"/>
    <w:next w:val="CommentText"/>
    <w:link w:val="CommentSubjectChar"/>
    <w:uiPriority w:val="99"/>
    <w:semiHidden/>
    <w:unhideWhenUsed/>
    <w:rsid w:val="000C701F"/>
    <w:rPr>
      <w:b/>
      <w:bCs/>
    </w:rPr>
  </w:style>
  <w:style w:type="character" w:customStyle="1" w:styleId="CommentSubjectChar">
    <w:name w:val="Comment Subject Char"/>
    <w:basedOn w:val="CommentTextChar"/>
    <w:link w:val="CommentSubject"/>
    <w:uiPriority w:val="99"/>
    <w:semiHidden/>
    <w:rsid w:val="000C701F"/>
    <w:rPr>
      <w:rFonts w:ascii="Times New Roman" w:eastAsia="SimSun" w:hAnsi="Times New Roman"/>
      <w:b/>
      <w:bCs/>
      <w:lang w:val="fr-FR" w:eastAsia="zh-CN"/>
    </w:rPr>
  </w:style>
  <w:style w:type="character" w:styleId="FollowedHyperlink">
    <w:name w:val="FollowedHyperlink"/>
    <w:basedOn w:val="DefaultParagraphFont"/>
    <w:uiPriority w:val="99"/>
    <w:semiHidden/>
    <w:unhideWhenUsed/>
    <w:rsid w:val="00667DC6"/>
    <w:rPr>
      <w:color w:val="954F72" w:themeColor="followedHyperlink"/>
      <w:u w:val="single"/>
    </w:rPr>
  </w:style>
  <w:style w:type="paragraph" w:customStyle="1" w:styleId="COMPara">
    <w:name w:val="COM Para"/>
    <w:qFormat/>
    <w:rsid w:val="001E5588"/>
    <w:pPr>
      <w:spacing w:after="120"/>
      <w:ind w:left="644" w:hanging="360"/>
    </w:pPr>
    <w:rPr>
      <w:rFonts w:ascii="Arial" w:hAnsi="Arial" w:cs="Arial"/>
      <w:snapToGrid w:val="0"/>
      <w:sz w:val="22"/>
      <w:szCs w:val="22"/>
    </w:rPr>
  </w:style>
  <w:style w:type="paragraph" w:styleId="Revision">
    <w:name w:val="Revision"/>
    <w:hidden/>
    <w:uiPriority w:val="99"/>
    <w:semiHidden/>
    <w:rsid w:val="002114BC"/>
    <w:rPr>
      <w:rFonts w:ascii="Times New Roman" w:hAnsi="Times New Roman"/>
      <w:sz w:val="24"/>
      <w:szCs w:val="24"/>
      <w:lang w:val="fr-FR"/>
    </w:rPr>
  </w:style>
  <w:style w:type="character" w:customStyle="1" w:styleId="Heading1Char">
    <w:name w:val="Heading 1 Char"/>
    <w:basedOn w:val="DefaultParagraphFont"/>
    <w:link w:val="Heading1"/>
    <w:uiPriority w:val="9"/>
    <w:rsid w:val="0062356F"/>
    <w:rPr>
      <w:rFonts w:ascii="Times New Roman" w:hAnsi="Times New Roman"/>
      <w:b/>
      <w:bCs/>
      <w:kern w:val="44"/>
      <w:sz w:val="44"/>
      <w:szCs w:val="44"/>
      <w:lang w:val="fr-FR"/>
    </w:rPr>
  </w:style>
  <w:style w:type="character" w:styleId="UnresolvedMention">
    <w:name w:val="Unresolved Mention"/>
    <w:basedOn w:val="DefaultParagraphFont"/>
    <w:uiPriority w:val="99"/>
    <w:semiHidden/>
    <w:unhideWhenUsed/>
    <w:rsid w:val="00A52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4759029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3309263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1-16.COM-19-EN.docx" TargetMode="External"/><Relationship Id="rId13" Type="http://schemas.openxmlformats.org/officeDocument/2006/relationships/hyperlink" Target="Decision%20of%20the%20Intergovernmental%20Committee:%2016.COM%2019%20-%20intangible%20heritage%20-%20Culture%20Sector%20-%20UNES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doc/src/LHE-22-9.GA-9-ZH.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6.COM/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h.unesco.org/en/Decisions/16.COM/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doc/src/LHE-21-16.COM-19-EN.docx" TargetMode="External"/><Relationship Id="rId14" Type="http://schemas.openxmlformats.org/officeDocument/2006/relationships/hyperlink" Target="https://ich.unesco.org/doc/src/LHE-21-16.COM-19-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SimSun"/>
        <a:cs typeface=""/>
      </a:majorFont>
      <a:minorFont>
        <a:latin typeface="Calibri"/>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D79E6-EF9A-456F-AAFE-5B0AE98E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555</Words>
  <Characters>3165</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Kim, Dain</cp:lastModifiedBy>
  <cp:revision>13</cp:revision>
  <cp:lastPrinted>2022-05-18T07:32:00Z</cp:lastPrinted>
  <dcterms:created xsi:type="dcterms:W3CDTF">2022-06-14T11:07:00Z</dcterms:created>
  <dcterms:modified xsi:type="dcterms:W3CDTF">2022-06-17T18:40:00Z</dcterms:modified>
</cp:coreProperties>
</file>