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3D79" w14:textId="6B05EFB9" w:rsidR="00340270" w:rsidRPr="00D26003" w:rsidRDefault="00340270" w:rsidP="00340270">
      <w:pPr>
        <w:spacing w:before="1440"/>
        <w:jc w:val="center"/>
        <w:rPr>
          <w:rFonts w:ascii="Arial" w:hAnsi="Arial" w:cs="Arial"/>
          <w:b/>
          <w:szCs w:val="22"/>
        </w:rPr>
      </w:pPr>
      <w:r w:rsidRPr="00D26003">
        <w:rPr>
          <w:rFonts w:ascii="Arial" w:hAnsi="Arial" w:cs="Arial"/>
          <w:b/>
          <w:szCs w:val="22"/>
        </w:rPr>
        <w:t>CONVENTION FOR THE SAFEGUARDING OF THE</w:t>
      </w:r>
      <w:r w:rsidRPr="00D26003">
        <w:rPr>
          <w:rFonts w:ascii="Arial" w:hAnsi="Arial" w:cs="Arial"/>
          <w:b/>
          <w:szCs w:val="22"/>
        </w:rPr>
        <w:br/>
        <w:t>INTANGIBLE CULTURAL HERITAGE</w:t>
      </w:r>
    </w:p>
    <w:p w14:paraId="77D41FB3" w14:textId="77777777" w:rsidR="00340270" w:rsidRPr="00D26003" w:rsidRDefault="00340270" w:rsidP="00340270">
      <w:pPr>
        <w:spacing w:before="1440" w:after="0"/>
        <w:jc w:val="center"/>
        <w:rPr>
          <w:rFonts w:ascii="Arial" w:eastAsiaTheme="minorEastAsia" w:hAnsi="Arial" w:cs="Arial"/>
          <w:b/>
          <w:szCs w:val="22"/>
          <w:lang w:eastAsia="ko-KR"/>
        </w:rPr>
      </w:pPr>
      <w:r w:rsidRPr="00D26003">
        <w:rPr>
          <w:rFonts w:ascii="Arial" w:eastAsiaTheme="minorEastAsia" w:hAnsi="Arial" w:cs="Arial"/>
          <w:b/>
          <w:szCs w:val="22"/>
          <w:lang w:eastAsia="ko-KR"/>
        </w:rPr>
        <w:t>Open-ended intergovernmental working group</w:t>
      </w:r>
      <w:r w:rsidRPr="00D26003">
        <w:rPr>
          <w:rFonts w:ascii="Arial" w:eastAsiaTheme="minorEastAsia" w:hAnsi="Arial" w:cs="Arial"/>
          <w:b/>
          <w:szCs w:val="22"/>
          <w:lang w:eastAsia="ko-KR"/>
        </w:rPr>
        <w:br/>
        <w:t>in the framework of the global reflection on the listing mechanisms</w:t>
      </w:r>
    </w:p>
    <w:p w14:paraId="1FD10094" w14:textId="77777777" w:rsidR="00340270" w:rsidRPr="00D26003" w:rsidRDefault="00340270" w:rsidP="00340270">
      <w:pPr>
        <w:spacing w:before="840" w:after="0"/>
        <w:jc w:val="center"/>
        <w:rPr>
          <w:rFonts w:ascii="Arial" w:eastAsiaTheme="minorEastAsia" w:hAnsi="Arial" w:cs="Arial"/>
          <w:b/>
          <w:szCs w:val="22"/>
          <w:lang w:eastAsia="ko-KR"/>
        </w:rPr>
      </w:pPr>
      <w:r w:rsidRPr="00D26003">
        <w:rPr>
          <w:rFonts w:ascii="Arial" w:eastAsiaTheme="minorEastAsia" w:hAnsi="Arial" w:cs="Arial"/>
          <w:b/>
          <w:szCs w:val="22"/>
          <w:lang w:eastAsia="ko-KR"/>
        </w:rPr>
        <w:t>Online</w:t>
      </w:r>
    </w:p>
    <w:p w14:paraId="6DF5C589" w14:textId="1DCF0294" w:rsidR="00340270" w:rsidRPr="00D26003" w:rsidRDefault="00662B0F" w:rsidP="00340270">
      <w:pPr>
        <w:spacing w:after="0"/>
        <w:jc w:val="center"/>
        <w:rPr>
          <w:rFonts w:ascii="Arial" w:eastAsiaTheme="minorEastAsia" w:hAnsi="Arial" w:cs="Arial"/>
          <w:b/>
          <w:szCs w:val="22"/>
          <w:lang w:eastAsia="ko-KR"/>
        </w:rPr>
      </w:pPr>
      <w:r w:rsidRPr="00D26003">
        <w:rPr>
          <w:rFonts w:ascii="Arial" w:eastAsiaTheme="minorEastAsia" w:hAnsi="Arial" w:cs="Arial"/>
          <w:b/>
          <w:szCs w:val="22"/>
          <w:lang w:eastAsia="ko-KR"/>
        </w:rPr>
        <w:t>25</w:t>
      </w:r>
      <w:r w:rsidR="00340270" w:rsidRPr="00D26003">
        <w:rPr>
          <w:rFonts w:ascii="Arial" w:eastAsiaTheme="minorEastAsia" w:hAnsi="Arial" w:cs="Arial"/>
          <w:b/>
          <w:szCs w:val="22"/>
          <w:lang w:eastAsia="ko-KR"/>
        </w:rPr>
        <w:t xml:space="preserve"> </w:t>
      </w:r>
      <w:r w:rsidRPr="00D26003">
        <w:rPr>
          <w:rFonts w:ascii="Arial" w:eastAsiaTheme="minorEastAsia" w:hAnsi="Arial" w:cs="Arial"/>
          <w:b/>
          <w:szCs w:val="22"/>
          <w:lang w:eastAsia="ko-KR"/>
        </w:rPr>
        <w:t>and 26 April</w:t>
      </w:r>
      <w:r w:rsidR="00340270" w:rsidRPr="00D26003">
        <w:rPr>
          <w:rFonts w:ascii="Arial" w:hAnsi="Arial" w:cs="Arial"/>
          <w:b/>
          <w:szCs w:val="22"/>
        </w:rPr>
        <w:t xml:space="preserve"> 2022</w:t>
      </w:r>
      <w:r w:rsidR="00735D39" w:rsidRPr="00D26003">
        <w:rPr>
          <w:rFonts w:ascii="Arial" w:hAnsi="Arial" w:cs="Arial"/>
          <w:b/>
          <w:szCs w:val="22"/>
        </w:rPr>
        <w:t xml:space="preserve"> (Part III)</w:t>
      </w:r>
    </w:p>
    <w:p w14:paraId="202C5426" w14:textId="41BE6D9D" w:rsidR="00CB500D" w:rsidRPr="00D26003" w:rsidRDefault="00CB500D" w:rsidP="0035565E">
      <w:pPr>
        <w:pStyle w:val="Sansinterligne2"/>
        <w:spacing w:before="1200"/>
        <w:jc w:val="center"/>
        <w:rPr>
          <w:rFonts w:ascii="Arial" w:hAnsi="Arial" w:cs="Arial"/>
          <w:b/>
          <w:sz w:val="22"/>
          <w:szCs w:val="22"/>
          <w:lang w:val="en-GB"/>
        </w:rPr>
      </w:pPr>
      <w:r w:rsidRPr="00D26003">
        <w:rPr>
          <w:rFonts w:ascii="Arial" w:hAnsi="Arial" w:cs="Arial"/>
          <w:b/>
          <w:sz w:val="22"/>
          <w:szCs w:val="22"/>
          <w:u w:val="single"/>
          <w:lang w:val="en-GB"/>
        </w:rPr>
        <w:t>Item</w:t>
      </w:r>
      <w:r w:rsidR="00365B94" w:rsidRPr="00D26003">
        <w:rPr>
          <w:rFonts w:ascii="Arial" w:hAnsi="Arial" w:cs="Arial"/>
          <w:b/>
          <w:sz w:val="22"/>
          <w:szCs w:val="22"/>
          <w:u w:val="single"/>
          <w:lang w:val="en-GB"/>
        </w:rPr>
        <w:t xml:space="preserve"> </w:t>
      </w:r>
      <w:r w:rsidR="00A96316" w:rsidRPr="00D26003">
        <w:rPr>
          <w:rFonts w:ascii="Arial" w:hAnsi="Arial" w:cs="Arial"/>
          <w:b/>
          <w:sz w:val="22"/>
          <w:szCs w:val="22"/>
          <w:u w:val="single"/>
          <w:lang w:val="en-GB"/>
        </w:rPr>
        <w:t>10</w:t>
      </w:r>
      <w:r w:rsidRPr="00D26003">
        <w:rPr>
          <w:rFonts w:ascii="Arial" w:hAnsi="Arial" w:cs="Arial"/>
          <w:b/>
          <w:sz w:val="22"/>
          <w:szCs w:val="22"/>
          <w:u w:val="single"/>
          <w:lang w:val="en-GB"/>
        </w:rPr>
        <w:t xml:space="preserve"> of the Provisional Agenda</w:t>
      </w:r>
      <w:r w:rsidRPr="00D26003">
        <w:rPr>
          <w:rFonts w:ascii="Arial" w:hAnsi="Arial" w:cs="Arial"/>
          <w:b/>
          <w:sz w:val="22"/>
          <w:szCs w:val="22"/>
          <w:lang w:val="en-GB"/>
        </w:rPr>
        <w:t>:</w:t>
      </w:r>
    </w:p>
    <w:p w14:paraId="6D45854C" w14:textId="65F8D6E8" w:rsidR="00251C9B" w:rsidRPr="00D26003" w:rsidRDefault="00A96316" w:rsidP="00A96316">
      <w:pPr>
        <w:pStyle w:val="Sansinterligne2"/>
        <w:jc w:val="center"/>
        <w:rPr>
          <w:rFonts w:ascii="Arial" w:hAnsi="Arial" w:cs="Arial"/>
          <w:b/>
          <w:sz w:val="22"/>
          <w:szCs w:val="22"/>
          <w:lang w:val="en-GB"/>
        </w:rPr>
      </w:pPr>
      <w:r w:rsidRPr="00D26003">
        <w:rPr>
          <w:rFonts w:ascii="Arial" w:hAnsi="Arial" w:cs="Arial"/>
          <w:b/>
          <w:sz w:val="22"/>
          <w:szCs w:val="22"/>
          <w:lang w:val="en-GB"/>
        </w:rPr>
        <w:t>Towards a reformed listing system (Part III)</w:t>
      </w:r>
    </w:p>
    <w:p w14:paraId="165980D7" w14:textId="3CA9A415" w:rsidR="00A96316" w:rsidRPr="00D26003" w:rsidRDefault="00A96316" w:rsidP="0063175F">
      <w:pPr>
        <w:pStyle w:val="Sansinterligne2"/>
        <w:spacing w:after="960"/>
        <w:jc w:val="center"/>
        <w:rPr>
          <w:rFonts w:ascii="Arial" w:hAnsi="Arial" w:cs="Arial"/>
          <w:b/>
          <w:sz w:val="22"/>
          <w:szCs w:val="22"/>
          <w:lang w:val="en-GB"/>
        </w:rPr>
      </w:pPr>
      <w:r w:rsidRPr="00D26003">
        <w:rPr>
          <w:rFonts w:ascii="Arial" w:hAnsi="Arial" w:cs="Arial"/>
          <w:b/>
          <w:sz w:val="22"/>
          <w:szCs w:val="22"/>
          <w:lang w:val="en-GB"/>
        </w:rPr>
        <w:t xml:space="preserve">Issues linked to the </w:t>
      </w:r>
      <w:r w:rsidR="00323734" w:rsidRPr="00D26003">
        <w:rPr>
          <w:rFonts w:ascii="Arial" w:hAnsi="Arial" w:cs="Arial"/>
          <w:b/>
          <w:sz w:val="22"/>
          <w:szCs w:val="22"/>
          <w:lang w:val="en-GB"/>
        </w:rPr>
        <w:t xml:space="preserve">annual </w:t>
      </w:r>
      <w:r w:rsidRPr="00D26003">
        <w:rPr>
          <w:rFonts w:ascii="Arial" w:hAnsi="Arial" w:cs="Arial"/>
          <w:b/>
          <w:sz w:val="22"/>
          <w:szCs w:val="22"/>
          <w:lang w:val="en-GB"/>
        </w:rPr>
        <w:t>number of files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D26003" w14:paraId="11E38FB5" w14:textId="77777777" w:rsidTr="00AB297A">
        <w:trPr>
          <w:jc w:val="center"/>
        </w:trPr>
        <w:tc>
          <w:tcPr>
            <w:tcW w:w="5670" w:type="dxa"/>
            <w:vAlign w:val="center"/>
          </w:tcPr>
          <w:p w14:paraId="1E8EEEF5" w14:textId="2A633D7D" w:rsidR="00CB500D" w:rsidRPr="00D26003" w:rsidRDefault="008C06DF" w:rsidP="007D6437">
            <w:pPr>
              <w:pStyle w:val="Sansinterligne2"/>
              <w:spacing w:before="200" w:after="200"/>
              <w:jc w:val="center"/>
              <w:rPr>
                <w:rFonts w:ascii="Arial" w:hAnsi="Arial" w:cs="Arial"/>
                <w:b/>
                <w:sz w:val="22"/>
                <w:szCs w:val="22"/>
                <w:lang w:val="en-GB"/>
              </w:rPr>
            </w:pPr>
            <w:r w:rsidRPr="00D26003">
              <w:rPr>
                <w:rFonts w:ascii="Arial" w:hAnsi="Arial" w:cs="Arial"/>
                <w:b/>
                <w:sz w:val="22"/>
                <w:szCs w:val="22"/>
                <w:lang w:val="en-GB"/>
              </w:rPr>
              <w:t>Summary</w:t>
            </w:r>
          </w:p>
          <w:p w14:paraId="3AB020B5" w14:textId="2074DBCE" w:rsidR="008C06DF" w:rsidRPr="00D26003" w:rsidRDefault="00927FE5" w:rsidP="00786B8F">
            <w:pPr>
              <w:pStyle w:val="Sansinterligne2"/>
              <w:spacing w:before="200" w:after="200"/>
              <w:jc w:val="both"/>
              <w:rPr>
                <w:rFonts w:ascii="Arial" w:hAnsi="Arial" w:cs="Arial"/>
                <w:bCs/>
                <w:sz w:val="22"/>
                <w:szCs w:val="22"/>
                <w:highlight w:val="yellow"/>
                <w:lang w:val="en-GB"/>
              </w:rPr>
            </w:pPr>
            <w:r w:rsidRPr="00D26003">
              <w:rPr>
                <w:rFonts w:ascii="Arial" w:hAnsi="Arial" w:cs="Arial"/>
                <w:bCs/>
                <w:sz w:val="22"/>
                <w:szCs w:val="22"/>
                <w:lang w:val="en-GB"/>
              </w:rPr>
              <w:t>The main mandate of Part III of the working group concerns issues linked to the annual number of files</w:t>
            </w:r>
            <w:r w:rsidR="00AC56AB" w:rsidRPr="00D26003">
              <w:rPr>
                <w:rFonts w:ascii="Arial" w:hAnsi="Arial" w:cs="Arial"/>
                <w:bCs/>
                <w:sz w:val="22"/>
                <w:szCs w:val="22"/>
                <w:lang w:val="en-GB"/>
              </w:rPr>
              <w:t xml:space="preserve"> to be examined by the Committee</w:t>
            </w:r>
            <w:r w:rsidRPr="00D26003">
              <w:rPr>
                <w:rFonts w:ascii="Arial" w:hAnsi="Arial" w:cs="Arial"/>
                <w:bCs/>
                <w:sz w:val="22"/>
                <w:szCs w:val="22"/>
                <w:lang w:val="en-GB"/>
              </w:rPr>
              <w:t>.</w:t>
            </w:r>
            <w:r w:rsidR="00786B8F" w:rsidRPr="00D26003">
              <w:rPr>
                <w:rFonts w:ascii="Arial" w:hAnsi="Arial" w:cs="Arial"/>
                <w:bCs/>
                <w:sz w:val="22"/>
                <w:szCs w:val="22"/>
                <w:lang w:val="en-GB"/>
              </w:rPr>
              <w:t xml:space="preserve"> </w:t>
            </w:r>
            <w:r w:rsidRPr="00D26003">
              <w:rPr>
                <w:rFonts w:ascii="Arial" w:hAnsi="Arial" w:cs="Arial"/>
                <w:bCs/>
                <w:sz w:val="22"/>
                <w:szCs w:val="22"/>
                <w:lang w:val="en-GB"/>
              </w:rPr>
              <w:t xml:space="preserve">The present document </w:t>
            </w:r>
            <w:r w:rsidR="00786B8F" w:rsidRPr="00D26003">
              <w:rPr>
                <w:rFonts w:ascii="Arial" w:hAnsi="Arial" w:cs="Arial"/>
                <w:bCs/>
                <w:sz w:val="22"/>
                <w:szCs w:val="22"/>
                <w:lang w:val="en-GB"/>
              </w:rPr>
              <w:t xml:space="preserve">provides an </w:t>
            </w:r>
            <w:r w:rsidR="00AC56AB" w:rsidRPr="00D26003">
              <w:rPr>
                <w:rFonts w:ascii="Arial" w:hAnsi="Arial" w:cs="Arial"/>
                <w:bCs/>
                <w:sz w:val="22"/>
                <w:szCs w:val="22"/>
                <w:lang w:val="en-GB"/>
              </w:rPr>
              <w:t>analys</w:t>
            </w:r>
            <w:r w:rsidR="00786B8F" w:rsidRPr="00D26003">
              <w:rPr>
                <w:rFonts w:ascii="Arial" w:hAnsi="Arial" w:cs="Arial"/>
                <w:bCs/>
                <w:sz w:val="22"/>
                <w:szCs w:val="22"/>
                <w:lang w:val="en-GB"/>
              </w:rPr>
              <w:t>i</w:t>
            </w:r>
            <w:r w:rsidR="00AC56AB" w:rsidRPr="00D26003">
              <w:rPr>
                <w:rFonts w:ascii="Arial" w:hAnsi="Arial" w:cs="Arial"/>
                <w:bCs/>
                <w:sz w:val="22"/>
                <w:szCs w:val="22"/>
                <w:lang w:val="en-GB"/>
              </w:rPr>
              <w:t xml:space="preserve">s </w:t>
            </w:r>
            <w:r w:rsidR="00786B8F" w:rsidRPr="00D26003">
              <w:rPr>
                <w:rFonts w:ascii="Arial" w:hAnsi="Arial" w:cs="Arial"/>
                <w:bCs/>
                <w:sz w:val="22"/>
                <w:szCs w:val="22"/>
                <w:lang w:val="en-GB"/>
              </w:rPr>
              <w:t xml:space="preserve">of </w:t>
            </w:r>
            <w:r w:rsidR="00AC56AB" w:rsidRPr="00D26003">
              <w:rPr>
                <w:rFonts w:ascii="Arial" w:hAnsi="Arial" w:cs="Arial"/>
                <w:bCs/>
                <w:sz w:val="22"/>
                <w:szCs w:val="22"/>
                <w:lang w:val="en-GB"/>
              </w:rPr>
              <w:t xml:space="preserve">problems related to </w:t>
            </w:r>
            <w:r w:rsidRPr="00D26003">
              <w:rPr>
                <w:rFonts w:ascii="Arial" w:hAnsi="Arial" w:cs="Arial"/>
                <w:bCs/>
                <w:sz w:val="22"/>
                <w:szCs w:val="22"/>
                <w:lang w:val="en-GB"/>
              </w:rPr>
              <w:t>the current system and proposes two options</w:t>
            </w:r>
            <w:r w:rsidR="000363B8" w:rsidRPr="00D26003">
              <w:rPr>
                <w:rFonts w:ascii="Arial" w:hAnsi="Arial" w:cs="Arial"/>
                <w:bCs/>
                <w:sz w:val="22"/>
                <w:szCs w:val="22"/>
                <w:lang w:val="en-GB"/>
              </w:rPr>
              <w:t xml:space="preserve"> (to </w:t>
            </w:r>
            <w:r w:rsidR="00EA024D" w:rsidRPr="00D26003">
              <w:rPr>
                <w:rFonts w:ascii="Arial" w:hAnsi="Arial" w:cs="Arial"/>
                <w:bCs/>
                <w:sz w:val="22"/>
                <w:szCs w:val="22"/>
                <w:lang w:val="en-GB"/>
              </w:rPr>
              <w:t xml:space="preserve">continue ‘at least fifty-five and no more than </w:t>
            </w:r>
            <w:r w:rsidR="000363B8" w:rsidRPr="00D26003">
              <w:rPr>
                <w:rFonts w:ascii="Arial" w:hAnsi="Arial" w:cs="Arial"/>
                <w:bCs/>
                <w:sz w:val="22"/>
                <w:szCs w:val="22"/>
                <w:lang w:val="en-GB"/>
              </w:rPr>
              <w:t>sixty files per cycle</w:t>
            </w:r>
            <w:r w:rsidR="00EA024D" w:rsidRPr="00D26003">
              <w:rPr>
                <w:rFonts w:ascii="Arial" w:hAnsi="Arial" w:cs="Arial"/>
                <w:bCs/>
                <w:sz w:val="22"/>
                <w:szCs w:val="22"/>
                <w:lang w:val="en-GB"/>
              </w:rPr>
              <w:t>’</w:t>
            </w:r>
            <w:r w:rsidR="000363B8" w:rsidRPr="00D26003">
              <w:rPr>
                <w:rFonts w:ascii="Arial" w:hAnsi="Arial" w:cs="Arial"/>
                <w:bCs/>
                <w:sz w:val="22"/>
                <w:szCs w:val="22"/>
                <w:lang w:val="en-GB"/>
              </w:rPr>
              <w:t xml:space="preserve"> or to go above this </w:t>
            </w:r>
            <w:r w:rsidR="002A09C5" w:rsidRPr="00D26003">
              <w:rPr>
                <w:rFonts w:ascii="Arial" w:hAnsi="Arial" w:cs="Arial"/>
                <w:bCs/>
                <w:sz w:val="22"/>
                <w:szCs w:val="22"/>
                <w:lang w:val="en-GB"/>
              </w:rPr>
              <w:t>current</w:t>
            </w:r>
            <w:r w:rsidR="002A09C5" w:rsidRPr="00D26003">
              <w:rPr>
                <w:rFonts w:ascii="Arial" w:hAnsi="Arial" w:cs="Arial"/>
                <w:bCs/>
                <w:i/>
                <w:iCs/>
                <w:sz w:val="22"/>
                <w:szCs w:val="22"/>
                <w:lang w:val="en-GB"/>
              </w:rPr>
              <w:t xml:space="preserve"> </w:t>
            </w:r>
            <w:r w:rsidR="000363B8" w:rsidRPr="00D26003">
              <w:rPr>
                <w:rFonts w:ascii="Arial" w:hAnsi="Arial" w:cs="Arial"/>
                <w:bCs/>
                <w:i/>
                <w:iCs/>
                <w:sz w:val="22"/>
                <w:szCs w:val="22"/>
                <w:lang w:val="en-GB"/>
              </w:rPr>
              <w:t>de facto</w:t>
            </w:r>
            <w:r w:rsidR="000363B8" w:rsidRPr="00D26003">
              <w:rPr>
                <w:rFonts w:ascii="Arial" w:hAnsi="Arial" w:cs="Arial"/>
                <w:bCs/>
                <w:sz w:val="22"/>
                <w:szCs w:val="22"/>
                <w:lang w:val="en-GB"/>
              </w:rPr>
              <w:t xml:space="preserve"> ceiling)</w:t>
            </w:r>
            <w:r w:rsidR="00AC56AB" w:rsidRPr="00D26003">
              <w:rPr>
                <w:rFonts w:ascii="Arial" w:hAnsi="Arial" w:cs="Arial"/>
                <w:bCs/>
                <w:sz w:val="22"/>
                <w:szCs w:val="22"/>
                <w:lang w:val="en-GB"/>
              </w:rPr>
              <w:t xml:space="preserve">, each with </w:t>
            </w:r>
            <w:r w:rsidR="000363B8" w:rsidRPr="00D26003">
              <w:rPr>
                <w:rFonts w:ascii="Arial" w:hAnsi="Arial" w:cs="Arial"/>
                <w:bCs/>
                <w:sz w:val="22"/>
                <w:szCs w:val="22"/>
                <w:lang w:val="en-GB"/>
              </w:rPr>
              <w:t xml:space="preserve">possible </w:t>
            </w:r>
            <w:r w:rsidR="00AC56AB" w:rsidRPr="00D26003">
              <w:rPr>
                <w:rFonts w:ascii="Arial" w:hAnsi="Arial" w:cs="Arial"/>
                <w:bCs/>
                <w:sz w:val="22"/>
                <w:szCs w:val="22"/>
                <w:lang w:val="en-GB"/>
              </w:rPr>
              <w:t>implications</w:t>
            </w:r>
            <w:r w:rsidRPr="00D26003">
              <w:rPr>
                <w:rFonts w:ascii="Arial" w:hAnsi="Arial" w:cs="Arial"/>
                <w:bCs/>
                <w:sz w:val="22"/>
                <w:szCs w:val="22"/>
                <w:lang w:val="en-GB"/>
              </w:rPr>
              <w:t>.</w:t>
            </w:r>
          </w:p>
        </w:tc>
      </w:tr>
    </w:tbl>
    <w:p w14:paraId="5A14B7F8" w14:textId="54A8D5B2" w:rsidR="00E22B99" w:rsidRPr="00D26003" w:rsidRDefault="00851458" w:rsidP="00365B94">
      <w:pPr>
        <w:pStyle w:val="1GAPara"/>
        <w:numPr>
          <w:ilvl w:val="0"/>
          <w:numId w:val="0"/>
        </w:numPr>
        <w:ind w:left="567" w:hanging="567"/>
      </w:pPr>
      <w:r w:rsidRPr="00D26003">
        <w:br w:type="page"/>
      </w:r>
    </w:p>
    <w:p w14:paraId="6C1AEFBE" w14:textId="2A36A165" w:rsidR="00D93C0F" w:rsidRPr="00D26003" w:rsidRDefault="00D0184F" w:rsidP="002B7D91">
      <w:pPr>
        <w:pStyle w:val="1GAPara"/>
        <w:numPr>
          <w:ilvl w:val="0"/>
          <w:numId w:val="0"/>
        </w:numPr>
        <w:tabs>
          <w:tab w:val="left" w:pos="5803"/>
        </w:tabs>
        <w:spacing w:before="240"/>
        <w:ind w:left="567" w:hanging="567"/>
        <w:rPr>
          <w:b/>
          <w:bCs/>
        </w:rPr>
      </w:pPr>
      <w:r w:rsidRPr="00D26003">
        <w:rPr>
          <w:b/>
          <w:bCs/>
        </w:rPr>
        <w:lastRenderedPageBreak/>
        <w:t>Introduction</w:t>
      </w:r>
    </w:p>
    <w:p w14:paraId="357722E1" w14:textId="758B4B93" w:rsidR="00FB0566" w:rsidRPr="00D26003" w:rsidRDefault="00F81FEE" w:rsidP="001433D3">
      <w:pPr>
        <w:pStyle w:val="1GAPara"/>
        <w:numPr>
          <w:ilvl w:val="0"/>
          <w:numId w:val="3"/>
        </w:numPr>
        <w:ind w:left="567" w:hanging="567"/>
        <w:jc w:val="both"/>
      </w:pPr>
      <w:r w:rsidRPr="00D26003">
        <w:rPr>
          <w:color w:val="000000"/>
        </w:rPr>
        <w:t>The main mandate given to</w:t>
      </w:r>
      <w:r w:rsidR="00DF06A3" w:rsidRPr="00D26003">
        <w:rPr>
          <w:color w:val="000000"/>
        </w:rPr>
        <w:t xml:space="preserve"> the</w:t>
      </w:r>
      <w:r w:rsidRPr="00D26003">
        <w:rPr>
          <w:color w:val="000000"/>
        </w:rPr>
        <w:t xml:space="preserve"> Part III </w:t>
      </w:r>
      <w:r w:rsidR="001D7564" w:rsidRPr="00D26003">
        <w:rPr>
          <w:color w:val="000000"/>
        </w:rPr>
        <w:t xml:space="preserve">meeting </w:t>
      </w:r>
      <w:r w:rsidRPr="00D26003">
        <w:rPr>
          <w:color w:val="000000"/>
        </w:rPr>
        <w:t xml:space="preserve">of the Open-ended intergovernmental working group </w:t>
      </w:r>
      <w:r w:rsidR="00BB51D5" w:rsidRPr="00D26003">
        <w:rPr>
          <w:color w:val="000000"/>
        </w:rPr>
        <w:t>relates to</w:t>
      </w:r>
      <w:r w:rsidRPr="00D26003">
        <w:rPr>
          <w:color w:val="000000"/>
        </w:rPr>
        <w:t xml:space="preserve"> the annual number of files to be examined by the Committee</w:t>
      </w:r>
      <w:r w:rsidR="00194609" w:rsidRPr="00D26003">
        <w:rPr>
          <w:color w:val="000000"/>
        </w:rPr>
        <w:t>.</w:t>
      </w:r>
      <w:r w:rsidR="00FB0566" w:rsidRPr="00D26003">
        <w:t xml:space="preserve"> </w:t>
      </w:r>
      <w:r w:rsidR="00FB0566" w:rsidRPr="00D26003">
        <w:rPr>
          <w:color w:val="000000"/>
        </w:rPr>
        <w:t xml:space="preserve">This </w:t>
      </w:r>
      <w:r w:rsidR="00880CD3" w:rsidRPr="00D26003">
        <w:rPr>
          <w:color w:val="000000"/>
        </w:rPr>
        <w:t>concerns</w:t>
      </w:r>
      <w:r w:rsidR="00FB0566" w:rsidRPr="00D26003">
        <w:rPr>
          <w:color w:val="000000"/>
        </w:rPr>
        <w:t xml:space="preserve"> nominations to the List of Intangible Cultural Heritage in Need of Urgent Safeguarding (hereafter the ‘Urgent Safeguarding List’) and the Representative List of the Intangible Cultural Heritage of Humanity (hereafter the ‘Representative List’), proposals of programmes, projects and activities that best reflect the principles and objectives of the Convention (hereafter ‘the Register of Good Safeguarding Practices’), and International Assistance requests greater than US$100,000.</w:t>
      </w:r>
    </w:p>
    <w:p w14:paraId="69DB15EE" w14:textId="71C3A814" w:rsidR="00866657" w:rsidRPr="00D26003" w:rsidRDefault="00FB0566" w:rsidP="001433D3">
      <w:pPr>
        <w:pStyle w:val="1GAPara"/>
        <w:numPr>
          <w:ilvl w:val="0"/>
          <w:numId w:val="3"/>
        </w:numPr>
        <w:ind w:left="567" w:hanging="567"/>
        <w:jc w:val="both"/>
      </w:pPr>
      <w:r w:rsidRPr="00D26003">
        <w:t>The issue of the annual number of files</w:t>
      </w:r>
      <w:r w:rsidR="00DF06A3" w:rsidRPr="00D26003">
        <w:t xml:space="preserve"> to examine</w:t>
      </w:r>
      <w:r w:rsidRPr="00D26003">
        <w:t xml:space="preserve"> dates back to the beginning of the listing mechanisms. The first set of Operational Directives (2008) did not include any limitation or provisions concerning the number of file</w:t>
      </w:r>
      <w:r w:rsidR="00DF06A3" w:rsidRPr="00D26003">
        <w:t>s</w:t>
      </w:r>
      <w:r w:rsidRPr="00D26003">
        <w:t xml:space="preserve">. For the first nomination cycle in 2009, the </w:t>
      </w:r>
      <w:r w:rsidR="00066054" w:rsidRPr="00D26003">
        <w:t>fo</w:t>
      </w:r>
      <w:r w:rsidR="00D728D5" w:rsidRPr="00D26003">
        <w:t>u</w:t>
      </w:r>
      <w:r w:rsidR="00066054" w:rsidRPr="00D26003">
        <w:t xml:space="preserve">rth session of the </w:t>
      </w:r>
      <w:r w:rsidRPr="00D26003">
        <w:t xml:space="preserve">Committee was asked to examine as many as 130 files, including 111 nominations </w:t>
      </w:r>
      <w:r w:rsidR="003D16F6" w:rsidRPr="00D26003">
        <w:t>to</w:t>
      </w:r>
      <w:r w:rsidRPr="00D26003">
        <w:t xml:space="preserve"> the Representative List (for which </w:t>
      </w:r>
      <w:r w:rsidR="00DF06A3" w:rsidRPr="00D26003">
        <w:t xml:space="preserve">three </w:t>
      </w:r>
      <w:r w:rsidRPr="00D26003">
        <w:t xml:space="preserve">States Parties submitted </w:t>
      </w:r>
      <w:r w:rsidR="00DF06A3" w:rsidRPr="00D26003">
        <w:t xml:space="preserve">sixty-five </w:t>
      </w:r>
      <w:r w:rsidRPr="00D26003">
        <w:t>nominations altogether, more than half of which were submitted by Electoral Group IV). In addition to the discussion by the Committee at its fourth session, the experience of the first nomination cycle prompted an expert meeting</w:t>
      </w:r>
      <w:r w:rsidRPr="00D26003">
        <w:rPr>
          <w:rStyle w:val="Appelnotedebasdep"/>
        </w:rPr>
        <w:footnoteReference w:id="2"/>
      </w:r>
      <w:r w:rsidRPr="00D26003">
        <w:t xml:space="preserve"> (2010), three working group</w:t>
      </w:r>
      <w:r w:rsidR="00DF06A3" w:rsidRPr="00D26003">
        <w:t xml:space="preserve"> meetings</w:t>
      </w:r>
      <w:r w:rsidRPr="00D26003">
        <w:rPr>
          <w:rStyle w:val="Appelnotedebasdep"/>
        </w:rPr>
        <w:footnoteReference w:id="3"/>
      </w:r>
      <w:r w:rsidRPr="00D26003">
        <w:t xml:space="preserve"> (2010) and </w:t>
      </w:r>
      <w:r w:rsidR="00DF06A3" w:rsidRPr="00D26003">
        <w:t>one</w:t>
      </w:r>
      <w:r w:rsidRPr="00D26003">
        <w:t xml:space="preserve"> open-ended intergovernmental working group</w:t>
      </w:r>
      <w:r w:rsidR="00DF06A3" w:rsidRPr="00D26003">
        <w:t xml:space="preserve"> meeting</w:t>
      </w:r>
      <w:r w:rsidRPr="00D26003">
        <w:rPr>
          <w:rStyle w:val="Appelnotedebasdep"/>
        </w:rPr>
        <w:footnoteReference w:id="4"/>
      </w:r>
      <w:r w:rsidRPr="00D26003">
        <w:t xml:space="preserve"> (2011) dedicated to the issue of the annual number of files to be treated.</w:t>
      </w:r>
    </w:p>
    <w:p w14:paraId="3681D7DF" w14:textId="7B71C611" w:rsidR="00FB0566" w:rsidRPr="00D26003" w:rsidRDefault="00FB0566" w:rsidP="001433D3">
      <w:pPr>
        <w:pStyle w:val="1GAPara"/>
        <w:numPr>
          <w:ilvl w:val="0"/>
          <w:numId w:val="3"/>
        </w:numPr>
        <w:ind w:left="567" w:hanging="567"/>
        <w:jc w:val="both"/>
      </w:pPr>
      <w:r w:rsidRPr="00D26003">
        <w:t xml:space="preserve">As a result of these reflections, the Operational Directives were amended in July 2012, establishing the current system that makes it possible </w:t>
      </w:r>
      <w:r w:rsidR="00C77DD8" w:rsidRPr="00D26003">
        <w:t xml:space="preserve">for the Committee </w:t>
      </w:r>
      <w:r w:rsidRPr="00D26003">
        <w:t xml:space="preserve">to adjust the number of files in a given cycle according to </w:t>
      </w:r>
      <w:r w:rsidR="00BD0E35" w:rsidRPr="00D26003">
        <w:t>a</w:t>
      </w:r>
      <w:r w:rsidRPr="00D26003">
        <w:t xml:space="preserve"> ceiling and </w:t>
      </w:r>
      <w:r w:rsidR="00BD0E35" w:rsidRPr="00D26003">
        <w:t>a set of priorities</w:t>
      </w:r>
      <w:r w:rsidRPr="00D26003">
        <w:t>, while recognizing the prerogative of States Parties to submit any number of files for a given cycle.</w:t>
      </w:r>
    </w:p>
    <w:p w14:paraId="6B695A39" w14:textId="20BA5770" w:rsidR="00C1289D" w:rsidRPr="00D26003" w:rsidRDefault="00C1289D" w:rsidP="00C1289D">
      <w:pPr>
        <w:pStyle w:val="1GAPara"/>
        <w:numPr>
          <w:ilvl w:val="0"/>
          <w:numId w:val="3"/>
        </w:numPr>
        <w:ind w:left="567" w:hanging="567"/>
        <w:jc w:val="both"/>
        <w:rPr>
          <w:color w:val="000000"/>
        </w:rPr>
      </w:pPr>
      <w:r w:rsidRPr="00D26003">
        <w:rPr>
          <w:color w:val="000000"/>
        </w:rPr>
        <w:t>A</w:t>
      </w:r>
      <w:r w:rsidR="00C71A77" w:rsidRPr="00D26003">
        <w:rPr>
          <w:color w:val="000000"/>
        </w:rPr>
        <w:t xml:space="preserve"> </w:t>
      </w:r>
      <w:r w:rsidRPr="00D26003">
        <w:rPr>
          <w:color w:val="000000"/>
        </w:rPr>
        <w:t xml:space="preserve">list of nominations </w:t>
      </w:r>
      <w:r w:rsidR="00C71A77" w:rsidRPr="00D26003">
        <w:rPr>
          <w:color w:val="000000"/>
        </w:rPr>
        <w:t>to be treated in a</w:t>
      </w:r>
      <w:r w:rsidRPr="00D26003">
        <w:rPr>
          <w:color w:val="000000"/>
        </w:rPr>
        <w:t xml:space="preserve"> given cycle is established bas</w:t>
      </w:r>
      <w:r w:rsidR="00C71A77" w:rsidRPr="00D26003">
        <w:rPr>
          <w:color w:val="000000"/>
        </w:rPr>
        <w:t>ed</w:t>
      </w:r>
      <w:r w:rsidRPr="00D26003">
        <w:rPr>
          <w:color w:val="000000"/>
        </w:rPr>
        <w:t xml:space="preserve"> </w:t>
      </w:r>
      <w:r w:rsidR="00C71A77" w:rsidRPr="00D26003">
        <w:rPr>
          <w:color w:val="000000"/>
        </w:rPr>
        <w:t>on</w:t>
      </w:r>
      <w:r w:rsidRPr="00D26003">
        <w:rPr>
          <w:color w:val="000000"/>
        </w:rPr>
        <w:t xml:space="preserve"> the following general </w:t>
      </w:r>
      <w:r w:rsidRPr="00D26003">
        <w:t>principles</w:t>
      </w:r>
      <w:r w:rsidRPr="00D26003">
        <w:rPr>
          <w:color w:val="000000"/>
        </w:rPr>
        <w:t>:</w:t>
      </w:r>
    </w:p>
    <w:p w14:paraId="43B71DAA" w14:textId="03BD2C4B" w:rsidR="00C1289D" w:rsidRPr="00D26003" w:rsidRDefault="00C1289D" w:rsidP="00C1289D">
      <w:pPr>
        <w:pStyle w:val="1GAPara"/>
        <w:numPr>
          <w:ilvl w:val="0"/>
          <w:numId w:val="0"/>
        </w:numPr>
        <w:ind w:left="567"/>
        <w:jc w:val="both"/>
      </w:pPr>
      <w:r w:rsidRPr="00D26003">
        <w:rPr>
          <w:b/>
        </w:rPr>
        <w:t>a. Annual overall ceiling</w:t>
      </w:r>
      <w:r w:rsidRPr="00D26003">
        <w:t xml:space="preserve">: </w:t>
      </w:r>
      <w:r w:rsidR="00DF06A3" w:rsidRPr="00D26003">
        <w:t>S</w:t>
      </w:r>
      <w:r w:rsidR="00BD0E35" w:rsidRPr="00D26003">
        <w:t>ince 2012</w:t>
      </w:r>
      <w:r w:rsidR="00DF06A3" w:rsidRPr="00D26003">
        <w:t>,</w:t>
      </w:r>
      <w:r w:rsidR="00BD0E35" w:rsidRPr="00D26003">
        <w:t xml:space="preserve"> </w:t>
      </w:r>
      <w:r w:rsidR="00DF06A3" w:rsidRPr="00D26003">
        <w:t xml:space="preserve">the Committee </w:t>
      </w:r>
      <w:r w:rsidRPr="00D26003">
        <w:t>has been determining the number of nominations to the four above-mentioned mechanisms that it can treat for the two following sessions, as indicated in paragraph 33 of the Operational Directives.</w:t>
      </w:r>
    </w:p>
    <w:p w14:paraId="62F9DE65" w14:textId="625200C8" w:rsidR="00C1289D" w:rsidRPr="00D26003" w:rsidRDefault="00C1289D" w:rsidP="00C1289D">
      <w:pPr>
        <w:pStyle w:val="1GAPara"/>
        <w:numPr>
          <w:ilvl w:val="0"/>
          <w:numId w:val="0"/>
        </w:numPr>
        <w:ind w:left="567"/>
        <w:jc w:val="both"/>
      </w:pPr>
      <w:r w:rsidRPr="00D26003">
        <w:rPr>
          <w:b/>
          <w:color w:val="000000"/>
        </w:rPr>
        <w:t>b. Priorities</w:t>
      </w:r>
      <w:r w:rsidRPr="00D26003">
        <w:rPr>
          <w:color w:val="000000"/>
        </w:rPr>
        <w:t xml:space="preserve">: </w:t>
      </w:r>
      <w:r w:rsidR="00BD0E35" w:rsidRPr="00D26003">
        <w:rPr>
          <w:color w:val="000000"/>
        </w:rPr>
        <w:t xml:space="preserve">When more files were offered than the number established as the overall </w:t>
      </w:r>
      <w:r w:rsidRPr="00D26003">
        <w:rPr>
          <w:color w:val="000000"/>
        </w:rPr>
        <w:t xml:space="preserve">annual ceiling, the Committee has </w:t>
      </w:r>
      <w:r w:rsidR="00447273" w:rsidRPr="00D26003">
        <w:rPr>
          <w:color w:val="000000"/>
        </w:rPr>
        <w:t>endeavoured</w:t>
      </w:r>
      <w:r w:rsidRPr="00D26003">
        <w:rPr>
          <w:color w:val="000000"/>
        </w:rPr>
        <w:t xml:space="preserve">, since 2012, to </w:t>
      </w:r>
      <w:r w:rsidR="00BD0E35" w:rsidRPr="00D26003">
        <w:rPr>
          <w:color w:val="000000"/>
        </w:rPr>
        <w:t xml:space="preserve">follow the priorities </w:t>
      </w:r>
      <w:r w:rsidRPr="00D26003">
        <w:rPr>
          <w:color w:val="000000"/>
        </w:rPr>
        <w:t xml:space="preserve">as defined in paragraph 34 of the Operational Directives. In addition, </w:t>
      </w:r>
      <w:r w:rsidR="00DF06A3" w:rsidRPr="00D26003">
        <w:rPr>
          <w:color w:val="000000"/>
        </w:rPr>
        <w:t xml:space="preserve">in 2014 </w:t>
      </w:r>
      <w:r w:rsidRPr="00D26003">
        <w:rPr>
          <w:color w:val="000000"/>
        </w:rPr>
        <w:t xml:space="preserve">the </w:t>
      </w:r>
      <w:r w:rsidR="00066054" w:rsidRPr="00D26003">
        <w:rPr>
          <w:color w:val="000000"/>
        </w:rPr>
        <w:t xml:space="preserve">ninth session of the </w:t>
      </w:r>
      <w:r w:rsidRPr="00875375">
        <w:rPr>
          <w:color w:val="000000"/>
        </w:rPr>
        <w:t xml:space="preserve">Committee </w:t>
      </w:r>
      <w:r w:rsidR="00BD0E35" w:rsidRPr="00875375">
        <w:rPr>
          <w:color w:val="000000"/>
        </w:rPr>
        <w:t xml:space="preserve">decided </w:t>
      </w:r>
      <w:r w:rsidRPr="00875375">
        <w:rPr>
          <w:color w:val="000000"/>
        </w:rPr>
        <w:t>for 201</w:t>
      </w:r>
      <w:r w:rsidR="00875375" w:rsidRPr="00875375">
        <w:rPr>
          <w:color w:val="000000"/>
        </w:rPr>
        <w:t>6</w:t>
      </w:r>
      <w:r w:rsidRPr="00875375">
        <w:t>–</w:t>
      </w:r>
      <w:r w:rsidRPr="00875375">
        <w:rPr>
          <w:color w:val="000000"/>
        </w:rPr>
        <w:t>201</w:t>
      </w:r>
      <w:r w:rsidR="00875375" w:rsidRPr="00875375">
        <w:rPr>
          <w:color w:val="000000"/>
        </w:rPr>
        <w:t>7</w:t>
      </w:r>
      <w:r w:rsidRPr="00875375">
        <w:rPr>
          <w:color w:val="000000"/>
        </w:rPr>
        <w:t xml:space="preserve"> that </w:t>
      </w:r>
      <w:r w:rsidRPr="00875375">
        <w:t>at least one file per submitting State should be processed over a two-year period which has become known</w:t>
      </w:r>
      <w:r w:rsidRPr="00D26003">
        <w:t xml:space="preserve"> as ‘priority (0)’</w:t>
      </w:r>
      <w:r w:rsidR="00BD0E35" w:rsidRPr="00D26003">
        <w:t xml:space="preserve">; this decision has been renewed every two years </w:t>
      </w:r>
      <w:r w:rsidR="005C041C" w:rsidRPr="00D26003">
        <w:t>to date</w:t>
      </w:r>
      <w:r w:rsidR="001A26F1" w:rsidRPr="00D26003">
        <w:rPr>
          <w:rStyle w:val="Appelnotedebasdep"/>
        </w:rPr>
        <w:footnoteReference w:id="5"/>
      </w:r>
      <w:r w:rsidR="007C72B0" w:rsidRPr="00D26003">
        <w:t>.</w:t>
      </w:r>
      <w:r w:rsidR="005A56DF" w:rsidRPr="00D26003">
        <w:rPr>
          <w:color w:val="000000"/>
        </w:rPr>
        <w:t xml:space="preserve"> In summary, the files are treated according to the following order of priority</w:t>
      </w:r>
      <w:r w:rsidR="005C041C" w:rsidRPr="00D26003">
        <w:rPr>
          <w:color w:val="000000"/>
        </w:rPr>
        <w:t>:</w:t>
      </w:r>
    </w:p>
    <w:tbl>
      <w:tblPr>
        <w:tblStyle w:val="Grilledutableau"/>
        <w:tblW w:w="0" w:type="auto"/>
        <w:tblInd w:w="567" w:type="dxa"/>
        <w:tblLook w:val="04A0" w:firstRow="1" w:lastRow="0" w:firstColumn="1" w:lastColumn="0" w:noHBand="0" w:noVBand="1"/>
      </w:tblPr>
      <w:tblGrid>
        <w:gridCol w:w="9061"/>
      </w:tblGrid>
      <w:tr w:rsidR="00C1289D" w:rsidRPr="00D26003" w14:paraId="1D07FCC3" w14:textId="77777777" w:rsidTr="00C61D37">
        <w:trPr>
          <w:trHeight w:val="2567"/>
        </w:trPr>
        <w:tc>
          <w:tcPr>
            <w:tcW w:w="9061" w:type="dxa"/>
          </w:tcPr>
          <w:p w14:paraId="22A6DBE9" w14:textId="60AE8121" w:rsidR="00C1289D" w:rsidRPr="00D26003" w:rsidRDefault="00C1289D" w:rsidP="00C61D37">
            <w:pPr>
              <w:spacing w:before="120"/>
              <w:jc w:val="both"/>
              <w:rPr>
                <w:rFonts w:ascii="Arial" w:hAnsi="Arial" w:cs="Arial"/>
              </w:rPr>
            </w:pPr>
            <w:r w:rsidRPr="00D26003">
              <w:rPr>
                <w:rFonts w:ascii="Arial" w:hAnsi="Arial" w:cs="Arial"/>
              </w:rPr>
              <w:t xml:space="preserve">(0) </w:t>
            </w:r>
            <w:r w:rsidRPr="00D26003">
              <w:rPr>
                <w:rFonts w:ascii="Arial" w:hAnsi="Arial" w:cs="Arial"/>
              </w:rPr>
              <w:tab/>
              <w:t>files from States which had no file treated during the preceding cycle;</w:t>
            </w:r>
          </w:p>
          <w:p w14:paraId="764F361C" w14:textId="219CAFA6" w:rsidR="00C1289D" w:rsidRPr="00D26003" w:rsidRDefault="00C1289D" w:rsidP="00C61D37">
            <w:pPr>
              <w:spacing w:before="120"/>
              <w:ind w:left="742" w:hanging="742"/>
              <w:jc w:val="both"/>
              <w:rPr>
                <w:rFonts w:ascii="Arial" w:hAnsi="Arial" w:cs="Arial"/>
              </w:rPr>
            </w:pPr>
            <w:r w:rsidRPr="00D26003">
              <w:rPr>
                <w:rFonts w:ascii="Arial" w:hAnsi="Arial" w:cs="Arial"/>
              </w:rPr>
              <w:t>(</w:t>
            </w:r>
            <w:proofErr w:type="spellStart"/>
            <w:r w:rsidRPr="00D26003">
              <w:rPr>
                <w:rFonts w:ascii="Arial" w:hAnsi="Arial" w:cs="Arial"/>
              </w:rPr>
              <w:t>i</w:t>
            </w:r>
            <w:proofErr w:type="spellEnd"/>
            <w:r w:rsidRPr="00D26003">
              <w:rPr>
                <w:rFonts w:ascii="Arial" w:hAnsi="Arial" w:cs="Arial"/>
              </w:rPr>
              <w:t xml:space="preserve">) </w:t>
            </w:r>
            <w:r w:rsidRPr="00D26003">
              <w:rPr>
                <w:rFonts w:ascii="Arial" w:hAnsi="Arial" w:cs="Arial"/>
              </w:rPr>
              <w:tab/>
              <w:t>files from States having no elements inscribed, good safeguarding practices selected or requests for International Assistance greater than US$100,000 approved, as well as nominations to the List of Intangible Cultural Heritage in Need of Urgent Safeguarding;</w:t>
            </w:r>
          </w:p>
          <w:p w14:paraId="57DBD76B" w14:textId="130B32EC" w:rsidR="00C1289D" w:rsidRPr="00D26003" w:rsidRDefault="00C1289D" w:rsidP="00C61D37">
            <w:pPr>
              <w:spacing w:before="120"/>
              <w:jc w:val="both"/>
              <w:rPr>
                <w:rFonts w:ascii="Arial" w:hAnsi="Arial" w:cs="Arial"/>
              </w:rPr>
            </w:pPr>
            <w:r w:rsidRPr="00D26003">
              <w:rPr>
                <w:rFonts w:ascii="Arial" w:hAnsi="Arial" w:cs="Arial"/>
              </w:rPr>
              <w:t xml:space="preserve">(ii) </w:t>
            </w:r>
            <w:r w:rsidRPr="00D26003">
              <w:rPr>
                <w:rFonts w:ascii="Arial" w:hAnsi="Arial" w:cs="Arial"/>
              </w:rPr>
              <w:tab/>
              <w:t>multinational files; and</w:t>
            </w:r>
          </w:p>
          <w:p w14:paraId="4AA0FC9D" w14:textId="2FAD4361" w:rsidR="00C1289D" w:rsidRPr="00D26003" w:rsidRDefault="00C1289D" w:rsidP="00C61D37">
            <w:pPr>
              <w:spacing w:before="120"/>
              <w:ind w:left="742" w:hanging="742"/>
              <w:jc w:val="both"/>
              <w:rPr>
                <w:rFonts w:ascii="Arial" w:hAnsi="Arial" w:cs="Arial"/>
                <w:color w:val="000000"/>
              </w:rPr>
            </w:pPr>
            <w:r w:rsidRPr="00D26003">
              <w:rPr>
                <w:rFonts w:ascii="Arial" w:hAnsi="Arial" w:cs="Arial"/>
              </w:rPr>
              <w:t xml:space="preserve">(iii) </w:t>
            </w:r>
            <w:r w:rsidRPr="00D26003">
              <w:rPr>
                <w:rFonts w:ascii="Arial" w:hAnsi="Arial" w:cs="Arial"/>
              </w:rPr>
              <w:tab/>
              <w:t>files from States with the fewest elements inscribed, good safeguarding practices selected or requests for International Assistance greater than US$100,000 approved, in comparison with other submitting States during the same cycle.</w:t>
            </w:r>
          </w:p>
        </w:tc>
      </w:tr>
    </w:tbl>
    <w:p w14:paraId="7BC70C91" w14:textId="57D1B9C1" w:rsidR="005A56DF" w:rsidRPr="00D26003" w:rsidRDefault="005A56DF" w:rsidP="00187F9D">
      <w:pPr>
        <w:pStyle w:val="1GAPara"/>
        <w:numPr>
          <w:ilvl w:val="0"/>
          <w:numId w:val="0"/>
        </w:numPr>
        <w:spacing w:before="120"/>
        <w:ind w:left="567"/>
        <w:jc w:val="both"/>
      </w:pPr>
      <w:r w:rsidRPr="00D26003">
        <w:rPr>
          <w:b/>
        </w:rPr>
        <w:lastRenderedPageBreak/>
        <w:t>c. Equity</w:t>
      </w:r>
      <w:r w:rsidRPr="00D26003">
        <w:t xml:space="preserve">: In addition, the Committee decided that, for each cycle since 2015, flexibility may be exercised if </w:t>
      </w:r>
      <w:r w:rsidR="00866059" w:rsidRPr="00D26003">
        <w:t>it</w:t>
      </w:r>
      <w:r w:rsidR="00BD0E35" w:rsidRPr="00D26003">
        <w:t xml:space="preserve"> would achieve</w:t>
      </w:r>
      <w:r w:rsidRPr="00D26003">
        <w:t xml:space="preserve"> greater equity among submitting States with equal priority under paragraph 34 of the Operational Directives. In other words, if several States have the same number of inscribed elements</w:t>
      </w:r>
      <w:r w:rsidR="00BD0E35" w:rsidRPr="00D26003">
        <w:t xml:space="preserve"> or selected good practices</w:t>
      </w:r>
      <w:r w:rsidRPr="00D26003">
        <w:t xml:space="preserve">, they will </w:t>
      </w:r>
      <w:r w:rsidRPr="00D26003">
        <w:rPr>
          <w:color w:val="000000"/>
        </w:rPr>
        <w:t>all</w:t>
      </w:r>
      <w:r w:rsidRPr="00D26003">
        <w:t xml:space="preserve"> become priority States, even if the total number of files </w:t>
      </w:r>
      <w:r w:rsidR="00BD0E35" w:rsidRPr="00D26003">
        <w:t xml:space="preserve">would </w:t>
      </w:r>
      <w:r w:rsidRPr="00D26003">
        <w:t xml:space="preserve">exceed </w:t>
      </w:r>
      <w:r w:rsidR="00EB5832" w:rsidRPr="00D26003">
        <w:t>the annual ceiling</w:t>
      </w:r>
      <w:r w:rsidRPr="00D26003">
        <w:t>, as was the case for the 2016 and 2019 cycles.</w:t>
      </w:r>
    </w:p>
    <w:p w14:paraId="490CB0C9" w14:textId="7936722F" w:rsidR="00866657" w:rsidRPr="00D26003" w:rsidRDefault="00AD3E07" w:rsidP="0029674F">
      <w:pPr>
        <w:pStyle w:val="1GAPara"/>
        <w:numPr>
          <w:ilvl w:val="0"/>
          <w:numId w:val="0"/>
        </w:numPr>
        <w:spacing w:before="240"/>
        <w:ind w:left="567" w:hanging="567"/>
        <w:rPr>
          <w:b/>
          <w:bCs/>
        </w:rPr>
      </w:pPr>
      <w:r w:rsidRPr="00D26003">
        <w:rPr>
          <w:b/>
          <w:bCs/>
        </w:rPr>
        <w:t>A</w:t>
      </w:r>
      <w:r w:rsidR="0029674F" w:rsidRPr="00D26003">
        <w:rPr>
          <w:b/>
          <w:bCs/>
        </w:rPr>
        <w:t xml:space="preserve">. </w:t>
      </w:r>
      <w:r w:rsidR="00E63AB5" w:rsidRPr="00D26003">
        <w:rPr>
          <w:b/>
          <w:bCs/>
        </w:rPr>
        <w:tab/>
      </w:r>
      <w:r w:rsidR="00787D60" w:rsidRPr="00D26003">
        <w:rPr>
          <w:b/>
          <w:bCs/>
        </w:rPr>
        <w:t>Reflection topics</w:t>
      </w:r>
    </w:p>
    <w:p w14:paraId="1B4C77DF" w14:textId="0E36177C" w:rsidR="004E4EC7" w:rsidRPr="00D26003" w:rsidRDefault="001D7564" w:rsidP="001433D3">
      <w:pPr>
        <w:pStyle w:val="1GAPara"/>
        <w:numPr>
          <w:ilvl w:val="0"/>
          <w:numId w:val="3"/>
        </w:numPr>
        <w:ind w:left="567" w:hanging="567"/>
        <w:jc w:val="both"/>
      </w:pPr>
      <w:r w:rsidRPr="00D26003">
        <w:rPr>
          <w:color w:val="000000"/>
        </w:rPr>
        <w:t xml:space="preserve">The topics that the working group is asked to consider </w:t>
      </w:r>
      <w:r w:rsidR="001A26F1" w:rsidRPr="00D26003">
        <w:rPr>
          <w:color w:val="000000"/>
        </w:rPr>
        <w:t xml:space="preserve">under Item 10 </w:t>
      </w:r>
      <w:r w:rsidR="00EB5832" w:rsidRPr="00D26003">
        <w:rPr>
          <w:color w:val="000000"/>
        </w:rPr>
        <w:t xml:space="preserve">during its </w:t>
      </w:r>
      <w:r w:rsidR="00866059" w:rsidRPr="00D26003">
        <w:rPr>
          <w:color w:val="000000"/>
        </w:rPr>
        <w:t>P</w:t>
      </w:r>
      <w:r w:rsidR="00EB5832" w:rsidRPr="00D26003">
        <w:rPr>
          <w:color w:val="000000"/>
        </w:rPr>
        <w:t>art III</w:t>
      </w:r>
      <w:r w:rsidR="00866059" w:rsidRPr="00D26003">
        <w:rPr>
          <w:color w:val="000000"/>
        </w:rPr>
        <w:t xml:space="preserve"> meeting</w:t>
      </w:r>
      <w:r w:rsidR="00EB5832" w:rsidRPr="00D26003">
        <w:rPr>
          <w:color w:val="000000"/>
        </w:rPr>
        <w:t xml:space="preserve"> </w:t>
      </w:r>
      <w:r w:rsidR="00AD0B1C" w:rsidRPr="00D26003">
        <w:rPr>
          <w:color w:val="000000"/>
        </w:rPr>
        <w:t>are listed</w:t>
      </w:r>
      <w:r w:rsidR="003A4F7D" w:rsidRPr="00D26003">
        <w:rPr>
          <w:color w:val="000000"/>
        </w:rPr>
        <w:t xml:space="preserve"> below</w:t>
      </w:r>
      <w:r w:rsidR="00A94860" w:rsidRPr="00D26003">
        <w:rPr>
          <w:color w:val="000000"/>
        </w:rPr>
        <w:t>,</w:t>
      </w:r>
      <w:r w:rsidR="003A4F7D" w:rsidRPr="00D26003">
        <w:rPr>
          <w:color w:val="000000"/>
        </w:rPr>
        <w:t xml:space="preserve"> as determined by the sixteenth session of the Committee</w:t>
      </w:r>
      <w:r w:rsidRPr="00D26003">
        <w:rPr>
          <w:color w:val="000000"/>
        </w:rPr>
        <w:t xml:space="preserve"> (</w:t>
      </w:r>
      <w:r w:rsidR="003A4F7D" w:rsidRPr="00D26003">
        <w:rPr>
          <w:color w:val="000000"/>
        </w:rPr>
        <w:t>see</w:t>
      </w:r>
      <w:r w:rsidRPr="00D26003">
        <w:rPr>
          <w:rFonts w:asciiTheme="minorBidi" w:hAnsiTheme="minorBidi" w:cstheme="minorBidi"/>
        </w:rPr>
        <w:t xml:space="preserve"> paragraph 14</w:t>
      </w:r>
      <w:r w:rsidR="005C6FB9" w:rsidRPr="00D26003">
        <w:rPr>
          <w:rFonts w:asciiTheme="minorBidi" w:hAnsiTheme="minorBidi" w:cstheme="minorBidi"/>
        </w:rPr>
        <w:t> </w:t>
      </w:r>
      <w:r w:rsidRPr="00D26003">
        <w:rPr>
          <w:rFonts w:asciiTheme="minorBidi" w:hAnsiTheme="minorBidi" w:cstheme="minorBidi"/>
        </w:rPr>
        <w:t xml:space="preserve">(c) of ‘Ways forward’ in </w:t>
      </w:r>
      <w:r w:rsidR="005C6FB9" w:rsidRPr="00D26003">
        <w:t>Annex I</w:t>
      </w:r>
      <w:r w:rsidRPr="00D26003">
        <w:rPr>
          <w:rFonts w:asciiTheme="minorBidi" w:hAnsiTheme="minorBidi" w:cstheme="minorBidi"/>
        </w:rPr>
        <w:t xml:space="preserve"> of Decision</w:t>
      </w:r>
      <w:r w:rsidR="003B0989" w:rsidRPr="00D26003">
        <w:rPr>
          <w:rFonts w:asciiTheme="minorBidi" w:hAnsiTheme="minorBidi" w:cstheme="minorBidi"/>
        </w:rPr>
        <w:t> </w:t>
      </w:r>
      <w:hyperlink r:id="rId8" w:history="1">
        <w:r w:rsidRPr="00D26003">
          <w:rPr>
            <w:rStyle w:val="Lienhypertexte"/>
            <w:rFonts w:asciiTheme="minorBidi" w:hAnsiTheme="minorBidi" w:cstheme="minorBidi"/>
          </w:rPr>
          <w:t>16.COM 14</w:t>
        </w:r>
      </w:hyperlink>
      <w:r w:rsidRPr="00D26003">
        <w:rPr>
          <w:color w:val="000000"/>
        </w:rPr>
        <w:t>)</w:t>
      </w:r>
      <w:r w:rsidR="004E4EC7" w:rsidRPr="00D26003">
        <w:rPr>
          <w:color w:val="000000"/>
        </w:rPr>
        <w:t>.</w:t>
      </w:r>
      <w:r w:rsidR="004E4EC7" w:rsidRPr="00D26003">
        <w:t xml:space="preserve"> </w:t>
      </w:r>
      <w:r w:rsidR="0046220B" w:rsidRPr="00D26003">
        <w:t xml:space="preserve">It is proposed that the working group focus on Topic 1 as </w:t>
      </w:r>
      <w:r w:rsidR="001B7308" w:rsidRPr="00D26003">
        <w:t>the</w:t>
      </w:r>
      <w:r w:rsidR="0046220B" w:rsidRPr="00D26003">
        <w:t xml:space="preserve"> main subject of discussion</w:t>
      </w:r>
      <w:r w:rsidR="00AD0B1C" w:rsidRPr="00D26003">
        <w:t>,</w:t>
      </w:r>
      <w:r w:rsidR="0046220B" w:rsidRPr="00D26003">
        <w:t xml:space="preserve"> </w:t>
      </w:r>
      <w:r w:rsidR="001B7308" w:rsidRPr="00D26003">
        <w:t>since</w:t>
      </w:r>
      <w:r w:rsidR="0046220B" w:rsidRPr="00D26003">
        <w:t xml:space="preserve"> Topics 2 to 5 </w:t>
      </w:r>
      <w:r w:rsidR="001B7308" w:rsidRPr="00D26003">
        <w:t>may</w:t>
      </w:r>
      <w:r w:rsidR="0046220B" w:rsidRPr="00D26003">
        <w:t xml:space="preserve"> be considered as </w:t>
      </w:r>
      <w:r w:rsidR="00AC4294" w:rsidRPr="00D26003">
        <w:t xml:space="preserve">dependant to the outcome of the discussions on </w:t>
      </w:r>
      <w:r w:rsidR="0046220B" w:rsidRPr="00D26003">
        <w:t>Topic 1.</w:t>
      </w:r>
    </w:p>
    <w:tbl>
      <w:tblPr>
        <w:tblStyle w:val="Grilledutableau"/>
        <w:tblW w:w="0" w:type="auto"/>
        <w:tblInd w:w="567" w:type="dxa"/>
        <w:shd w:val="clear" w:color="auto" w:fill="B6DDE8" w:themeFill="accent5" w:themeFillTint="66"/>
        <w:tblLook w:val="04A0" w:firstRow="1" w:lastRow="0" w:firstColumn="1" w:lastColumn="0" w:noHBand="0" w:noVBand="1"/>
      </w:tblPr>
      <w:tblGrid>
        <w:gridCol w:w="9061"/>
      </w:tblGrid>
      <w:tr w:rsidR="001D7564" w:rsidRPr="00D26003" w14:paraId="38124755" w14:textId="77777777" w:rsidTr="00C61D37">
        <w:tc>
          <w:tcPr>
            <w:tcW w:w="906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14:paraId="6804B681" w14:textId="4E1DFE89" w:rsidR="00572103" w:rsidRPr="00D26003" w:rsidRDefault="00572103" w:rsidP="00C61D37">
            <w:pPr>
              <w:pStyle w:val="Paragraphedeliste"/>
              <w:numPr>
                <w:ilvl w:val="1"/>
                <w:numId w:val="4"/>
              </w:numPr>
              <w:spacing w:before="120"/>
              <w:ind w:left="743" w:hanging="567"/>
              <w:contextualSpacing w:val="0"/>
              <w:jc w:val="both"/>
              <w:rPr>
                <w:rFonts w:asciiTheme="minorBidi" w:hAnsiTheme="minorBidi" w:cstheme="minorBidi"/>
                <w:szCs w:val="22"/>
              </w:rPr>
            </w:pPr>
            <w:r w:rsidRPr="00D26003">
              <w:rPr>
                <w:rFonts w:asciiTheme="minorBidi" w:hAnsiTheme="minorBidi" w:cstheme="minorBidi"/>
                <w:i/>
                <w:iCs/>
                <w:szCs w:val="22"/>
              </w:rPr>
              <w:t xml:space="preserve">(Topic 1) </w:t>
            </w:r>
            <w:r w:rsidRPr="00D26003">
              <w:rPr>
                <w:rFonts w:asciiTheme="minorBidi" w:hAnsiTheme="minorBidi" w:cstheme="minorBidi"/>
                <w:szCs w:val="22"/>
              </w:rPr>
              <w:t>‘Reviewing the adaptability of the composition and the working methods of the Evaluation Body to allow for a higher number of files per cycle</w:t>
            </w:r>
            <w:r w:rsidR="00027E74" w:rsidRPr="00D26003">
              <w:rPr>
                <w:rFonts w:asciiTheme="minorBidi" w:hAnsiTheme="minorBidi" w:cstheme="minorBidi"/>
                <w:szCs w:val="22"/>
              </w:rPr>
              <w:t xml:space="preserve"> to be evaluated</w:t>
            </w:r>
            <w:r w:rsidRPr="00D26003">
              <w:rPr>
                <w:rFonts w:asciiTheme="minorBidi" w:hAnsiTheme="minorBidi" w:cstheme="minorBidi"/>
                <w:szCs w:val="22"/>
              </w:rPr>
              <w:t>, keeping in mind geographical representation’.</w:t>
            </w:r>
          </w:p>
          <w:p w14:paraId="506F7806" w14:textId="22A30024" w:rsidR="00EF0E85" w:rsidRPr="00D26003" w:rsidRDefault="00EF0E85" w:rsidP="00EF0E85">
            <w:pPr>
              <w:pStyle w:val="Paragraphedeliste"/>
              <w:spacing w:before="240"/>
              <w:ind w:left="741"/>
              <w:contextualSpacing w:val="0"/>
              <w:jc w:val="center"/>
              <w:rPr>
                <w:rFonts w:asciiTheme="minorBidi" w:hAnsiTheme="minorBidi" w:cstheme="minorBidi"/>
                <w:szCs w:val="22"/>
              </w:rPr>
            </w:pPr>
            <w:r w:rsidRPr="00D26003">
              <w:rPr>
                <w:rFonts w:asciiTheme="minorBidi" w:hAnsiTheme="minorBidi" w:cstheme="minorBidi"/>
                <w:i/>
                <w:iCs/>
                <w:szCs w:val="22"/>
              </w:rPr>
              <w:t>***</w:t>
            </w:r>
          </w:p>
          <w:p w14:paraId="17DA5DCA" w14:textId="77777777" w:rsidR="00572103" w:rsidRPr="00D26003" w:rsidRDefault="00572103" w:rsidP="001433D3">
            <w:pPr>
              <w:pStyle w:val="Paragraphedeliste"/>
              <w:numPr>
                <w:ilvl w:val="1"/>
                <w:numId w:val="4"/>
              </w:numPr>
              <w:ind w:left="741" w:hanging="567"/>
              <w:contextualSpacing w:val="0"/>
              <w:jc w:val="both"/>
              <w:rPr>
                <w:rFonts w:asciiTheme="minorBidi" w:hAnsiTheme="minorBidi" w:cstheme="minorBidi"/>
                <w:szCs w:val="22"/>
              </w:rPr>
            </w:pPr>
            <w:r w:rsidRPr="00D26003">
              <w:rPr>
                <w:rFonts w:asciiTheme="minorBidi" w:hAnsiTheme="minorBidi" w:cstheme="minorBidi"/>
                <w:i/>
                <w:iCs/>
                <w:szCs w:val="22"/>
              </w:rPr>
              <w:t>(Topic 2)</w:t>
            </w:r>
            <w:r w:rsidRPr="00D26003">
              <w:rPr>
                <w:rFonts w:asciiTheme="minorBidi" w:hAnsiTheme="minorBidi" w:cstheme="minorBidi"/>
                <w:szCs w:val="22"/>
              </w:rPr>
              <w:t xml:space="preserve"> ‘Examining two files per State every three years, alternating between a nomination to the Representative List and the Urgent Safeguarding List or the Register of Good Safeguarding Practices’.</w:t>
            </w:r>
          </w:p>
          <w:p w14:paraId="2F4CC994" w14:textId="77777777" w:rsidR="00572103" w:rsidRPr="00D26003" w:rsidRDefault="00572103" w:rsidP="001433D3">
            <w:pPr>
              <w:pStyle w:val="Paragraphedeliste"/>
              <w:numPr>
                <w:ilvl w:val="1"/>
                <w:numId w:val="4"/>
              </w:numPr>
              <w:ind w:left="741" w:hanging="567"/>
              <w:contextualSpacing w:val="0"/>
              <w:jc w:val="both"/>
              <w:rPr>
                <w:rFonts w:asciiTheme="minorBidi" w:hAnsiTheme="minorBidi" w:cstheme="minorBidi"/>
                <w:szCs w:val="22"/>
              </w:rPr>
            </w:pPr>
            <w:r w:rsidRPr="00D26003">
              <w:rPr>
                <w:rFonts w:asciiTheme="minorBidi" w:hAnsiTheme="minorBidi" w:cstheme="minorBidi"/>
                <w:i/>
                <w:iCs/>
                <w:szCs w:val="22"/>
              </w:rPr>
              <w:t>(Topic 3)</w:t>
            </w:r>
            <w:r w:rsidRPr="00D26003">
              <w:rPr>
                <w:rFonts w:asciiTheme="minorBidi" w:hAnsiTheme="minorBidi" w:cstheme="minorBidi"/>
                <w:szCs w:val="22"/>
              </w:rPr>
              <w:t xml:space="preserve"> ‘Moving all International Assistance requests to the Bureau of the Intergovernmental Committee for the Safeguarding of the Intangible Cultural Heritage’.</w:t>
            </w:r>
          </w:p>
          <w:p w14:paraId="2FDDF946" w14:textId="10FC2A27" w:rsidR="00572103" w:rsidRPr="00D26003" w:rsidRDefault="00572103" w:rsidP="001433D3">
            <w:pPr>
              <w:pStyle w:val="Paragraphedeliste"/>
              <w:numPr>
                <w:ilvl w:val="1"/>
                <w:numId w:val="4"/>
              </w:numPr>
              <w:ind w:left="741" w:hanging="567"/>
              <w:contextualSpacing w:val="0"/>
              <w:jc w:val="both"/>
              <w:rPr>
                <w:rFonts w:asciiTheme="minorBidi" w:hAnsiTheme="minorBidi" w:cstheme="minorBidi"/>
                <w:szCs w:val="22"/>
              </w:rPr>
            </w:pPr>
            <w:r w:rsidRPr="00D26003">
              <w:rPr>
                <w:rFonts w:asciiTheme="minorBidi" w:hAnsiTheme="minorBidi" w:cstheme="minorBidi"/>
                <w:i/>
                <w:iCs/>
                <w:szCs w:val="22"/>
              </w:rPr>
              <w:t>(Topic 4)</w:t>
            </w:r>
            <w:r w:rsidRPr="00D26003">
              <w:rPr>
                <w:rFonts w:asciiTheme="minorBidi" w:hAnsiTheme="minorBidi" w:cstheme="minorBidi"/>
                <w:szCs w:val="22"/>
              </w:rPr>
              <w:t xml:space="preserve"> ‘Whether the transfer requests from the Urgent Safeguarding List to the Representative List be treated as part of the annual ceiling approved by the Committee’.</w:t>
            </w:r>
          </w:p>
          <w:p w14:paraId="13AEE84B" w14:textId="6FBA9DF1" w:rsidR="001D7564" w:rsidRPr="00D26003" w:rsidRDefault="00572103" w:rsidP="001433D3">
            <w:pPr>
              <w:pStyle w:val="Paragraphedeliste"/>
              <w:numPr>
                <w:ilvl w:val="1"/>
                <w:numId w:val="4"/>
              </w:numPr>
              <w:ind w:left="741" w:hanging="567"/>
              <w:jc w:val="both"/>
              <w:rPr>
                <w:rFonts w:asciiTheme="minorBidi" w:hAnsiTheme="minorBidi" w:cstheme="minorBidi"/>
                <w:i/>
                <w:iCs/>
                <w:szCs w:val="22"/>
              </w:rPr>
            </w:pPr>
            <w:r w:rsidRPr="00D26003">
              <w:rPr>
                <w:rFonts w:asciiTheme="minorBidi" w:hAnsiTheme="minorBidi" w:cstheme="minorBidi"/>
                <w:i/>
                <w:iCs/>
                <w:szCs w:val="22"/>
              </w:rPr>
              <w:t>(Topic 5)</w:t>
            </w:r>
            <w:r w:rsidRPr="00D26003">
              <w:rPr>
                <w:rFonts w:asciiTheme="minorBidi" w:hAnsiTheme="minorBidi" w:cstheme="minorBidi"/>
                <w:szCs w:val="22"/>
              </w:rPr>
              <w:t xml:space="preserve"> ‘Whether the requests for extension be treated as part of the annual ceiling of files for examination and the priorities as defined by paragraph 34 of the Operational Directives’</w:t>
            </w:r>
            <w:r w:rsidR="001D7564" w:rsidRPr="00D26003">
              <w:rPr>
                <w:rFonts w:asciiTheme="minorBidi" w:hAnsiTheme="minorBidi" w:cstheme="minorBidi"/>
                <w:szCs w:val="22"/>
              </w:rPr>
              <w:t>.</w:t>
            </w:r>
          </w:p>
        </w:tc>
      </w:tr>
    </w:tbl>
    <w:p w14:paraId="332EDF39" w14:textId="4C2F99B5" w:rsidR="00E54C26" w:rsidRPr="00D26003" w:rsidRDefault="00AD3E07" w:rsidP="00C61D37">
      <w:pPr>
        <w:pStyle w:val="1GAPara"/>
        <w:numPr>
          <w:ilvl w:val="0"/>
          <w:numId w:val="0"/>
        </w:numPr>
        <w:spacing w:before="360"/>
        <w:ind w:left="567" w:hanging="567"/>
        <w:rPr>
          <w:b/>
          <w:bCs/>
        </w:rPr>
      </w:pPr>
      <w:r w:rsidRPr="00D26003">
        <w:rPr>
          <w:b/>
          <w:bCs/>
        </w:rPr>
        <w:t>B</w:t>
      </w:r>
      <w:r w:rsidR="00D67C00" w:rsidRPr="00D26003">
        <w:rPr>
          <w:b/>
          <w:bCs/>
        </w:rPr>
        <w:t>.</w:t>
      </w:r>
      <w:r w:rsidR="00E63AB5" w:rsidRPr="00D26003">
        <w:rPr>
          <w:b/>
          <w:bCs/>
        </w:rPr>
        <w:tab/>
      </w:r>
      <w:r w:rsidR="00891A2D" w:rsidRPr="00D26003">
        <w:rPr>
          <w:b/>
          <w:bCs/>
        </w:rPr>
        <w:t>Problems</w:t>
      </w:r>
      <w:r w:rsidR="00E54C26" w:rsidRPr="00D26003">
        <w:rPr>
          <w:b/>
          <w:bCs/>
        </w:rPr>
        <w:t xml:space="preserve"> related to the c</w:t>
      </w:r>
      <w:r w:rsidR="00D0184F" w:rsidRPr="00D26003">
        <w:rPr>
          <w:b/>
          <w:bCs/>
        </w:rPr>
        <w:t>urrent system</w:t>
      </w:r>
    </w:p>
    <w:p w14:paraId="01D874A8" w14:textId="3C72BE5F" w:rsidR="00D0184F" w:rsidRPr="00D26003" w:rsidRDefault="00D0184F" w:rsidP="001433D3">
      <w:pPr>
        <w:pStyle w:val="1GAPara"/>
        <w:numPr>
          <w:ilvl w:val="0"/>
          <w:numId w:val="3"/>
        </w:numPr>
        <w:ind w:left="567" w:hanging="567"/>
        <w:jc w:val="both"/>
      </w:pPr>
      <w:r w:rsidRPr="00D26003">
        <w:t xml:space="preserve">Inscription on the Lists and </w:t>
      </w:r>
      <w:r w:rsidR="00FC3FF4" w:rsidRPr="00D26003">
        <w:t xml:space="preserve">the </w:t>
      </w:r>
      <w:r w:rsidRPr="00D26003">
        <w:t xml:space="preserve">Register </w:t>
      </w:r>
      <w:r w:rsidR="00714A80" w:rsidRPr="00D26003">
        <w:t>has been taking</w:t>
      </w:r>
      <w:r w:rsidRPr="00D26003">
        <w:t xml:space="preserve"> place under the </w:t>
      </w:r>
      <w:r w:rsidR="00FC3FF4" w:rsidRPr="00D26003">
        <w:t>same</w:t>
      </w:r>
      <w:r w:rsidRPr="00D26003">
        <w:t xml:space="preserve"> </w:t>
      </w:r>
      <w:r w:rsidR="00FC3FF4" w:rsidRPr="00D26003">
        <w:t>condition</w:t>
      </w:r>
      <w:r w:rsidR="00866059" w:rsidRPr="00D26003">
        <w:t>s</w:t>
      </w:r>
      <w:r w:rsidRPr="00D26003">
        <w:t xml:space="preserve"> for over a decade</w:t>
      </w:r>
      <w:r w:rsidR="00714A80" w:rsidRPr="00D26003">
        <w:t>. However,</w:t>
      </w:r>
      <w:r w:rsidRPr="00D26003">
        <w:t xml:space="preserve"> </w:t>
      </w:r>
      <w:r w:rsidR="00337D9F" w:rsidRPr="00D26003">
        <w:t>a trend</w:t>
      </w:r>
      <w:r w:rsidRPr="00D26003">
        <w:t xml:space="preserve"> in recent cycles has </w:t>
      </w:r>
      <w:r w:rsidR="00217EE5" w:rsidRPr="00D26003">
        <w:t xml:space="preserve">put into question the sustainability of </w:t>
      </w:r>
      <w:r w:rsidRPr="00D26003">
        <w:t>the current system (document </w:t>
      </w:r>
      <w:hyperlink r:id="rId9" w:history="1">
        <w:r w:rsidRPr="00D26003">
          <w:rPr>
            <w:rStyle w:val="Lienhypertexte"/>
          </w:rPr>
          <w:t>LHE/20</w:t>
        </w:r>
        <w:r w:rsidR="00D36FD7" w:rsidRPr="00D26003">
          <w:rPr>
            <w:rStyle w:val="Lienhypertexte"/>
          </w:rPr>
          <w:t>/</w:t>
        </w:r>
        <w:r w:rsidRPr="00D26003">
          <w:rPr>
            <w:rStyle w:val="Lienhypertexte"/>
          </w:rPr>
          <w:t>15.COM/9</w:t>
        </w:r>
      </w:hyperlink>
      <w:r w:rsidRPr="00D26003">
        <w:t>)</w:t>
      </w:r>
      <w:r w:rsidR="00E54C26" w:rsidRPr="00D26003">
        <w:t>.</w:t>
      </w:r>
    </w:p>
    <w:p w14:paraId="1281E622" w14:textId="7FF1F655" w:rsidR="00AA7289" w:rsidRPr="00D26003" w:rsidRDefault="00AA7289" w:rsidP="00D36FD7">
      <w:pPr>
        <w:pStyle w:val="1GAPara"/>
        <w:keepNext/>
        <w:numPr>
          <w:ilvl w:val="0"/>
          <w:numId w:val="0"/>
        </w:numPr>
        <w:spacing w:before="240"/>
        <w:ind w:left="567"/>
        <w:jc w:val="both"/>
        <w:rPr>
          <w:u w:val="single"/>
        </w:rPr>
      </w:pPr>
      <w:r w:rsidRPr="00D26003">
        <w:rPr>
          <w:u w:val="single"/>
        </w:rPr>
        <w:t xml:space="preserve">Increasing number of </w:t>
      </w:r>
      <w:r w:rsidR="00A161C5" w:rsidRPr="00D26003">
        <w:rPr>
          <w:u w:val="single"/>
        </w:rPr>
        <w:t xml:space="preserve">national files under the priority (0) category </w:t>
      </w:r>
      <w:r w:rsidR="00BD5947" w:rsidRPr="00D26003">
        <w:rPr>
          <w:u w:val="single"/>
        </w:rPr>
        <w:t>and</w:t>
      </w:r>
      <w:r w:rsidR="00AD0B1C" w:rsidRPr="00D26003">
        <w:rPr>
          <w:u w:val="single"/>
        </w:rPr>
        <w:t xml:space="preserve"> of</w:t>
      </w:r>
      <w:r w:rsidR="00BD5947" w:rsidRPr="00D26003">
        <w:rPr>
          <w:u w:val="single"/>
        </w:rPr>
        <w:t xml:space="preserve"> multinational </w:t>
      </w:r>
      <w:r w:rsidRPr="00D26003">
        <w:rPr>
          <w:u w:val="single"/>
        </w:rPr>
        <w:t>files</w:t>
      </w:r>
    </w:p>
    <w:p w14:paraId="7AD94655" w14:textId="6508F689" w:rsidR="003147AF" w:rsidRPr="00D26003" w:rsidRDefault="00883691" w:rsidP="002A16B2">
      <w:pPr>
        <w:pStyle w:val="1GAPara"/>
        <w:keepNext/>
        <w:numPr>
          <w:ilvl w:val="0"/>
          <w:numId w:val="3"/>
        </w:numPr>
        <w:ind w:left="567" w:hanging="567"/>
        <w:jc w:val="both"/>
        <w:rPr>
          <w:u w:val="single"/>
        </w:rPr>
      </w:pPr>
      <w:r w:rsidRPr="00D26003">
        <w:t xml:space="preserve">In recent years, </w:t>
      </w:r>
      <w:r w:rsidR="00E65AFB" w:rsidRPr="00D26003">
        <w:t xml:space="preserve">an increasing number of national files </w:t>
      </w:r>
      <w:r w:rsidR="00C40EBE" w:rsidRPr="00D26003">
        <w:t>falling under</w:t>
      </w:r>
      <w:r w:rsidR="00E65AFB" w:rsidRPr="00D26003">
        <w:t xml:space="preserve"> </w:t>
      </w:r>
      <w:r w:rsidRPr="00D26003">
        <w:t xml:space="preserve">the </w:t>
      </w:r>
      <w:r w:rsidR="00E65AFB" w:rsidRPr="00D26003">
        <w:t>priority (0)</w:t>
      </w:r>
      <w:r w:rsidRPr="00D26003">
        <w:t xml:space="preserve"> category</w:t>
      </w:r>
      <w:r w:rsidR="00E65AFB" w:rsidRPr="00D26003">
        <w:t xml:space="preserve"> </w:t>
      </w:r>
      <w:r w:rsidR="00217EE5" w:rsidRPr="00D26003">
        <w:t xml:space="preserve">are </w:t>
      </w:r>
      <w:r w:rsidRPr="00D26003">
        <w:t xml:space="preserve">submitted </w:t>
      </w:r>
      <w:r w:rsidR="00E65AFB" w:rsidRPr="00D26003">
        <w:t xml:space="preserve">by </w:t>
      </w:r>
      <w:r w:rsidR="00AD0B1C" w:rsidRPr="00D26003">
        <w:t xml:space="preserve">a </w:t>
      </w:r>
      <w:r w:rsidR="00E65AFB" w:rsidRPr="00D26003">
        <w:t>correspondingly high number of States</w:t>
      </w:r>
      <w:r w:rsidR="00926926" w:rsidRPr="00D26003">
        <w:t xml:space="preserve"> Parties</w:t>
      </w:r>
      <w:r w:rsidR="00E65AFB" w:rsidRPr="00D26003">
        <w:t>. A</w:t>
      </w:r>
      <w:r w:rsidR="003F5061" w:rsidRPr="00D26003">
        <w:t xml:space="preserve"> warning </w:t>
      </w:r>
      <w:r w:rsidR="00AA44C2" w:rsidRPr="00D26003">
        <w:t>was</w:t>
      </w:r>
      <w:r w:rsidR="003F5061" w:rsidRPr="00D26003">
        <w:t xml:space="preserve"> </w:t>
      </w:r>
      <w:r w:rsidR="00AD0B1C" w:rsidRPr="00D26003">
        <w:t xml:space="preserve">raised </w:t>
      </w:r>
      <w:r w:rsidR="00FC3FF4" w:rsidRPr="00D26003">
        <w:t>in 2018 at</w:t>
      </w:r>
      <w:r w:rsidR="00E65AFB" w:rsidRPr="00D26003">
        <w:t xml:space="preserve"> the thirteenth session of the Committee that </w:t>
      </w:r>
      <w:r w:rsidR="003F5061" w:rsidRPr="00D26003">
        <w:t xml:space="preserve">the Convention could face a situation wherein it would be impossible to treat all multinational files </w:t>
      </w:r>
      <w:r w:rsidR="00220276" w:rsidRPr="00D26003">
        <w:t>under</w:t>
      </w:r>
      <w:r w:rsidR="003F5061" w:rsidRPr="00D26003">
        <w:t xml:space="preserve"> </w:t>
      </w:r>
      <w:r w:rsidRPr="00D26003">
        <w:t xml:space="preserve">the priority </w:t>
      </w:r>
      <w:r w:rsidR="003F5061" w:rsidRPr="00D26003">
        <w:t>(ii)</w:t>
      </w:r>
      <w:r w:rsidRPr="00D26003">
        <w:t xml:space="preserve"> category</w:t>
      </w:r>
      <w:r w:rsidR="003F5061" w:rsidRPr="00D26003">
        <w:t xml:space="preserve"> </w:t>
      </w:r>
      <w:r w:rsidR="00E65AFB" w:rsidRPr="00D26003">
        <w:t>(</w:t>
      </w:r>
      <w:r w:rsidR="00AD0B1C" w:rsidRPr="00D26003">
        <w:t xml:space="preserve">see </w:t>
      </w:r>
      <w:r w:rsidR="00E65AFB" w:rsidRPr="00D26003">
        <w:t>do</w:t>
      </w:r>
      <w:r w:rsidR="003F5061" w:rsidRPr="00D26003">
        <w:t>cument </w:t>
      </w:r>
      <w:hyperlink r:id="rId10" w:history="1">
        <w:r w:rsidR="003F5061" w:rsidRPr="00D26003">
          <w:rPr>
            <w:rStyle w:val="Lienhypertexte"/>
          </w:rPr>
          <w:t>ITH/18/13.COM/15</w:t>
        </w:r>
      </w:hyperlink>
      <w:r w:rsidR="00E65AFB" w:rsidRPr="00D26003">
        <w:t xml:space="preserve"> </w:t>
      </w:r>
      <w:r w:rsidR="00AD0B1C" w:rsidRPr="00D26003">
        <w:t>and</w:t>
      </w:r>
      <w:r w:rsidR="00E65AFB" w:rsidRPr="00D26003">
        <w:t xml:space="preserve"> </w:t>
      </w:r>
      <w:hyperlink w:anchor="_Annex_I:_Number" w:history="1">
        <w:r w:rsidR="00E65AFB" w:rsidRPr="00D26003">
          <w:rPr>
            <w:rStyle w:val="Lienhypertexte"/>
          </w:rPr>
          <w:t xml:space="preserve">Annex </w:t>
        </w:r>
        <w:r w:rsidR="00AA44C2" w:rsidRPr="00D26003">
          <w:rPr>
            <w:rStyle w:val="Lienhypertexte"/>
          </w:rPr>
          <w:t>I</w:t>
        </w:r>
      </w:hyperlink>
      <w:r w:rsidR="000C70C5" w:rsidRPr="00D26003">
        <w:t xml:space="preserve"> of the present document</w:t>
      </w:r>
      <w:r w:rsidR="00E65AFB" w:rsidRPr="00D26003">
        <w:t>)</w:t>
      </w:r>
      <w:r w:rsidR="003F5061" w:rsidRPr="00D26003">
        <w:t>. This prediction came true for the 2021 cycle</w:t>
      </w:r>
      <w:r w:rsidR="003147AF" w:rsidRPr="00D26003">
        <w:t>.</w:t>
      </w:r>
    </w:p>
    <w:p w14:paraId="2F3D51EF" w14:textId="10DBA1A1" w:rsidR="00EB3622" w:rsidRPr="00D26003" w:rsidRDefault="00E65AFB" w:rsidP="00C61D37">
      <w:pPr>
        <w:pStyle w:val="COMPara"/>
        <w:numPr>
          <w:ilvl w:val="0"/>
          <w:numId w:val="5"/>
        </w:numPr>
        <w:ind w:left="1134" w:hanging="567"/>
        <w:jc w:val="both"/>
      </w:pPr>
      <w:r w:rsidRPr="00D26003">
        <w:t>For the 2019 cycle</w:t>
      </w:r>
      <w:r w:rsidR="00FB1B89" w:rsidRPr="00D26003">
        <w:t>,</w:t>
      </w:r>
      <w:r w:rsidR="00D0184F" w:rsidRPr="00D26003">
        <w:t xml:space="preserve"> </w:t>
      </w:r>
      <w:r w:rsidRPr="00D26003">
        <w:t xml:space="preserve">there were </w:t>
      </w:r>
      <w:r w:rsidR="00D0184F" w:rsidRPr="00D26003">
        <w:t>thirty-</w:t>
      </w:r>
      <w:r w:rsidR="00203838" w:rsidRPr="00D26003">
        <w:t>eight</w:t>
      </w:r>
      <w:r w:rsidR="00D0184F" w:rsidRPr="00D26003">
        <w:t xml:space="preserve"> files </w:t>
      </w:r>
      <w:r w:rsidRPr="00D26003">
        <w:t xml:space="preserve">under priority (0), </w:t>
      </w:r>
      <w:r w:rsidR="00AD0B1C" w:rsidRPr="00D26003">
        <w:t>representing</w:t>
      </w:r>
      <w:r w:rsidR="00D0184F" w:rsidRPr="00D26003">
        <w:t xml:space="preserve"> </w:t>
      </w:r>
      <w:r w:rsidR="00203838" w:rsidRPr="00D26003">
        <w:t>seventy</w:t>
      </w:r>
      <w:r w:rsidR="00EB3622" w:rsidRPr="00D26003">
        <w:t>-two</w:t>
      </w:r>
      <w:r w:rsidR="00203838" w:rsidRPr="00D26003">
        <w:t xml:space="preserve"> percent of</w:t>
      </w:r>
      <w:r w:rsidR="00D0184F" w:rsidRPr="00D26003">
        <w:t xml:space="preserve"> the files treated; </w:t>
      </w:r>
      <w:r w:rsidR="00EB3622" w:rsidRPr="00D26003">
        <w:t>while all files under priorities (0), (</w:t>
      </w:r>
      <w:proofErr w:type="spellStart"/>
      <w:r w:rsidR="00EB3622" w:rsidRPr="00D26003">
        <w:t>i</w:t>
      </w:r>
      <w:proofErr w:type="spellEnd"/>
      <w:r w:rsidR="00EB3622" w:rsidRPr="00D26003">
        <w:t>) and (ii) could be treated, only five of the twenty files under priority (iii) could be included in the 2019 cycle.</w:t>
      </w:r>
    </w:p>
    <w:p w14:paraId="6D502799" w14:textId="77777777" w:rsidR="00EB3622" w:rsidRPr="00D26003" w:rsidRDefault="00EB3622" w:rsidP="00C61D37">
      <w:pPr>
        <w:pStyle w:val="COMPara"/>
        <w:numPr>
          <w:ilvl w:val="0"/>
          <w:numId w:val="5"/>
        </w:numPr>
        <w:ind w:left="1134" w:hanging="567"/>
        <w:jc w:val="both"/>
      </w:pPr>
      <w:r w:rsidRPr="00D26003">
        <w:t>For the 2020 cycle, the thirty-five files under priority (0) represented sixty-six percent of the files treated; in addition, sixteen multinational files were submitted for this cycle. Therefore, only files under priorities (0), (</w:t>
      </w:r>
      <w:proofErr w:type="spellStart"/>
      <w:r w:rsidRPr="00D26003">
        <w:t>i</w:t>
      </w:r>
      <w:proofErr w:type="spellEnd"/>
      <w:r w:rsidRPr="00D26003">
        <w:t>) and (ii) could be included in the 2020 cycle.</w:t>
      </w:r>
    </w:p>
    <w:p w14:paraId="63A881AD" w14:textId="76D57162" w:rsidR="00D0184F" w:rsidRPr="00D26003" w:rsidRDefault="00D0184F" w:rsidP="00C61D37">
      <w:pPr>
        <w:pStyle w:val="COMPara"/>
        <w:numPr>
          <w:ilvl w:val="0"/>
          <w:numId w:val="5"/>
        </w:numPr>
        <w:ind w:left="1134" w:hanging="567"/>
        <w:jc w:val="both"/>
      </w:pPr>
      <w:r w:rsidRPr="00D26003">
        <w:lastRenderedPageBreak/>
        <w:t xml:space="preserve">For </w:t>
      </w:r>
      <w:r w:rsidR="00AC0D85" w:rsidRPr="00D26003">
        <w:t xml:space="preserve">the </w:t>
      </w:r>
      <w:r w:rsidRPr="00D26003">
        <w:t>2021 cycle</w:t>
      </w:r>
      <w:r w:rsidR="0083532D" w:rsidRPr="00D26003">
        <w:t>,</w:t>
      </w:r>
      <w:r w:rsidRPr="00D26003">
        <w:t xml:space="preserve"> an unusually high number of </w:t>
      </w:r>
      <w:r w:rsidR="006B0F10" w:rsidRPr="00D26003">
        <w:t xml:space="preserve">new </w:t>
      </w:r>
      <w:r w:rsidRPr="00D26003">
        <w:t xml:space="preserve">nomination files </w:t>
      </w:r>
      <w:r w:rsidR="00F32759" w:rsidRPr="00D26003">
        <w:t>(</w:t>
      </w:r>
      <w:r w:rsidR="00EB3622" w:rsidRPr="00D26003">
        <w:t>70</w:t>
      </w:r>
      <w:r w:rsidR="00F32759" w:rsidRPr="00D26003">
        <w:t xml:space="preserve">) </w:t>
      </w:r>
      <w:r w:rsidR="00C23052" w:rsidRPr="00D26003">
        <w:t xml:space="preserve">were </w:t>
      </w:r>
      <w:r w:rsidRPr="00D26003">
        <w:t>received from a higher-than-normal number of submitting States (</w:t>
      </w:r>
      <w:r w:rsidR="00EB3622" w:rsidRPr="00D26003">
        <w:t>81</w:t>
      </w:r>
      <w:r w:rsidRPr="00D26003">
        <w:t xml:space="preserve">). </w:t>
      </w:r>
      <w:r w:rsidR="00AA44C2" w:rsidRPr="00D26003">
        <w:t>T</w:t>
      </w:r>
      <w:r w:rsidRPr="00D26003">
        <w:t xml:space="preserve">he number of national files under priority (0) alone </w:t>
      </w:r>
      <w:r w:rsidR="00DA76E9" w:rsidRPr="00D26003">
        <w:t xml:space="preserve">(53 files) </w:t>
      </w:r>
      <w:r w:rsidRPr="00D26003">
        <w:t>exceed</w:t>
      </w:r>
      <w:r w:rsidR="00AA44C2" w:rsidRPr="00D26003">
        <w:t>ed</w:t>
      </w:r>
      <w:r w:rsidRPr="00D26003">
        <w:t xml:space="preserve"> the annual ceiling of fifty nominations set for that cycle</w:t>
      </w:r>
      <w:r w:rsidR="00AD0B1C" w:rsidRPr="00D26003">
        <w:t xml:space="preserve">, </w:t>
      </w:r>
      <w:r w:rsidR="00C23052" w:rsidRPr="00D26003">
        <w:t xml:space="preserve">and therefore </w:t>
      </w:r>
      <w:r w:rsidRPr="00D26003">
        <w:t>all the files falling under other categories</w:t>
      </w:r>
      <w:r w:rsidR="00AD0B1C" w:rsidRPr="00D26003">
        <w:t xml:space="preserve">, including sixteen multinational files, </w:t>
      </w:r>
      <w:r w:rsidRPr="00D26003">
        <w:t xml:space="preserve">would not </w:t>
      </w:r>
      <w:r w:rsidR="0018541D" w:rsidRPr="00D26003">
        <w:t xml:space="preserve">have </w:t>
      </w:r>
      <w:r w:rsidRPr="00D26003">
        <w:t>be</w:t>
      </w:r>
      <w:r w:rsidR="0018541D" w:rsidRPr="00D26003">
        <w:t>en</w:t>
      </w:r>
      <w:r w:rsidRPr="00D26003">
        <w:t xml:space="preserve"> considered.</w:t>
      </w:r>
      <w:r w:rsidR="00A52B94" w:rsidRPr="00D26003">
        <w:t xml:space="preserve"> </w:t>
      </w:r>
      <w:r w:rsidR="00AA44C2" w:rsidRPr="00D26003">
        <w:t>In the end</w:t>
      </w:r>
      <w:r w:rsidR="0018541D" w:rsidRPr="00D26003">
        <w:t>,</w:t>
      </w:r>
      <w:r w:rsidR="00AA44C2" w:rsidRPr="00D26003">
        <w:t xml:space="preserve"> t</w:t>
      </w:r>
      <w:r w:rsidR="00A52B94" w:rsidRPr="00D26003">
        <w:t xml:space="preserve">he Secretariat decided to include </w:t>
      </w:r>
      <w:r w:rsidRPr="00D26003">
        <w:rPr>
          <w:u w:val="single"/>
        </w:rPr>
        <w:t>sixty files</w:t>
      </w:r>
      <w:r w:rsidRPr="00D26003">
        <w:t xml:space="preserve"> in the 2021 cycle</w:t>
      </w:r>
      <w:r w:rsidR="00AA44C2" w:rsidRPr="00D26003">
        <w:t xml:space="preserve"> </w:t>
      </w:r>
      <w:r w:rsidR="003C3CEC" w:rsidRPr="00D26003">
        <w:t>by treating national files from submitting States with no elements inscribed</w:t>
      </w:r>
      <w:r w:rsidR="0018541D" w:rsidRPr="00D26003">
        <w:t>,</w:t>
      </w:r>
      <w:r w:rsidR="003C3CEC" w:rsidRPr="00D26003">
        <w:t xml:space="preserve"> nominations to the Urgent Safeguarding List under priority (</w:t>
      </w:r>
      <w:proofErr w:type="spellStart"/>
      <w:r w:rsidR="003C3CEC" w:rsidRPr="00D26003">
        <w:t>i</w:t>
      </w:r>
      <w:proofErr w:type="spellEnd"/>
      <w:r w:rsidR="003C3CEC" w:rsidRPr="00D26003">
        <w:t xml:space="preserve">), </w:t>
      </w:r>
      <w:r w:rsidR="0018541D" w:rsidRPr="00D26003">
        <w:t xml:space="preserve">and part of the </w:t>
      </w:r>
      <w:r w:rsidR="003C3CEC" w:rsidRPr="00D26003">
        <w:t xml:space="preserve">multinational files under priority (ii), giving priority to </w:t>
      </w:r>
      <w:r w:rsidR="00217EE5" w:rsidRPr="00D26003">
        <w:t xml:space="preserve">those multinational </w:t>
      </w:r>
      <w:r w:rsidR="003C3CEC" w:rsidRPr="00D26003">
        <w:t xml:space="preserve">files </w:t>
      </w:r>
      <w:r w:rsidR="00217EE5" w:rsidRPr="00D26003">
        <w:t xml:space="preserve">which included </w:t>
      </w:r>
      <w:r w:rsidR="00926926" w:rsidRPr="00D26003">
        <w:t xml:space="preserve">submitting </w:t>
      </w:r>
      <w:r w:rsidR="003C3CEC" w:rsidRPr="00D26003">
        <w:t>States with no</w:t>
      </w:r>
      <w:r w:rsidR="00217EE5" w:rsidRPr="00D26003">
        <w:t xml:space="preserve"> </w:t>
      </w:r>
      <w:r w:rsidR="003C3CEC" w:rsidRPr="00D26003">
        <w:t>elements inscribed</w:t>
      </w:r>
      <w:r w:rsidRPr="00D26003">
        <w:t>.</w:t>
      </w:r>
      <w:r w:rsidR="002D1F8A" w:rsidRPr="00D26003">
        <w:t xml:space="preserve"> Even with this effort, eleven multinational files could not be treated under </w:t>
      </w:r>
      <w:r w:rsidR="00217EE5" w:rsidRPr="00D26003">
        <w:t xml:space="preserve">that </w:t>
      </w:r>
      <w:r w:rsidR="002D1F8A" w:rsidRPr="00D26003">
        <w:t>cycle.</w:t>
      </w:r>
    </w:p>
    <w:p w14:paraId="20817939" w14:textId="700C49B2" w:rsidR="00D0184F" w:rsidRPr="00D26003" w:rsidRDefault="00A52B94" w:rsidP="00C61D37">
      <w:pPr>
        <w:pStyle w:val="1GAPara"/>
        <w:numPr>
          <w:ilvl w:val="0"/>
          <w:numId w:val="5"/>
        </w:numPr>
        <w:shd w:val="clear" w:color="auto" w:fill="FFFFFF"/>
        <w:spacing w:after="150"/>
        <w:ind w:left="1134" w:hanging="567"/>
        <w:jc w:val="both"/>
        <w:rPr>
          <w:color w:val="414042"/>
          <w:sz w:val="21"/>
          <w:szCs w:val="21"/>
        </w:rPr>
      </w:pPr>
      <w:r w:rsidRPr="00D26003">
        <w:t>For the 2022 cycle, once again a high</w:t>
      </w:r>
      <w:r w:rsidR="001E390D" w:rsidRPr="00D26003">
        <w:t xml:space="preserve"> </w:t>
      </w:r>
      <w:r w:rsidRPr="00D26003">
        <w:t xml:space="preserve">number of </w:t>
      </w:r>
      <w:r w:rsidR="006B0F10" w:rsidRPr="00D26003">
        <w:t xml:space="preserve">new </w:t>
      </w:r>
      <w:r w:rsidRPr="00D26003">
        <w:t xml:space="preserve">nomination files </w:t>
      </w:r>
      <w:r w:rsidR="00F32759" w:rsidRPr="00D26003">
        <w:t>(</w:t>
      </w:r>
      <w:r w:rsidR="00EB3622" w:rsidRPr="00D26003">
        <w:t>60</w:t>
      </w:r>
      <w:r w:rsidR="00F32759" w:rsidRPr="00D26003">
        <w:t xml:space="preserve">) </w:t>
      </w:r>
      <w:r w:rsidR="00C23052" w:rsidRPr="00D26003">
        <w:t>were</w:t>
      </w:r>
      <w:r w:rsidRPr="00D26003">
        <w:t xml:space="preserve"> received from a high number of submitting States (</w:t>
      </w:r>
      <w:r w:rsidR="00EB3622" w:rsidRPr="00D26003">
        <w:t>64</w:t>
      </w:r>
      <w:r w:rsidRPr="00D26003">
        <w:t xml:space="preserve">). </w:t>
      </w:r>
      <w:r w:rsidR="00D0184F" w:rsidRPr="00D26003">
        <w:t xml:space="preserve">Following the same approach </w:t>
      </w:r>
      <w:r w:rsidR="0018541D" w:rsidRPr="00D26003">
        <w:t xml:space="preserve">as </w:t>
      </w:r>
      <w:r w:rsidR="00D0184F" w:rsidRPr="00D26003">
        <w:t>for the 2021 cycle,</w:t>
      </w:r>
      <w:r w:rsidR="001E390D" w:rsidRPr="00D26003">
        <w:t xml:space="preserve"> </w:t>
      </w:r>
      <w:r w:rsidR="00277F70" w:rsidRPr="00D26003">
        <w:t xml:space="preserve">a list with </w:t>
      </w:r>
      <w:r w:rsidR="00870C95" w:rsidRPr="00D26003">
        <w:rPr>
          <w:u w:val="single"/>
        </w:rPr>
        <w:t xml:space="preserve">fifty-nine </w:t>
      </w:r>
      <w:r w:rsidR="00277F70" w:rsidRPr="00D26003">
        <w:rPr>
          <w:u w:val="single"/>
        </w:rPr>
        <w:t>files</w:t>
      </w:r>
      <w:r w:rsidR="00277F70" w:rsidRPr="00D26003">
        <w:t xml:space="preserve"> was established</w:t>
      </w:r>
      <w:r w:rsidR="00140D6D" w:rsidRPr="00D26003">
        <w:t xml:space="preserve"> (while the request by the Committee was to treat ‘at least fifty-five’ files)</w:t>
      </w:r>
      <w:r w:rsidR="00761940" w:rsidRPr="00D26003">
        <w:t>, includ</w:t>
      </w:r>
      <w:r w:rsidR="006E1DA6" w:rsidRPr="00D26003">
        <w:t>ing</w:t>
      </w:r>
      <w:r w:rsidR="00761940" w:rsidRPr="00D26003">
        <w:t xml:space="preserve"> </w:t>
      </w:r>
      <w:r w:rsidR="008C06D5" w:rsidRPr="00D26003">
        <w:t>nineteen</w:t>
      </w:r>
      <w:r w:rsidR="00761940" w:rsidRPr="00D26003">
        <w:t xml:space="preserve"> multinational files</w:t>
      </w:r>
      <w:r w:rsidR="00277F70" w:rsidRPr="00D26003">
        <w:t>.</w:t>
      </w:r>
      <w:r w:rsidR="002B1C5B" w:rsidRPr="00D26003">
        <w:t xml:space="preserve"> Once again not all multinational files submitted for this cycle could be treated</w:t>
      </w:r>
      <w:r w:rsidR="00F769EE" w:rsidRPr="00D26003">
        <w:t>, however,</w:t>
      </w:r>
      <w:r w:rsidR="002B1C5B" w:rsidRPr="00D26003">
        <w:t xml:space="preserve"> and four multinational files </w:t>
      </w:r>
      <w:r w:rsidR="001B7BE0" w:rsidRPr="00D26003">
        <w:t>were</w:t>
      </w:r>
      <w:r w:rsidR="002B1C5B" w:rsidRPr="00D26003">
        <w:t xml:space="preserve"> brought forward for the following cycle.</w:t>
      </w:r>
    </w:p>
    <w:p w14:paraId="7F23F6EC" w14:textId="2B501571" w:rsidR="00C240A3" w:rsidRPr="00D26003" w:rsidRDefault="00511701" w:rsidP="00C61D37">
      <w:pPr>
        <w:pStyle w:val="1GAPara"/>
        <w:keepNext/>
        <w:numPr>
          <w:ilvl w:val="0"/>
          <w:numId w:val="0"/>
        </w:numPr>
        <w:shd w:val="clear" w:color="auto" w:fill="FFFFFF"/>
        <w:spacing w:after="150"/>
        <w:ind w:left="720" w:hanging="153"/>
        <w:jc w:val="both"/>
        <w:rPr>
          <w:u w:val="single"/>
        </w:rPr>
      </w:pPr>
      <w:r w:rsidRPr="00D26003">
        <w:rPr>
          <w:u w:val="single"/>
        </w:rPr>
        <w:t>Backlog files</w:t>
      </w:r>
    </w:p>
    <w:p w14:paraId="4A2CE2A0" w14:textId="5D79311A" w:rsidR="001379DA" w:rsidRPr="00D26003" w:rsidRDefault="001379DA" w:rsidP="00330005">
      <w:pPr>
        <w:pStyle w:val="1GAPara"/>
        <w:numPr>
          <w:ilvl w:val="0"/>
          <w:numId w:val="3"/>
        </w:numPr>
        <w:ind w:left="567" w:hanging="567"/>
        <w:jc w:val="both"/>
      </w:pPr>
      <w:r w:rsidRPr="00D26003">
        <w:t xml:space="preserve">Files that could not be treated due to the annual ceiling and the priority system are called ‘backlog’ files and stay in the </w:t>
      </w:r>
      <w:r w:rsidR="00CE3D53" w:rsidRPr="00D26003">
        <w:t>pipeline</w:t>
      </w:r>
      <w:r w:rsidRPr="00D26003">
        <w:t xml:space="preserve">. When priority (0) applies to a State, that State is asked if it wishes one of its backlog files to be considered for the upcoming cycle regardless of a newly submitted file. If the State in question choses a backlog file, after a technical completeness check/assessment by the Secretariat, </w:t>
      </w:r>
      <w:r w:rsidR="00F40D1D" w:rsidRPr="00D26003">
        <w:t xml:space="preserve">the State is given </w:t>
      </w:r>
      <w:r w:rsidRPr="00D26003">
        <w:t>a chance to update th</w:t>
      </w:r>
      <w:r w:rsidR="00F40D1D" w:rsidRPr="00D26003">
        <w:t>e</w:t>
      </w:r>
      <w:r w:rsidRPr="00D26003">
        <w:t xml:space="preserve"> file before it is passed on to the Evaluation Body. As shown in Table </w:t>
      </w:r>
      <w:r w:rsidR="00024D0B" w:rsidRPr="00D26003">
        <w:t xml:space="preserve">1 </w:t>
      </w:r>
      <w:r w:rsidR="00FC66AF" w:rsidRPr="00D26003">
        <w:t xml:space="preserve">(summary) </w:t>
      </w:r>
      <w:r w:rsidR="00CD4335" w:rsidRPr="00D26003">
        <w:t xml:space="preserve">and </w:t>
      </w:r>
      <w:hyperlink w:anchor="Annex2" w:history="1">
        <w:r w:rsidR="00CD4335" w:rsidRPr="00D26003">
          <w:rPr>
            <w:rStyle w:val="Lienhypertexte"/>
          </w:rPr>
          <w:t>Annex</w:t>
        </w:r>
        <w:r w:rsidR="009A522D" w:rsidRPr="00D26003">
          <w:rPr>
            <w:rStyle w:val="Lienhypertexte"/>
          </w:rPr>
          <w:t> II</w:t>
        </w:r>
      </w:hyperlink>
      <w:r w:rsidR="00FC66AF" w:rsidRPr="00D26003">
        <w:t xml:space="preserve"> (country-based information)</w:t>
      </w:r>
      <w:r w:rsidRPr="00D26003">
        <w:t>, the number of backlog files (currently 129 in total</w:t>
      </w:r>
      <w:r w:rsidR="00C37E96" w:rsidRPr="00D26003">
        <w:t xml:space="preserve"> – as at the end of the sixteenth session of the Committee in 2021</w:t>
      </w:r>
      <w:r w:rsidRPr="00D26003">
        <w:t>) are distributed unevenly over electoral groups</w:t>
      </w:r>
      <w:r w:rsidR="00F40D1D" w:rsidRPr="00D26003">
        <w:t>,</w:t>
      </w:r>
      <w:r w:rsidRPr="00D26003">
        <w:t xml:space="preserve"> with the highest proportion (</w:t>
      </w:r>
      <w:r w:rsidR="00420F46" w:rsidRPr="00D26003">
        <w:t>57</w:t>
      </w:r>
      <w:r w:rsidR="00EB2942" w:rsidRPr="00D26003">
        <w:t>.4</w:t>
      </w:r>
      <w:r w:rsidRPr="00D26003">
        <w:t>%) being found in Group IV.</w:t>
      </w:r>
      <w:r w:rsidR="00217EE5" w:rsidRPr="00D26003">
        <w:t xml:space="preserve"> An even closer analysis reveals that </w:t>
      </w:r>
      <w:r w:rsidR="009B0BDF" w:rsidRPr="00D26003">
        <w:t>three</w:t>
      </w:r>
      <w:r w:rsidR="00217EE5" w:rsidRPr="00D26003">
        <w:t xml:space="preserve"> </w:t>
      </w:r>
      <w:r w:rsidR="009B0BDF" w:rsidRPr="00D26003">
        <w:t>S</w:t>
      </w:r>
      <w:r w:rsidR="00217EE5" w:rsidRPr="00D26003">
        <w:t>tates</w:t>
      </w:r>
      <w:r w:rsidR="00926926" w:rsidRPr="00D26003">
        <w:t xml:space="preserve"> Parties</w:t>
      </w:r>
      <w:r w:rsidR="00217EE5" w:rsidRPr="00D26003">
        <w:t xml:space="preserve"> in </w:t>
      </w:r>
      <w:r w:rsidR="009B0BDF" w:rsidRPr="00D26003">
        <w:t>G</w:t>
      </w:r>
      <w:r w:rsidR="00217EE5" w:rsidRPr="00D26003">
        <w:t xml:space="preserve">roup </w:t>
      </w:r>
      <w:r w:rsidR="00AE21CB" w:rsidRPr="00D26003">
        <w:t>I</w:t>
      </w:r>
      <w:r w:rsidR="00217EE5" w:rsidRPr="00D26003">
        <w:t>V</w:t>
      </w:r>
      <w:r w:rsidR="00315971" w:rsidRPr="00D26003">
        <w:t xml:space="preserve"> have </w:t>
      </w:r>
      <w:r w:rsidR="00A2495E" w:rsidRPr="00D26003">
        <w:t>fifty-seven</w:t>
      </w:r>
      <w:r w:rsidR="00315971" w:rsidRPr="00D26003">
        <w:t xml:space="preserve"> files in the backlog</w:t>
      </w:r>
      <w:r w:rsidR="00217EE5" w:rsidRPr="00D26003">
        <w:t>, account</w:t>
      </w:r>
      <w:r w:rsidR="00315971" w:rsidRPr="00D26003">
        <w:t>ing for</w:t>
      </w:r>
      <w:r w:rsidR="00217EE5" w:rsidRPr="00D26003">
        <w:t xml:space="preserve"> </w:t>
      </w:r>
      <w:r w:rsidR="00216558" w:rsidRPr="00D26003">
        <w:t>44.2</w:t>
      </w:r>
      <w:r w:rsidR="00217EE5" w:rsidRPr="00D26003">
        <w:t>% of all backlog files</w:t>
      </w:r>
      <w:r w:rsidR="00216558" w:rsidRPr="00D26003">
        <w:t>.</w:t>
      </w:r>
    </w:p>
    <w:p w14:paraId="3F3E7511" w14:textId="40301FDF" w:rsidR="002703AE" w:rsidRPr="00D26003" w:rsidRDefault="008A430B" w:rsidP="00C61D37">
      <w:pPr>
        <w:pStyle w:val="COMPara"/>
        <w:numPr>
          <w:ilvl w:val="0"/>
          <w:numId w:val="10"/>
        </w:numPr>
        <w:ind w:left="1134" w:hanging="567"/>
        <w:jc w:val="both"/>
      </w:pPr>
      <w:r w:rsidRPr="00D26003">
        <w:t>T</w:t>
      </w:r>
      <w:r w:rsidR="00EA48C0" w:rsidRPr="00D26003">
        <w:t xml:space="preserve">his situation </w:t>
      </w:r>
      <w:r w:rsidRPr="00D26003">
        <w:t xml:space="preserve">may imply </w:t>
      </w:r>
      <w:r w:rsidR="00EA48C0" w:rsidRPr="00D26003">
        <w:t xml:space="preserve">that </w:t>
      </w:r>
      <w:r w:rsidR="00475223" w:rsidRPr="00D26003">
        <w:t>States</w:t>
      </w:r>
      <w:r w:rsidR="00926926" w:rsidRPr="00D26003">
        <w:t xml:space="preserve"> Parties</w:t>
      </w:r>
      <w:r w:rsidR="00475223" w:rsidRPr="00D26003">
        <w:t xml:space="preserve"> </w:t>
      </w:r>
      <w:r w:rsidR="00EA48C0" w:rsidRPr="00D26003">
        <w:t xml:space="preserve">with </w:t>
      </w:r>
      <w:r w:rsidRPr="00D26003">
        <w:t xml:space="preserve">one or </w:t>
      </w:r>
      <w:r w:rsidR="00EA48C0" w:rsidRPr="00D26003">
        <w:t xml:space="preserve">more backlog files </w:t>
      </w:r>
      <w:r w:rsidRPr="00D26003">
        <w:t>are</w:t>
      </w:r>
      <w:r w:rsidR="00475223" w:rsidRPr="00D26003">
        <w:t xml:space="preserve"> </w:t>
      </w:r>
      <w:r w:rsidR="00EA48C0" w:rsidRPr="00D26003">
        <w:t xml:space="preserve">at </w:t>
      </w:r>
      <w:r w:rsidRPr="00D26003">
        <w:t xml:space="preserve">a certain </w:t>
      </w:r>
      <w:r w:rsidR="00EA48C0" w:rsidRPr="00D26003">
        <w:t xml:space="preserve">advantage </w:t>
      </w:r>
      <w:r w:rsidR="00DC5348" w:rsidRPr="00D26003">
        <w:t>for</w:t>
      </w:r>
      <w:r w:rsidR="00EA48C0" w:rsidRPr="00D26003">
        <w:t xml:space="preserve"> future inscriptions</w:t>
      </w:r>
      <w:r w:rsidR="00F40D1D" w:rsidRPr="00D26003">
        <w:t>,</w:t>
      </w:r>
      <w:r w:rsidR="00EA48C0" w:rsidRPr="00D26003">
        <w:t xml:space="preserve"> since they are </w:t>
      </w:r>
      <w:r w:rsidR="004379A8" w:rsidRPr="00D26003">
        <w:t>un</w:t>
      </w:r>
      <w:r w:rsidR="00EA48C0" w:rsidRPr="00D26003">
        <w:t xml:space="preserve">likely to </w:t>
      </w:r>
      <w:r w:rsidR="00DC5348" w:rsidRPr="00D26003">
        <w:t>let pass</w:t>
      </w:r>
      <w:r w:rsidR="00EA48C0" w:rsidRPr="00D26003">
        <w:t xml:space="preserve"> the </w:t>
      </w:r>
      <w:r w:rsidR="004379A8" w:rsidRPr="00D26003">
        <w:t xml:space="preserve">opportunity </w:t>
      </w:r>
      <w:r w:rsidR="00EA48C0" w:rsidRPr="00D26003">
        <w:t>to have their files examined every other year when the priority (0) applies to them.</w:t>
      </w:r>
      <w:r w:rsidR="001020BB" w:rsidRPr="00D26003">
        <w:t xml:space="preserve"> </w:t>
      </w:r>
      <w:r w:rsidRPr="00D26003">
        <w:t xml:space="preserve">It must also be reminded that </w:t>
      </w:r>
      <w:r w:rsidR="001020BB" w:rsidRPr="00D26003">
        <w:t xml:space="preserve">backlog files </w:t>
      </w:r>
      <w:r w:rsidR="00686DB8" w:rsidRPr="00D26003">
        <w:t>submitted many years ago require significant updating</w:t>
      </w:r>
      <w:r w:rsidR="00DC5348" w:rsidRPr="00D26003">
        <w:t>,</w:t>
      </w:r>
      <w:r w:rsidR="00BB2EFB" w:rsidRPr="00D26003">
        <w:t xml:space="preserve"> since the elements </w:t>
      </w:r>
      <w:r w:rsidRPr="00D26003">
        <w:t>concerned</w:t>
      </w:r>
      <w:r w:rsidR="00DC5348" w:rsidRPr="00D26003">
        <w:t>,</w:t>
      </w:r>
      <w:r w:rsidRPr="00D26003">
        <w:t xml:space="preserve"> their contexts</w:t>
      </w:r>
      <w:r w:rsidR="00DC5348" w:rsidRPr="00D26003">
        <w:t>, and the technical requirements for nominations</w:t>
      </w:r>
      <w:r w:rsidRPr="00D26003">
        <w:t xml:space="preserve"> </w:t>
      </w:r>
      <w:r w:rsidR="00217EE5" w:rsidRPr="00D26003">
        <w:t xml:space="preserve">tend to evolve </w:t>
      </w:r>
      <w:r w:rsidR="00BB2EFB" w:rsidRPr="00D26003">
        <w:t>over time.</w:t>
      </w:r>
    </w:p>
    <w:p w14:paraId="3683AC83" w14:textId="73FE0FD8" w:rsidR="00961C85" w:rsidRPr="00D26003" w:rsidRDefault="00DC5348" w:rsidP="00C61D37">
      <w:pPr>
        <w:pStyle w:val="COMPara"/>
        <w:numPr>
          <w:ilvl w:val="0"/>
          <w:numId w:val="10"/>
        </w:numPr>
        <w:ind w:left="1134" w:hanging="567"/>
        <w:jc w:val="both"/>
      </w:pPr>
      <w:r w:rsidRPr="00D26003">
        <w:t>A</w:t>
      </w:r>
      <w:r w:rsidR="002703AE" w:rsidRPr="00D26003">
        <w:t>t its tenth session in 2015</w:t>
      </w:r>
      <w:r w:rsidRPr="00D26003">
        <w:t>, the Committee</w:t>
      </w:r>
      <w:r w:rsidR="002703AE" w:rsidRPr="00D26003">
        <w:t xml:space="preserve"> encouraged States Parties to ‘retrieve at the Secretariat the files submitted four years ago </w:t>
      </w:r>
      <w:r w:rsidR="00FD6DB9" w:rsidRPr="00D26003">
        <w:t xml:space="preserve">or </w:t>
      </w:r>
      <w:r w:rsidR="002703AE" w:rsidRPr="00D26003">
        <w:t>more that have not been examined by the Committee’</w:t>
      </w:r>
      <w:r w:rsidR="004A1F89" w:rsidRPr="00D26003">
        <w:t xml:space="preserve"> </w:t>
      </w:r>
      <w:r w:rsidR="009710B5" w:rsidRPr="00D26003">
        <w:t>(</w:t>
      </w:r>
      <w:r w:rsidR="006F3B39" w:rsidRPr="00D26003">
        <w:t xml:space="preserve">Decision </w:t>
      </w:r>
      <w:hyperlink r:id="rId11" w:history="1">
        <w:r w:rsidR="006F3B39" w:rsidRPr="00D26003">
          <w:rPr>
            <w:rStyle w:val="Lienhypertexte"/>
          </w:rPr>
          <w:t>10.COM</w:t>
        </w:r>
        <w:r w:rsidR="007926B1" w:rsidRPr="00D26003">
          <w:rPr>
            <w:rStyle w:val="Lienhypertexte"/>
          </w:rPr>
          <w:t> </w:t>
        </w:r>
        <w:r w:rsidR="006F3B39" w:rsidRPr="00D26003">
          <w:rPr>
            <w:rStyle w:val="Lienhypertexte"/>
          </w:rPr>
          <w:t>13</w:t>
        </w:r>
      </w:hyperlink>
      <w:r w:rsidR="006F3B39" w:rsidRPr="00D26003">
        <w:t xml:space="preserve">; paragraph </w:t>
      </w:r>
      <w:r w:rsidR="009710B5" w:rsidRPr="00D26003">
        <w:t>10)</w:t>
      </w:r>
      <w:r w:rsidR="00F43F9F" w:rsidRPr="00D26003">
        <w:t>.</w:t>
      </w:r>
      <w:r w:rsidR="004A1F89" w:rsidRPr="00D26003">
        <w:t xml:space="preserve"> </w:t>
      </w:r>
      <w:r w:rsidR="004379A8" w:rsidRPr="00D26003">
        <w:t>So far, o</w:t>
      </w:r>
      <w:r w:rsidR="004A1F89" w:rsidRPr="00D26003">
        <w:t xml:space="preserve">nly </w:t>
      </w:r>
      <w:r w:rsidR="009235FA" w:rsidRPr="00D26003">
        <w:t>six States</w:t>
      </w:r>
      <w:r w:rsidR="00926926" w:rsidRPr="00D26003">
        <w:t xml:space="preserve"> Parties</w:t>
      </w:r>
      <w:r w:rsidR="009235FA" w:rsidRPr="00D26003">
        <w:t xml:space="preserve"> have withdrawn backlog nominations (corresponding to 36 files)</w:t>
      </w:r>
      <w:r w:rsidR="004A1F89" w:rsidRPr="00D26003">
        <w:t>.</w:t>
      </w:r>
      <w:r w:rsidR="009710B5" w:rsidRPr="00D26003">
        <w:t xml:space="preserve"> </w:t>
      </w:r>
      <w:r w:rsidR="00615808" w:rsidRPr="00D26003">
        <w:t xml:space="preserve">In </w:t>
      </w:r>
      <w:r w:rsidR="006F3B39" w:rsidRPr="00D26003">
        <w:t>2021</w:t>
      </w:r>
      <w:r w:rsidR="005A0A2D">
        <w:t>,</w:t>
      </w:r>
      <w:r w:rsidR="00615808" w:rsidRPr="00D26003">
        <w:t xml:space="preserve"> the </w:t>
      </w:r>
      <w:r w:rsidR="006F3B39" w:rsidRPr="00D26003">
        <w:t xml:space="preserve">sixteenth session of the </w:t>
      </w:r>
      <w:r w:rsidR="00615808" w:rsidRPr="00D26003">
        <w:t xml:space="preserve">Committee </w:t>
      </w:r>
      <w:r w:rsidR="00F43F9F" w:rsidRPr="00D26003">
        <w:t>expressed the wish</w:t>
      </w:r>
      <w:r w:rsidR="008127BE" w:rsidRPr="00D26003">
        <w:t xml:space="preserve"> to</w:t>
      </w:r>
      <w:r w:rsidR="006F3B39" w:rsidRPr="00D26003">
        <w:t xml:space="preserve"> find ‘dynamic solutions </w:t>
      </w:r>
      <w:r w:rsidR="002703AE" w:rsidRPr="00D26003">
        <w:t>t</w:t>
      </w:r>
      <w:r w:rsidR="006F3B39" w:rsidRPr="00D26003">
        <w:t xml:space="preserve">o the backlog of nominations with </w:t>
      </w:r>
      <w:r w:rsidR="008127BE" w:rsidRPr="00D26003">
        <w:t xml:space="preserve">a </w:t>
      </w:r>
      <w:r w:rsidR="006F3B39" w:rsidRPr="00D26003">
        <w:t xml:space="preserve">view to improve regional representation’ </w:t>
      </w:r>
      <w:r w:rsidR="00615808" w:rsidRPr="00D26003">
        <w:t>(</w:t>
      </w:r>
      <w:r w:rsidR="00087B90" w:rsidRPr="00D26003">
        <w:t>Decision</w:t>
      </w:r>
      <w:r w:rsidR="00926926" w:rsidRPr="00D26003">
        <w:t xml:space="preserve"> </w:t>
      </w:r>
      <w:hyperlink r:id="rId12" w:history="1">
        <w:r w:rsidR="00622043" w:rsidRPr="00D26003">
          <w:rPr>
            <w:rStyle w:val="Lienhypertexte"/>
          </w:rPr>
          <w:t>16</w:t>
        </w:r>
        <w:r w:rsidR="00926926" w:rsidRPr="00D26003">
          <w:rPr>
            <w:rStyle w:val="Lienhypertexte"/>
          </w:rPr>
          <w:t>.</w:t>
        </w:r>
        <w:r w:rsidR="00622043" w:rsidRPr="00D26003">
          <w:rPr>
            <w:rStyle w:val="Lienhypertexte"/>
          </w:rPr>
          <w:t>COM 8</w:t>
        </w:r>
      </w:hyperlink>
      <w:r w:rsidR="00087B90" w:rsidRPr="00D26003">
        <w:t>,</w:t>
      </w:r>
      <w:r w:rsidR="00615808" w:rsidRPr="00D26003">
        <w:t xml:space="preserve"> paragraph </w:t>
      </w:r>
      <w:r w:rsidR="006F3B39" w:rsidRPr="00D26003">
        <w:t>12</w:t>
      </w:r>
      <w:r w:rsidR="00615808" w:rsidRPr="00D26003">
        <w:t>)</w:t>
      </w:r>
      <w:r w:rsidR="004A1F89" w:rsidRPr="00D26003">
        <w:t>.</w:t>
      </w:r>
    </w:p>
    <w:p w14:paraId="467362B4" w14:textId="004C8352" w:rsidR="0042014E" w:rsidRPr="00D26003" w:rsidRDefault="0042014E" w:rsidP="00C61D37">
      <w:pPr>
        <w:pStyle w:val="COMPara"/>
        <w:widowControl w:val="0"/>
        <w:ind w:left="993" w:firstLine="141"/>
        <w:jc w:val="both"/>
        <w:rPr>
          <w:b/>
          <w:bCs/>
        </w:rPr>
      </w:pPr>
      <w:r w:rsidRPr="00D26003">
        <w:rPr>
          <w:b/>
          <w:bCs/>
        </w:rPr>
        <w:t xml:space="preserve">Table </w:t>
      </w:r>
      <w:r w:rsidR="00024D0B" w:rsidRPr="00D26003">
        <w:rPr>
          <w:b/>
          <w:bCs/>
        </w:rPr>
        <w:t>1</w:t>
      </w:r>
      <w:r w:rsidRPr="00D26003">
        <w:rPr>
          <w:b/>
          <w:bCs/>
        </w:rPr>
        <w:t>: Backlog files p</w:t>
      </w:r>
      <w:r w:rsidR="00622043" w:rsidRPr="00D26003">
        <w:rPr>
          <w:b/>
          <w:bCs/>
        </w:rPr>
        <w:t>e</w:t>
      </w:r>
      <w:r w:rsidRPr="00D26003">
        <w:rPr>
          <w:b/>
          <w:bCs/>
        </w:rPr>
        <w:t>r Electoral Group</w:t>
      </w:r>
    </w:p>
    <w:tbl>
      <w:tblPr>
        <w:tblStyle w:val="Grilledutableau"/>
        <w:tblW w:w="8505" w:type="dxa"/>
        <w:tblInd w:w="1129" w:type="dxa"/>
        <w:tblLook w:val="04A0" w:firstRow="1" w:lastRow="0" w:firstColumn="1" w:lastColumn="0" w:noHBand="0" w:noVBand="1"/>
      </w:tblPr>
      <w:tblGrid>
        <w:gridCol w:w="1560"/>
        <w:gridCol w:w="1157"/>
        <w:gridCol w:w="1158"/>
        <w:gridCol w:w="1157"/>
        <w:gridCol w:w="1158"/>
        <w:gridCol w:w="1157"/>
        <w:gridCol w:w="1158"/>
      </w:tblGrid>
      <w:tr w:rsidR="00DA4157" w:rsidRPr="00D26003" w14:paraId="10D166F5" w14:textId="77777777" w:rsidTr="00DA4157">
        <w:tc>
          <w:tcPr>
            <w:tcW w:w="1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6E1DA9B9" w14:textId="77777777" w:rsidR="001A27E8" w:rsidRPr="00D26003" w:rsidRDefault="001A27E8" w:rsidP="00D561CF">
            <w:pPr>
              <w:pStyle w:val="1GAPara"/>
              <w:widowControl w:val="0"/>
              <w:numPr>
                <w:ilvl w:val="0"/>
                <w:numId w:val="0"/>
              </w:numPr>
              <w:spacing w:after="150"/>
              <w:jc w:val="both"/>
              <w:rPr>
                <w:b/>
                <w:bCs/>
                <w:sz w:val="18"/>
                <w:szCs w:val="18"/>
              </w:rPr>
            </w:pPr>
          </w:p>
        </w:tc>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03050BC2" w14:textId="5B00B3B6" w:rsidR="001A27E8" w:rsidRPr="00D26003" w:rsidRDefault="005739A2" w:rsidP="00D561CF">
            <w:pPr>
              <w:pStyle w:val="1GAPara"/>
              <w:widowControl w:val="0"/>
              <w:numPr>
                <w:ilvl w:val="0"/>
                <w:numId w:val="0"/>
              </w:numPr>
              <w:spacing w:after="150"/>
              <w:jc w:val="both"/>
              <w:rPr>
                <w:b/>
                <w:bCs/>
                <w:sz w:val="18"/>
                <w:szCs w:val="18"/>
              </w:rPr>
            </w:pPr>
            <w:r w:rsidRPr="00D26003">
              <w:rPr>
                <w:b/>
                <w:bCs/>
                <w:sz w:val="18"/>
                <w:szCs w:val="18"/>
              </w:rPr>
              <w:t xml:space="preserve">Group </w:t>
            </w:r>
            <w:r w:rsidR="001A27E8" w:rsidRPr="00D26003">
              <w:rPr>
                <w:b/>
                <w:bCs/>
                <w:sz w:val="18"/>
                <w:szCs w:val="18"/>
              </w:rPr>
              <w:t>I</w:t>
            </w:r>
          </w:p>
          <w:p w14:paraId="73A0B42A" w14:textId="77777777" w:rsidR="001A27E8" w:rsidRPr="00D26003" w:rsidRDefault="001A27E8" w:rsidP="00D561CF">
            <w:pPr>
              <w:pStyle w:val="1GAPara"/>
              <w:widowControl w:val="0"/>
              <w:numPr>
                <w:ilvl w:val="0"/>
                <w:numId w:val="0"/>
              </w:numPr>
              <w:spacing w:after="150"/>
              <w:jc w:val="both"/>
              <w:rPr>
                <w:b/>
                <w:bCs/>
                <w:sz w:val="18"/>
                <w:szCs w:val="18"/>
              </w:rPr>
            </w:pPr>
            <w:r w:rsidRPr="00D26003">
              <w:rPr>
                <w:b/>
                <w:bCs/>
                <w:sz w:val="18"/>
                <w:szCs w:val="18"/>
              </w:rPr>
              <w:t>(22 States)</w:t>
            </w:r>
          </w:p>
        </w:tc>
        <w:tc>
          <w:tcPr>
            <w:tcW w:w="1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772CB348" w14:textId="0D6088C7" w:rsidR="001A27E8" w:rsidRPr="00D26003" w:rsidRDefault="005739A2" w:rsidP="00D561CF">
            <w:pPr>
              <w:pStyle w:val="1GAPara"/>
              <w:widowControl w:val="0"/>
              <w:numPr>
                <w:ilvl w:val="0"/>
                <w:numId w:val="0"/>
              </w:numPr>
              <w:spacing w:after="150"/>
              <w:jc w:val="both"/>
              <w:rPr>
                <w:b/>
                <w:bCs/>
                <w:sz w:val="18"/>
                <w:szCs w:val="18"/>
              </w:rPr>
            </w:pPr>
            <w:r w:rsidRPr="00D26003">
              <w:rPr>
                <w:b/>
                <w:bCs/>
                <w:sz w:val="18"/>
                <w:szCs w:val="18"/>
              </w:rPr>
              <w:t xml:space="preserve">Group </w:t>
            </w:r>
            <w:r w:rsidR="001A27E8" w:rsidRPr="00D26003">
              <w:rPr>
                <w:b/>
                <w:bCs/>
                <w:sz w:val="18"/>
                <w:szCs w:val="18"/>
              </w:rPr>
              <w:t>II</w:t>
            </w:r>
          </w:p>
          <w:p w14:paraId="08E6C406" w14:textId="77777777" w:rsidR="001A27E8" w:rsidRPr="00D26003" w:rsidRDefault="001A27E8" w:rsidP="00D561CF">
            <w:pPr>
              <w:pStyle w:val="1GAPara"/>
              <w:widowControl w:val="0"/>
              <w:numPr>
                <w:ilvl w:val="0"/>
                <w:numId w:val="0"/>
              </w:numPr>
              <w:spacing w:after="150"/>
              <w:jc w:val="both"/>
              <w:rPr>
                <w:b/>
                <w:bCs/>
                <w:sz w:val="18"/>
                <w:szCs w:val="18"/>
              </w:rPr>
            </w:pPr>
            <w:r w:rsidRPr="00D26003">
              <w:rPr>
                <w:b/>
                <w:bCs/>
                <w:sz w:val="18"/>
                <w:szCs w:val="18"/>
              </w:rPr>
              <w:t>(24 States)</w:t>
            </w:r>
          </w:p>
        </w:tc>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17FADF31" w14:textId="2B4516E5" w:rsidR="001A27E8" w:rsidRPr="00D26003" w:rsidRDefault="005739A2" w:rsidP="00D561CF">
            <w:pPr>
              <w:pStyle w:val="1GAPara"/>
              <w:widowControl w:val="0"/>
              <w:numPr>
                <w:ilvl w:val="0"/>
                <w:numId w:val="0"/>
              </w:numPr>
              <w:spacing w:after="150"/>
              <w:jc w:val="both"/>
              <w:rPr>
                <w:b/>
                <w:bCs/>
                <w:sz w:val="18"/>
                <w:szCs w:val="18"/>
              </w:rPr>
            </w:pPr>
            <w:r w:rsidRPr="00D26003">
              <w:rPr>
                <w:b/>
                <w:bCs/>
                <w:sz w:val="18"/>
                <w:szCs w:val="18"/>
              </w:rPr>
              <w:t xml:space="preserve">Group </w:t>
            </w:r>
            <w:r w:rsidR="001A27E8" w:rsidRPr="00D26003">
              <w:rPr>
                <w:b/>
                <w:bCs/>
                <w:sz w:val="18"/>
                <w:szCs w:val="18"/>
              </w:rPr>
              <w:t>III</w:t>
            </w:r>
          </w:p>
          <w:p w14:paraId="0E511972" w14:textId="77777777" w:rsidR="001A27E8" w:rsidRPr="00D26003" w:rsidRDefault="001A27E8" w:rsidP="00D561CF">
            <w:pPr>
              <w:pStyle w:val="1GAPara"/>
              <w:widowControl w:val="0"/>
              <w:numPr>
                <w:ilvl w:val="0"/>
                <w:numId w:val="0"/>
              </w:numPr>
              <w:spacing w:after="150"/>
              <w:jc w:val="both"/>
              <w:rPr>
                <w:b/>
                <w:bCs/>
                <w:sz w:val="18"/>
                <w:szCs w:val="18"/>
              </w:rPr>
            </w:pPr>
            <w:r w:rsidRPr="00D26003">
              <w:rPr>
                <w:b/>
                <w:bCs/>
                <w:sz w:val="18"/>
                <w:szCs w:val="18"/>
              </w:rPr>
              <w:t>(32 States)</w:t>
            </w:r>
          </w:p>
        </w:tc>
        <w:tc>
          <w:tcPr>
            <w:tcW w:w="1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5849D832" w14:textId="78C1D792" w:rsidR="001A27E8" w:rsidRPr="00D26003" w:rsidRDefault="005739A2" w:rsidP="00D561CF">
            <w:pPr>
              <w:pStyle w:val="1GAPara"/>
              <w:widowControl w:val="0"/>
              <w:numPr>
                <w:ilvl w:val="0"/>
                <w:numId w:val="0"/>
              </w:numPr>
              <w:spacing w:after="150"/>
              <w:jc w:val="both"/>
              <w:rPr>
                <w:b/>
                <w:bCs/>
                <w:sz w:val="18"/>
                <w:szCs w:val="18"/>
              </w:rPr>
            </w:pPr>
            <w:r w:rsidRPr="00D26003">
              <w:rPr>
                <w:b/>
                <w:bCs/>
                <w:sz w:val="18"/>
                <w:szCs w:val="18"/>
              </w:rPr>
              <w:t xml:space="preserve">Group </w:t>
            </w:r>
            <w:r w:rsidR="001A27E8" w:rsidRPr="00D26003">
              <w:rPr>
                <w:b/>
                <w:bCs/>
                <w:sz w:val="18"/>
                <w:szCs w:val="18"/>
              </w:rPr>
              <w:t>IV</w:t>
            </w:r>
          </w:p>
          <w:p w14:paraId="23F7CF55" w14:textId="77777777" w:rsidR="001A27E8" w:rsidRPr="00D26003" w:rsidRDefault="001A27E8" w:rsidP="00D561CF">
            <w:pPr>
              <w:pStyle w:val="1GAPara"/>
              <w:widowControl w:val="0"/>
              <w:numPr>
                <w:ilvl w:val="0"/>
                <w:numId w:val="0"/>
              </w:numPr>
              <w:spacing w:after="150"/>
              <w:jc w:val="both"/>
              <w:rPr>
                <w:b/>
                <w:bCs/>
                <w:sz w:val="18"/>
                <w:szCs w:val="18"/>
              </w:rPr>
            </w:pPr>
            <w:r w:rsidRPr="00D26003">
              <w:rPr>
                <w:b/>
                <w:bCs/>
                <w:sz w:val="18"/>
                <w:szCs w:val="18"/>
              </w:rPr>
              <w:t>(40 States)</w:t>
            </w:r>
          </w:p>
        </w:tc>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74D9A932" w14:textId="3DD44642" w:rsidR="001A27E8" w:rsidRPr="00D26003" w:rsidRDefault="005739A2" w:rsidP="00D561CF">
            <w:pPr>
              <w:pStyle w:val="1GAPara"/>
              <w:widowControl w:val="0"/>
              <w:numPr>
                <w:ilvl w:val="0"/>
                <w:numId w:val="0"/>
              </w:numPr>
              <w:spacing w:after="150"/>
              <w:jc w:val="both"/>
              <w:rPr>
                <w:b/>
                <w:bCs/>
                <w:sz w:val="18"/>
                <w:szCs w:val="18"/>
              </w:rPr>
            </w:pPr>
            <w:r w:rsidRPr="00D26003">
              <w:rPr>
                <w:b/>
                <w:bCs/>
                <w:sz w:val="18"/>
                <w:szCs w:val="18"/>
              </w:rPr>
              <w:t xml:space="preserve">Group </w:t>
            </w:r>
            <w:r w:rsidR="001A27E8" w:rsidRPr="00D26003">
              <w:rPr>
                <w:b/>
                <w:bCs/>
                <w:sz w:val="18"/>
                <w:szCs w:val="18"/>
              </w:rPr>
              <w:t>V</w:t>
            </w:r>
            <w:r w:rsidR="00512C5F" w:rsidRPr="00D26003">
              <w:rPr>
                <w:b/>
                <w:bCs/>
                <w:sz w:val="18"/>
                <w:szCs w:val="18"/>
              </w:rPr>
              <w:t>(</w:t>
            </w:r>
            <w:r w:rsidR="001A27E8" w:rsidRPr="00D26003">
              <w:rPr>
                <w:b/>
                <w:bCs/>
                <w:sz w:val="18"/>
                <w:szCs w:val="18"/>
              </w:rPr>
              <w:t>a)</w:t>
            </w:r>
          </w:p>
          <w:p w14:paraId="5D3CE1A4" w14:textId="77777777" w:rsidR="001A27E8" w:rsidRPr="00D26003" w:rsidRDefault="001A27E8" w:rsidP="00D561CF">
            <w:pPr>
              <w:pStyle w:val="1GAPara"/>
              <w:widowControl w:val="0"/>
              <w:numPr>
                <w:ilvl w:val="0"/>
                <w:numId w:val="0"/>
              </w:numPr>
              <w:spacing w:after="150"/>
              <w:jc w:val="both"/>
              <w:rPr>
                <w:b/>
                <w:bCs/>
                <w:sz w:val="18"/>
                <w:szCs w:val="18"/>
              </w:rPr>
            </w:pPr>
            <w:r w:rsidRPr="00D26003">
              <w:rPr>
                <w:b/>
                <w:bCs/>
                <w:sz w:val="18"/>
                <w:szCs w:val="18"/>
              </w:rPr>
              <w:t>(44 States)</w:t>
            </w:r>
          </w:p>
        </w:tc>
        <w:tc>
          <w:tcPr>
            <w:tcW w:w="1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03A941CC" w14:textId="13981890" w:rsidR="001A27E8" w:rsidRPr="00D26003" w:rsidRDefault="005739A2" w:rsidP="00D561CF">
            <w:pPr>
              <w:pStyle w:val="1GAPara"/>
              <w:widowControl w:val="0"/>
              <w:numPr>
                <w:ilvl w:val="0"/>
                <w:numId w:val="0"/>
              </w:numPr>
              <w:spacing w:after="150"/>
              <w:jc w:val="both"/>
              <w:rPr>
                <w:b/>
                <w:bCs/>
                <w:sz w:val="18"/>
                <w:szCs w:val="18"/>
              </w:rPr>
            </w:pPr>
            <w:r w:rsidRPr="00D26003">
              <w:rPr>
                <w:b/>
                <w:bCs/>
                <w:sz w:val="18"/>
                <w:szCs w:val="18"/>
              </w:rPr>
              <w:t xml:space="preserve">Group </w:t>
            </w:r>
            <w:r w:rsidR="001A27E8" w:rsidRPr="00D26003">
              <w:rPr>
                <w:b/>
                <w:bCs/>
                <w:sz w:val="18"/>
                <w:szCs w:val="18"/>
              </w:rPr>
              <w:t>V</w:t>
            </w:r>
            <w:r w:rsidR="00512C5F" w:rsidRPr="00D26003">
              <w:rPr>
                <w:b/>
                <w:bCs/>
                <w:sz w:val="18"/>
                <w:szCs w:val="18"/>
              </w:rPr>
              <w:t>(</w:t>
            </w:r>
            <w:r w:rsidR="001A27E8" w:rsidRPr="00D26003">
              <w:rPr>
                <w:b/>
                <w:bCs/>
                <w:sz w:val="18"/>
                <w:szCs w:val="18"/>
              </w:rPr>
              <w:t>b)</w:t>
            </w:r>
          </w:p>
          <w:p w14:paraId="0F4DF432" w14:textId="77777777" w:rsidR="001A27E8" w:rsidRPr="00D26003" w:rsidRDefault="001A27E8" w:rsidP="00D561CF">
            <w:pPr>
              <w:pStyle w:val="1GAPara"/>
              <w:widowControl w:val="0"/>
              <w:numPr>
                <w:ilvl w:val="0"/>
                <w:numId w:val="0"/>
              </w:numPr>
              <w:spacing w:after="150"/>
              <w:jc w:val="both"/>
              <w:rPr>
                <w:b/>
                <w:bCs/>
                <w:sz w:val="18"/>
                <w:szCs w:val="18"/>
              </w:rPr>
            </w:pPr>
            <w:r w:rsidRPr="00D26003">
              <w:rPr>
                <w:b/>
                <w:bCs/>
                <w:sz w:val="18"/>
                <w:szCs w:val="18"/>
              </w:rPr>
              <w:t>(18 States)</w:t>
            </w:r>
          </w:p>
        </w:tc>
      </w:tr>
      <w:tr w:rsidR="00EB6366" w:rsidRPr="00D26003" w14:paraId="665B2F3B" w14:textId="77777777" w:rsidTr="00C61D37">
        <w:tc>
          <w:tcPr>
            <w:tcW w:w="1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F97579" w14:textId="77777777" w:rsidR="00EB6366" w:rsidRPr="00D26003" w:rsidRDefault="00EB6366" w:rsidP="00D561CF">
            <w:pPr>
              <w:pStyle w:val="1GAPara"/>
              <w:widowControl w:val="0"/>
              <w:numPr>
                <w:ilvl w:val="0"/>
                <w:numId w:val="0"/>
              </w:numPr>
              <w:spacing w:after="0"/>
              <w:jc w:val="both"/>
              <w:rPr>
                <w:b/>
                <w:bCs/>
                <w:sz w:val="18"/>
                <w:szCs w:val="18"/>
              </w:rPr>
            </w:pPr>
            <w:r w:rsidRPr="00D26003">
              <w:rPr>
                <w:b/>
                <w:bCs/>
                <w:sz w:val="18"/>
                <w:szCs w:val="18"/>
              </w:rPr>
              <w:t>Number of files in the backlog</w:t>
            </w:r>
          </w:p>
          <w:p w14:paraId="4C67782E" w14:textId="06237A5B" w:rsidR="00EB6366" w:rsidRPr="00D26003" w:rsidRDefault="00EB6366" w:rsidP="00D561CF">
            <w:pPr>
              <w:pStyle w:val="1GAPara"/>
              <w:widowControl w:val="0"/>
              <w:numPr>
                <w:ilvl w:val="0"/>
                <w:numId w:val="0"/>
              </w:numPr>
              <w:spacing w:after="0"/>
              <w:jc w:val="both"/>
              <w:rPr>
                <w:b/>
                <w:bCs/>
                <w:sz w:val="18"/>
                <w:szCs w:val="18"/>
              </w:rPr>
            </w:pPr>
            <w:r w:rsidRPr="00D26003">
              <w:rPr>
                <w:b/>
                <w:bCs/>
                <w:sz w:val="18"/>
                <w:szCs w:val="18"/>
              </w:rPr>
              <w:t>(129 in total)</w:t>
            </w:r>
          </w:p>
        </w:tc>
        <w:tc>
          <w:tcPr>
            <w:tcW w:w="1157" w:type="dxa"/>
          </w:tcPr>
          <w:p w14:paraId="48B04CE3" w14:textId="5C7CC212" w:rsidR="00EB6366" w:rsidRPr="00D26003" w:rsidRDefault="00EB6366" w:rsidP="00D561CF">
            <w:pPr>
              <w:pStyle w:val="1GAPara"/>
              <w:widowControl w:val="0"/>
              <w:numPr>
                <w:ilvl w:val="0"/>
                <w:numId w:val="0"/>
              </w:numPr>
              <w:spacing w:after="0"/>
              <w:jc w:val="both"/>
              <w:rPr>
                <w:sz w:val="18"/>
                <w:szCs w:val="18"/>
              </w:rPr>
            </w:pPr>
            <w:r w:rsidRPr="00D26003">
              <w:rPr>
                <w:sz w:val="18"/>
                <w:szCs w:val="18"/>
              </w:rPr>
              <w:t>16</w:t>
            </w:r>
          </w:p>
        </w:tc>
        <w:tc>
          <w:tcPr>
            <w:tcW w:w="1158" w:type="dxa"/>
          </w:tcPr>
          <w:p w14:paraId="5CA3CAA3" w14:textId="14A32F86" w:rsidR="00EB6366" w:rsidRPr="00D26003" w:rsidRDefault="00EB6366" w:rsidP="00D561CF">
            <w:pPr>
              <w:pStyle w:val="1GAPara"/>
              <w:widowControl w:val="0"/>
              <w:numPr>
                <w:ilvl w:val="0"/>
                <w:numId w:val="0"/>
              </w:numPr>
              <w:spacing w:after="0"/>
              <w:jc w:val="both"/>
              <w:rPr>
                <w:sz w:val="18"/>
                <w:szCs w:val="18"/>
              </w:rPr>
            </w:pPr>
            <w:r w:rsidRPr="00D26003">
              <w:rPr>
                <w:rFonts w:asciiTheme="minorBidi" w:hAnsiTheme="minorBidi" w:cstheme="minorBidi"/>
                <w:sz w:val="18"/>
                <w:szCs w:val="18"/>
              </w:rPr>
              <w:t>15</w:t>
            </w:r>
          </w:p>
        </w:tc>
        <w:tc>
          <w:tcPr>
            <w:tcW w:w="1157" w:type="dxa"/>
          </w:tcPr>
          <w:p w14:paraId="6365BBA3" w14:textId="1CBAB1F9" w:rsidR="00EB6366" w:rsidRPr="00D26003" w:rsidRDefault="00EB6366" w:rsidP="00D561CF">
            <w:pPr>
              <w:pStyle w:val="1GAPara"/>
              <w:widowControl w:val="0"/>
              <w:numPr>
                <w:ilvl w:val="0"/>
                <w:numId w:val="0"/>
              </w:numPr>
              <w:spacing w:after="0"/>
              <w:jc w:val="both"/>
              <w:rPr>
                <w:sz w:val="18"/>
                <w:szCs w:val="18"/>
              </w:rPr>
            </w:pPr>
            <w:r w:rsidRPr="00D26003">
              <w:rPr>
                <w:sz w:val="18"/>
                <w:szCs w:val="18"/>
              </w:rPr>
              <w:t>4</w:t>
            </w:r>
          </w:p>
        </w:tc>
        <w:tc>
          <w:tcPr>
            <w:tcW w:w="1158" w:type="dxa"/>
          </w:tcPr>
          <w:p w14:paraId="2F14BA97" w14:textId="5362D1A4" w:rsidR="00EB6366" w:rsidRPr="00D26003" w:rsidRDefault="00EB6366" w:rsidP="00D561CF">
            <w:pPr>
              <w:pStyle w:val="1GAPara"/>
              <w:widowControl w:val="0"/>
              <w:numPr>
                <w:ilvl w:val="0"/>
                <w:numId w:val="0"/>
              </w:numPr>
              <w:spacing w:after="0"/>
              <w:jc w:val="both"/>
              <w:rPr>
                <w:sz w:val="18"/>
                <w:szCs w:val="18"/>
              </w:rPr>
            </w:pPr>
            <w:r w:rsidRPr="00D26003">
              <w:rPr>
                <w:rFonts w:asciiTheme="minorBidi" w:hAnsiTheme="minorBidi" w:cstheme="minorBidi"/>
                <w:sz w:val="18"/>
                <w:szCs w:val="18"/>
              </w:rPr>
              <w:t>74</w:t>
            </w:r>
          </w:p>
        </w:tc>
        <w:tc>
          <w:tcPr>
            <w:tcW w:w="1157" w:type="dxa"/>
          </w:tcPr>
          <w:p w14:paraId="43AB1243" w14:textId="11114FA1" w:rsidR="00EB6366" w:rsidRPr="00D26003" w:rsidRDefault="00EB6366" w:rsidP="00D561CF">
            <w:pPr>
              <w:pStyle w:val="1GAPara"/>
              <w:widowControl w:val="0"/>
              <w:numPr>
                <w:ilvl w:val="0"/>
                <w:numId w:val="0"/>
              </w:numPr>
              <w:spacing w:after="0"/>
              <w:jc w:val="both"/>
              <w:rPr>
                <w:sz w:val="18"/>
                <w:szCs w:val="18"/>
              </w:rPr>
            </w:pPr>
            <w:r w:rsidRPr="00D26003">
              <w:rPr>
                <w:rFonts w:asciiTheme="minorBidi" w:hAnsiTheme="minorBidi" w:cstheme="minorBidi"/>
                <w:sz w:val="18"/>
                <w:szCs w:val="18"/>
              </w:rPr>
              <w:t>5</w:t>
            </w:r>
          </w:p>
        </w:tc>
        <w:tc>
          <w:tcPr>
            <w:tcW w:w="1158" w:type="dxa"/>
          </w:tcPr>
          <w:p w14:paraId="330B9591" w14:textId="60289F2A" w:rsidR="00EB6366" w:rsidRPr="00D26003" w:rsidRDefault="00EB6366" w:rsidP="00D561CF">
            <w:pPr>
              <w:pStyle w:val="1GAPara"/>
              <w:widowControl w:val="0"/>
              <w:numPr>
                <w:ilvl w:val="0"/>
                <w:numId w:val="0"/>
              </w:numPr>
              <w:spacing w:after="0"/>
              <w:jc w:val="both"/>
              <w:rPr>
                <w:sz w:val="18"/>
                <w:szCs w:val="18"/>
              </w:rPr>
            </w:pPr>
            <w:r w:rsidRPr="00D26003">
              <w:rPr>
                <w:rFonts w:asciiTheme="minorBidi" w:hAnsiTheme="minorBidi" w:cstheme="minorBidi"/>
                <w:sz w:val="18"/>
                <w:szCs w:val="18"/>
              </w:rPr>
              <w:t>15</w:t>
            </w:r>
          </w:p>
        </w:tc>
      </w:tr>
      <w:tr w:rsidR="00EB6366" w:rsidRPr="00D26003" w14:paraId="4A5D3451" w14:textId="77777777" w:rsidTr="00C61D37">
        <w:tc>
          <w:tcPr>
            <w:tcW w:w="1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E065F2" w14:textId="10B3E0D0" w:rsidR="00EB6366" w:rsidRPr="00D26003" w:rsidRDefault="00EB6366" w:rsidP="00D561CF">
            <w:pPr>
              <w:pStyle w:val="1GAPara"/>
              <w:widowControl w:val="0"/>
              <w:numPr>
                <w:ilvl w:val="0"/>
                <w:numId w:val="0"/>
              </w:numPr>
              <w:spacing w:after="0"/>
              <w:jc w:val="both"/>
              <w:rPr>
                <w:b/>
                <w:bCs/>
                <w:sz w:val="18"/>
                <w:szCs w:val="18"/>
              </w:rPr>
            </w:pPr>
            <w:r w:rsidRPr="00D26003">
              <w:rPr>
                <w:b/>
                <w:bCs/>
                <w:sz w:val="18"/>
                <w:szCs w:val="18"/>
              </w:rPr>
              <w:t>Percentage</w:t>
            </w:r>
          </w:p>
          <w:p w14:paraId="532FDFC5" w14:textId="387ACB92" w:rsidR="00EB6366" w:rsidRPr="00D26003" w:rsidRDefault="00EB6366" w:rsidP="00D561CF">
            <w:pPr>
              <w:pStyle w:val="1GAPara"/>
              <w:widowControl w:val="0"/>
              <w:numPr>
                <w:ilvl w:val="0"/>
                <w:numId w:val="0"/>
              </w:numPr>
              <w:spacing w:after="0"/>
              <w:jc w:val="both"/>
              <w:rPr>
                <w:b/>
                <w:bCs/>
                <w:sz w:val="18"/>
                <w:szCs w:val="18"/>
              </w:rPr>
            </w:pPr>
            <w:r w:rsidRPr="00D26003">
              <w:rPr>
                <w:b/>
                <w:bCs/>
                <w:sz w:val="18"/>
                <w:szCs w:val="18"/>
              </w:rPr>
              <w:t>(%)</w:t>
            </w:r>
          </w:p>
        </w:tc>
        <w:tc>
          <w:tcPr>
            <w:tcW w:w="1157" w:type="dxa"/>
          </w:tcPr>
          <w:p w14:paraId="4F6923B5" w14:textId="53E469E6" w:rsidR="00EB6366" w:rsidRPr="00D26003" w:rsidRDefault="00EB6366" w:rsidP="00D561CF">
            <w:pPr>
              <w:pStyle w:val="1GAPara"/>
              <w:widowControl w:val="0"/>
              <w:numPr>
                <w:ilvl w:val="0"/>
                <w:numId w:val="0"/>
              </w:numPr>
              <w:spacing w:after="0"/>
              <w:jc w:val="both"/>
              <w:rPr>
                <w:sz w:val="18"/>
                <w:szCs w:val="18"/>
              </w:rPr>
            </w:pPr>
            <w:r w:rsidRPr="00D26003">
              <w:rPr>
                <w:sz w:val="18"/>
                <w:szCs w:val="18"/>
              </w:rPr>
              <w:t>12</w:t>
            </w:r>
            <w:r w:rsidR="00C46022" w:rsidRPr="00D26003">
              <w:rPr>
                <w:sz w:val="18"/>
                <w:szCs w:val="18"/>
              </w:rPr>
              <w:t>.4</w:t>
            </w:r>
            <w:r w:rsidRPr="00D26003">
              <w:rPr>
                <w:sz w:val="18"/>
                <w:szCs w:val="18"/>
              </w:rPr>
              <w:t>%</w:t>
            </w:r>
          </w:p>
        </w:tc>
        <w:tc>
          <w:tcPr>
            <w:tcW w:w="1158" w:type="dxa"/>
          </w:tcPr>
          <w:p w14:paraId="7EA07644" w14:textId="696B7A7D" w:rsidR="00EB6366" w:rsidRPr="00D26003" w:rsidRDefault="00C46022" w:rsidP="00D561CF">
            <w:pPr>
              <w:pStyle w:val="1GAPara"/>
              <w:widowControl w:val="0"/>
              <w:numPr>
                <w:ilvl w:val="0"/>
                <w:numId w:val="0"/>
              </w:numPr>
              <w:spacing w:after="0"/>
              <w:jc w:val="both"/>
              <w:rPr>
                <w:sz w:val="18"/>
                <w:szCs w:val="18"/>
              </w:rPr>
            </w:pPr>
            <w:r w:rsidRPr="00D26003">
              <w:rPr>
                <w:rFonts w:asciiTheme="minorBidi" w:hAnsiTheme="minorBidi" w:cstheme="minorBidi"/>
                <w:snapToGrid/>
                <w:sz w:val="18"/>
                <w:szCs w:val="18"/>
              </w:rPr>
              <w:t>11.6</w:t>
            </w:r>
            <w:r w:rsidR="00EB6366" w:rsidRPr="00D26003">
              <w:rPr>
                <w:rFonts w:asciiTheme="minorBidi" w:hAnsiTheme="minorBidi" w:cstheme="minorBidi"/>
                <w:snapToGrid/>
                <w:sz w:val="18"/>
                <w:szCs w:val="18"/>
              </w:rPr>
              <w:t>%</w:t>
            </w:r>
          </w:p>
        </w:tc>
        <w:tc>
          <w:tcPr>
            <w:tcW w:w="1157" w:type="dxa"/>
          </w:tcPr>
          <w:p w14:paraId="4E138BD7" w14:textId="5B4707EB" w:rsidR="00EB6366" w:rsidRPr="00D26003" w:rsidRDefault="00C46022" w:rsidP="00D561CF">
            <w:pPr>
              <w:pStyle w:val="1GAPara"/>
              <w:widowControl w:val="0"/>
              <w:numPr>
                <w:ilvl w:val="0"/>
                <w:numId w:val="0"/>
              </w:numPr>
              <w:spacing w:after="0"/>
              <w:jc w:val="both"/>
              <w:rPr>
                <w:sz w:val="18"/>
                <w:szCs w:val="18"/>
              </w:rPr>
            </w:pPr>
            <w:r w:rsidRPr="00D26003">
              <w:rPr>
                <w:sz w:val="18"/>
                <w:szCs w:val="18"/>
              </w:rPr>
              <w:t>3.1</w:t>
            </w:r>
            <w:r w:rsidR="00EB6366" w:rsidRPr="00D26003">
              <w:rPr>
                <w:sz w:val="18"/>
                <w:szCs w:val="18"/>
              </w:rPr>
              <w:t>%</w:t>
            </w:r>
          </w:p>
        </w:tc>
        <w:tc>
          <w:tcPr>
            <w:tcW w:w="1158" w:type="dxa"/>
          </w:tcPr>
          <w:p w14:paraId="1E7CFE04" w14:textId="4F079B89" w:rsidR="00EB6366" w:rsidRPr="00D26003" w:rsidRDefault="00EB6366" w:rsidP="00D561CF">
            <w:pPr>
              <w:pStyle w:val="1GAPara"/>
              <w:widowControl w:val="0"/>
              <w:numPr>
                <w:ilvl w:val="0"/>
                <w:numId w:val="0"/>
              </w:numPr>
              <w:spacing w:after="0"/>
              <w:jc w:val="both"/>
              <w:rPr>
                <w:sz w:val="18"/>
                <w:szCs w:val="18"/>
              </w:rPr>
            </w:pPr>
            <w:r w:rsidRPr="00D26003">
              <w:rPr>
                <w:rFonts w:asciiTheme="minorBidi" w:hAnsiTheme="minorBidi" w:cstheme="minorBidi"/>
                <w:snapToGrid/>
                <w:sz w:val="18"/>
                <w:szCs w:val="18"/>
              </w:rPr>
              <w:t>57</w:t>
            </w:r>
            <w:r w:rsidR="00C46022" w:rsidRPr="00D26003">
              <w:rPr>
                <w:rFonts w:asciiTheme="minorBidi" w:hAnsiTheme="minorBidi" w:cstheme="minorBidi"/>
                <w:snapToGrid/>
                <w:sz w:val="18"/>
                <w:szCs w:val="18"/>
              </w:rPr>
              <w:t>.4</w:t>
            </w:r>
            <w:r w:rsidRPr="00D26003">
              <w:rPr>
                <w:rFonts w:asciiTheme="minorBidi" w:hAnsiTheme="minorBidi" w:cstheme="minorBidi"/>
                <w:snapToGrid/>
                <w:sz w:val="18"/>
                <w:szCs w:val="18"/>
              </w:rPr>
              <w:t>%</w:t>
            </w:r>
          </w:p>
        </w:tc>
        <w:tc>
          <w:tcPr>
            <w:tcW w:w="1157" w:type="dxa"/>
          </w:tcPr>
          <w:p w14:paraId="22A2FE60" w14:textId="0D5DA1A4" w:rsidR="00EB6366" w:rsidRPr="00D26003" w:rsidRDefault="00C46022" w:rsidP="00D561CF">
            <w:pPr>
              <w:pStyle w:val="1GAPara"/>
              <w:widowControl w:val="0"/>
              <w:numPr>
                <w:ilvl w:val="0"/>
                <w:numId w:val="0"/>
              </w:numPr>
              <w:spacing w:after="0"/>
              <w:jc w:val="both"/>
              <w:rPr>
                <w:sz w:val="18"/>
                <w:szCs w:val="18"/>
              </w:rPr>
            </w:pPr>
            <w:r w:rsidRPr="00D26003">
              <w:rPr>
                <w:rFonts w:asciiTheme="minorBidi" w:hAnsiTheme="minorBidi"/>
                <w:sz w:val="18"/>
                <w:szCs w:val="18"/>
              </w:rPr>
              <w:t>3.</w:t>
            </w:r>
            <w:r w:rsidR="00735D39" w:rsidRPr="00D26003">
              <w:rPr>
                <w:rFonts w:asciiTheme="minorBidi" w:hAnsiTheme="minorBidi"/>
                <w:sz w:val="18"/>
                <w:szCs w:val="18"/>
              </w:rPr>
              <w:t>9</w:t>
            </w:r>
            <w:r w:rsidR="00EB6366" w:rsidRPr="00D26003">
              <w:rPr>
                <w:rFonts w:asciiTheme="minorBidi" w:hAnsiTheme="minorBidi"/>
                <w:sz w:val="18"/>
                <w:szCs w:val="18"/>
              </w:rPr>
              <w:t>%</w:t>
            </w:r>
          </w:p>
        </w:tc>
        <w:tc>
          <w:tcPr>
            <w:tcW w:w="1158" w:type="dxa"/>
          </w:tcPr>
          <w:p w14:paraId="05D3D66B" w14:textId="2B7CFE77" w:rsidR="00EB6366" w:rsidRPr="00D26003" w:rsidRDefault="00C46022" w:rsidP="00D561CF">
            <w:pPr>
              <w:pStyle w:val="1GAPara"/>
              <w:widowControl w:val="0"/>
              <w:numPr>
                <w:ilvl w:val="0"/>
                <w:numId w:val="0"/>
              </w:numPr>
              <w:spacing w:after="0"/>
              <w:jc w:val="both"/>
              <w:rPr>
                <w:sz w:val="18"/>
                <w:szCs w:val="18"/>
              </w:rPr>
            </w:pPr>
            <w:r w:rsidRPr="00D26003">
              <w:rPr>
                <w:rFonts w:asciiTheme="minorBidi" w:hAnsiTheme="minorBidi"/>
                <w:sz w:val="18"/>
                <w:szCs w:val="18"/>
              </w:rPr>
              <w:t>11.6</w:t>
            </w:r>
            <w:r w:rsidR="00EB6366" w:rsidRPr="00D26003">
              <w:rPr>
                <w:rFonts w:asciiTheme="minorBidi" w:hAnsiTheme="minorBidi"/>
                <w:sz w:val="18"/>
                <w:szCs w:val="18"/>
              </w:rPr>
              <w:t>%</w:t>
            </w:r>
          </w:p>
        </w:tc>
      </w:tr>
    </w:tbl>
    <w:p w14:paraId="2B1C1EA6" w14:textId="5C0ED955" w:rsidR="00401F1C" w:rsidRPr="00D26003" w:rsidRDefault="00B46C04" w:rsidP="00C61D37">
      <w:pPr>
        <w:pStyle w:val="1GAPara"/>
        <w:keepNext/>
        <w:numPr>
          <w:ilvl w:val="0"/>
          <w:numId w:val="0"/>
        </w:numPr>
        <w:spacing w:before="360"/>
        <w:ind w:left="567" w:hanging="567"/>
      </w:pPr>
      <w:r w:rsidRPr="00D26003">
        <w:rPr>
          <w:b/>
          <w:bCs/>
        </w:rPr>
        <w:lastRenderedPageBreak/>
        <w:t>C</w:t>
      </w:r>
      <w:r w:rsidR="00401F1C" w:rsidRPr="00D26003">
        <w:rPr>
          <w:b/>
          <w:bCs/>
        </w:rPr>
        <w:t>.</w:t>
      </w:r>
      <w:r w:rsidR="005C6FB9" w:rsidRPr="00D26003">
        <w:rPr>
          <w:b/>
          <w:bCs/>
        </w:rPr>
        <w:t xml:space="preserve"> </w:t>
      </w:r>
      <w:r w:rsidR="005C6FB9" w:rsidRPr="00D26003">
        <w:rPr>
          <w:b/>
          <w:bCs/>
        </w:rPr>
        <w:tab/>
      </w:r>
      <w:r w:rsidR="005B2AFC" w:rsidRPr="00D26003">
        <w:rPr>
          <w:b/>
          <w:bCs/>
        </w:rPr>
        <w:t>Composition and the working methods of the Evaluation Body</w:t>
      </w:r>
    </w:p>
    <w:p w14:paraId="38FB2A6A" w14:textId="05774625" w:rsidR="00134A17" w:rsidRPr="00D26003" w:rsidRDefault="004A344C" w:rsidP="00134A17">
      <w:pPr>
        <w:pStyle w:val="1GAPara"/>
        <w:numPr>
          <w:ilvl w:val="0"/>
          <w:numId w:val="3"/>
        </w:numPr>
        <w:ind w:left="567" w:hanging="567"/>
        <w:jc w:val="both"/>
      </w:pPr>
      <w:r w:rsidRPr="00D26003">
        <w:t xml:space="preserve">The issues of the annual number of nominations to be treated cannot be separated from considerations </w:t>
      </w:r>
      <w:r w:rsidR="00ED69A1" w:rsidRPr="00D26003">
        <w:t xml:space="preserve">concerning </w:t>
      </w:r>
      <w:r w:rsidRPr="00D26003">
        <w:t xml:space="preserve">the composition </w:t>
      </w:r>
      <w:r w:rsidR="00CB17EF" w:rsidRPr="00D26003">
        <w:t xml:space="preserve">and working methods </w:t>
      </w:r>
      <w:r w:rsidRPr="00D26003">
        <w:t>of the Evaluation Body</w:t>
      </w:r>
      <w:r w:rsidR="00ED69A1" w:rsidRPr="00D26003">
        <w:t xml:space="preserve"> a</w:t>
      </w:r>
      <w:r w:rsidRPr="00D26003">
        <w:t>nd the costs associated to the nomination process</w:t>
      </w:r>
      <w:r w:rsidR="00134A17" w:rsidRPr="00D26003">
        <w:t>:</w:t>
      </w:r>
    </w:p>
    <w:p w14:paraId="491CFF38" w14:textId="40B47A08" w:rsidR="00EA176B" w:rsidRPr="00D26003" w:rsidRDefault="00CB17EF" w:rsidP="00CE7428">
      <w:pPr>
        <w:pStyle w:val="1GAPara"/>
        <w:numPr>
          <w:ilvl w:val="0"/>
          <w:numId w:val="0"/>
        </w:numPr>
        <w:ind w:left="567"/>
        <w:jc w:val="both"/>
      </w:pPr>
      <w:r w:rsidRPr="00D26003">
        <w:rPr>
          <w:b/>
          <w:bCs/>
        </w:rPr>
        <w:t>a</w:t>
      </w:r>
      <w:r w:rsidR="009225D9" w:rsidRPr="00D26003">
        <w:rPr>
          <w:b/>
          <w:bCs/>
        </w:rPr>
        <w:t xml:space="preserve">. </w:t>
      </w:r>
      <w:r w:rsidRPr="00D26003">
        <w:rPr>
          <w:b/>
          <w:bCs/>
        </w:rPr>
        <w:t xml:space="preserve">The composition </w:t>
      </w:r>
      <w:r w:rsidR="00AA539D" w:rsidRPr="00D26003">
        <w:rPr>
          <w:b/>
          <w:bCs/>
        </w:rPr>
        <w:t xml:space="preserve">and working methods </w:t>
      </w:r>
      <w:r w:rsidRPr="00D26003">
        <w:rPr>
          <w:b/>
          <w:bCs/>
        </w:rPr>
        <w:t>of the Eva</w:t>
      </w:r>
      <w:r w:rsidR="00134A17" w:rsidRPr="00D26003">
        <w:rPr>
          <w:b/>
          <w:bCs/>
        </w:rPr>
        <w:t>luation Body</w:t>
      </w:r>
      <w:r w:rsidR="00134A17" w:rsidRPr="00D26003">
        <w:t>: The Evaluation Body is composed of six experts represent</w:t>
      </w:r>
      <w:r w:rsidR="004379A8" w:rsidRPr="00D26003">
        <w:t>ing</w:t>
      </w:r>
      <w:r w:rsidR="00134A17" w:rsidRPr="00D26003">
        <w:t xml:space="preserve"> States Parties and six</w:t>
      </w:r>
      <w:r w:rsidR="00C3532A" w:rsidRPr="00D26003">
        <w:t xml:space="preserve"> experts representing</w:t>
      </w:r>
      <w:r w:rsidR="00134A17" w:rsidRPr="00D26003">
        <w:t xml:space="preserve"> </w:t>
      </w:r>
      <w:r w:rsidR="00B30246" w:rsidRPr="00D26003">
        <w:t xml:space="preserve">accredited </w:t>
      </w:r>
      <w:r w:rsidR="00134A17" w:rsidRPr="00D26003">
        <w:t>non-governmental organizations</w:t>
      </w:r>
      <w:r w:rsidR="008743CC" w:rsidRPr="00D26003">
        <w:t xml:space="preserve"> (NGOs)</w:t>
      </w:r>
      <w:r w:rsidR="00134A17" w:rsidRPr="00D26003">
        <w:t>, taking into consideration equitable geographical representation</w:t>
      </w:r>
      <w:r w:rsidR="004379A8" w:rsidRPr="00D26003">
        <w:t>. A</w:t>
      </w:r>
      <w:r w:rsidR="00134A17" w:rsidRPr="00D26003">
        <w:t xml:space="preserve">ll members are elected by the Committee. </w:t>
      </w:r>
      <w:r w:rsidR="0064013C" w:rsidRPr="00D26003">
        <w:t xml:space="preserve">The working group will recall that the current composition of the Evaluation Body results from a significant reform </w:t>
      </w:r>
      <w:r w:rsidR="00DA1ED4" w:rsidRPr="00D26003">
        <w:t xml:space="preserve">that started </w:t>
      </w:r>
      <w:r w:rsidR="00CA7605" w:rsidRPr="00D26003">
        <w:t>with</w:t>
      </w:r>
      <w:r w:rsidR="00DA1ED4" w:rsidRPr="00D26003">
        <w:t xml:space="preserve"> the fifth session of the Committee in</w:t>
      </w:r>
      <w:r w:rsidR="0064013C" w:rsidRPr="00D26003">
        <w:t xml:space="preserve"> 2010 </w:t>
      </w:r>
      <w:r w:rsidR="00DA1ED4" w:rsidRPr="00D26003">
        <w:t>(</w:t>
      </w:r>
      <w:r w:rsidR="004204DC" w:rsidRPr="00D26003">
        <w:t xml:space="preserve">Decision </w:t>
      </w:r>
      <w:hyperlink r:id="rId13" w:history="1">
        <w:r w:rsidR="004204DC" w:rsidRPr="00D26003">
          <w:rPr>
            <w:rStyle w:val="Lienhypertexte"/>
          </w:rPr>
          <w:t>5.COM 7</w:t>
        </w:r>
      </w:hyperlink>
      <w:r w:rsidR="004204DC" w:rsidRPr="00D26003">
        <w:t xml:space="preserve">, Resolution </w:t>
      </w:r>
      <w:hyperlink r:id="rId14" w:history="1">
        <w:r w:rsidR="004204DC" w:rsidRPr="00D26003">
          <w:rPr>
            <w:rStyle w:val="Lienhypertexte"/>
          </w:rPr>
          <w:t>4.GA 5</w:t>
        </w:r>
      </w:hyperlink>
      <w:r w:rsidR="00DA1ED4" w:rsidRPr="00D26003">
        <w:t>) and formalized through the revisions to the Operational Directives by the fifth session of the General Assembly in</w:t>
      </w:r>
      <w:r w:rsidR="0064013C" w:rsidRPr="00D26003">
        <w:t xml:space="preserve"> 20</w:t>
      </w:r>
      <w:r w:rsidR="008611C1" w:rsidRPr="00D26003">
        <w:t xml:space="preserve">14 (Resolution </w:t>
      </w:r>
      <w:hyperlink r:id="rId15" w:history="1">
        <w:r w:rsidR="008611C1" w:rsidRPr="00D26003">
          <w:rPr>
            <w:rStyle w:val="Lienhypertexte"/>
          </w:rPr>
          <w:t>5.GA 5.1</w:t>
        </w:r>
      </w:hyperlink>
      <w:r w:rsidR="008611C1" w:rsidRPr="00D26003">
        <w:t>)</w:t>
      </w:r>
      <w:r w:rsidR="00DA1ED4" w:rsidRPr="00D26003">
        <w:t>.</w:t>
      </w:r>
      <w:r w:rsidR="0064013C" w:rsidRPr="00D26003">
        <w:t xml:space="preserve"> </w:t>
      </w:r>
      <w:r w:rsidR="00DA1ED4" w:rsidRPr="00D26003">
        <w:t>The reform essentially consisted of merging the two previous bodies</w:t>
      </w:r>
      <w:r w:rsidR="00802300" w:rsidRPr="00D26003">
        <w:t xml:space="preserve"> – the subsidiary body and the consultative body -</w:t>
      </w:r>
      <w:r w:rsidR="00DA1ED4" w:rsidRPr="00D26003">
        <w:t xml:space="preserve"> into one and balancing the representation of experts presented by States</w:t>
      </w:r>
      <w:r w:rsidR="00926926" w:rsidRPr="00D26003">
        <w:t xml:space="preserve"> Parties</w:t>
      </w:r>
      <w:r w:rsidR="00DA1ED4" w:rsidRPr="00D26003">
        <w:t xml:space="preserve"> and that of accredited non-governmental organizations.</w:t>
      </w:r>
    </w:p>
    <w:p w14:paraId="7F88F20D" w14:textId="53EE8A7C" w:rsidR="00030526" w:rsidRPr="00D26003" w:rsidRDefault="00DF4CF6" w:rsidP="00C61D37">
      <w:pPr>
        <w:pStyle w:val="1GAPara"/>
        <w:numPr>
          <w:ilvl w:val="1"/>
          <w:numId w:val="33"/>
        </w:numPr>
        <w:ind w:left="1134" w:hanging="567"/>
        <w:jc w:val="both"/>
      </w:pPr>
      <w:r w:rsidRPr="00D26003">
        <w:t>According to the established procedure, the Evaluation Body members evaluate each file individually before discussing the files collectively to arrive at a consensus for each criterion for every file.</w:t>
      </w:r>
      <w:r w:rsidR="00776CB1" w:rsidRPr="00D26003">
        <w:t xml:space="preserve"> </w:t>
      </w:r>
      <w:r w:rsidR="00F97A97" w:rsidRPr="00D26003">
        <w:t>T</w:t>
      </w:r>
      <w:r w:rsidR="00D93A36" w:rsidRPr="00D26003">
        <w:t>he discussion</w:t>
      </w:r>
      <w:r w:rsidR="00CA7605" w:rsidRPr="00D26003">
        <w:t>s</w:t>
      </w:r>
      <w:r w:rsidR="00A2330B" w:rsidRPr="00D26003">
        <w:t xml:space="preserve"> within the </w:t>
      </w:r>
      <w:r w:rsidR="00056868" w:rsidRPr="00D26003">
        <w:t xml:space="preserve">Evaluation </w:t>
      </w:r>
      <w:r w:rsidR="00A2330B" w:rsidRPr="00D26003">
        <w:t>Body</w:t>
      </w:r>
      <w:r w:rsidR="00D93A36" w:rsidRPr="00D26003">
        <w:t xml:space="preserve"> </w:t>
      </w:r>
      <w:r w:rsidR="00CA7605" w:rsidRPr="00D26003">
        <w:t xml:space="preserve">are </w:t>
      </w:r>
      <w:r w:rsidR="00F97A97" w:rsidRPr="00D26003">
        <w:t xml:space="preserve">conducted </w:t>
      </w:r>
      <w:r w:rsidR="00ED1D90" w:rsidRPr="00D26003">
        <w:t xml:space="preserve">on the basis of </w:t>
      </w:r>
      <w:r w:rsidR="00F97A97" w:rsidRPr="00D26003">
        <w:t xml:space="preserve">a </w:t>
      </w:r>
      <w:r w:rsidR="00D93A36" w:rsidRPr="00D26003">
        <w:t>‘check</w:t>
      </w:r>
      <w:r w:rsidR="00E7419E" w:rsidRPr="00D26003">
        <w:t>s</w:t>
      </w:r>
      <w:r w:rsidR="00D93A36" w:rsidRPr="00D26003">
        <w:t xml:space="preserve"> and balance</w:t>
      </w:r>
      <w:r w:rsidR="00C3532A" w:rsidRPr="00D26003">
        <w:t>s</w:t>
      </w:r>
      <w:r w:rsidR="00D93A36" w:rsidRPr="00D26003">
        <w:t>’</w:t>
      </w:r>
      <w:r w:rsidR="00E7419E" w:rsidRPr="00D26003">
        <w:t xml:space="preserve"> system,</w:t>
      </w:r>
      <w:r w:rsidR="00D93A36" w:rsidRPr="00D26003">
        <w:t xml:space="preserve"> </w:t>
      </w:r>
      <w:r w:rsidR="00F97A97" w:rsidRPr="00D26003">
        <w:t xml:space="preserve">as exchange of </w:t>
      </w:r>
      <w:r w:rsidR="00D93A36" w:rsidRPr="00D26003">
        <w:t xml:space="preserve">views </w:t>
      </w:r>
      <w:r w:rsidR="00F97A97" w:rsidRPr="00D26003">
        <w:t>take place</w:t>
      </w:r>
      <w:r w:rsidR="002B4730" w:rsidRPr="00D26003">
        <w:t xml:space="preserve"> amongst twelve members</w:t>
      </w:r>
      <w:r w:rsidR="00F97A97" w:rsidRPr="00D26003">
        <w:t xml:space="preserve"> </w:t>
      </w:r>
      <w:r w:rsidR="00ED1D90" w:rsidRPr="00D26003">
        <w:t>fr</w:t>
      </w:r>
      <w:r w:rsidR="00D93A36" w:rsidRPr="00D26003">
        <w:t>om different regions</w:t>
      </w:r>
      <w:r w:rsidR="00ED1D90" w:rsidRPr="00D26003">
        <w:t xml:space="preserve"> and with</w:t>
      </w:r>
      <w:r w:rsidR="00D93A36" w:rsidRPr="00D26003">
        <w:t xml:space="preserve"> </w:t>
      </w:r>
      <w:r w:rsidR="00CE7428" w:rsidRPr="00D26003">
        <w:t xml:space="preserve">different </w:t>
      </w:r>
      <w:r w:rsidR="00D93A36" w:rsidRPr="00D26003">
        <w:t xml:space="preserve">expertise on subject matters </w:t>
      </w:r>
      <w:r w:rsidR="00E7419E" w:rsidRPr="00D26003">
        <w:t>as well as</w:t>
      </w:r>
      <w:r w:rsidR="00D93A36" w:rsidRPr="00D26003">
        <w:t xml:space="preserve"> varying degree</w:t>
      </w:r>
      <w:r w:rsidR="00E7419E" w:rsidRPr="00D26003">
        <w:t>s</w:t>
      </w:r>
      <w:r w:rsidR="00D93A36" w:rsidRPr="00D26003">
        <w:t xml:space="preserve"> of experience with the evaluation process itself. </w:t>
      </w:r>
      <w:r w:rsidR="007852BB" w:rsidRPr="00D26003">
        <w:t xml:space="preserve">In this way, the Evaluation Body can apply </w:t>
      </w:r>
      <w:r w:rsidR="005829A8" w:rsidRPr="00D26003">
        <w:rPr>
          <w:u w:val="single"/>
        </w:rPr>
        <w:t xml:space="preserve">a </w:t>
      </w:r>
      <w:r w:rsidR="007852BB" w:rsidRPr="00D26003">
        <w:rPr>
          <w:u w:val="single"/>
        </w:rPr>
        <w:t>global</w:t>
      </w:r>
      <w:r w:rsidR="005829A8" w:rsidRPr="00D26003">
        <w:rPr>
          <w:u w:val="single"/>
        </w:rPr>
        <w:t>, or universal,</w:t>
      </w:r>
      <w:r w:rsidR="007852BB" w:rsidRPr="00D26003">
        <w:rPr>
          <w:u w:val="single"/>
        </w:rPr>
        <w:t xml:space="preserve"> </w:t>
      </w:r>
      <w:r w:rsidR="005829A8" w:rsidRPr="00D26003">
        <w:rPr>
          <w:u w:val="single"/>
        </w:rPr>
        <w:t xml:space="preserve">perspective through a </w:t>
      </w:r>
      <w:r w:rsidR="007852BB" w:rsidRPr="00D26003">
        <w:rPr>
          <w:u w:val="single"/>
        </w:rPr>
        <w:t>consensus-based methodology</w:t>
      </w:r>
      <w:r w:rsidR="007852BB" w:rsidRPr="00D26003">
        <w:t xml:space="preserve"> </w:t>
      </w:r>
      <w:r w:rsidR="005829A8" w:rsidRPr="00D26003">
        <w:t xml:space="preserve">for the evaluation of </w:t>
      </w:r>
      <w:r w:rsidR="007852BB" w:rsidRPr="00D26003">
        <w:t xml:space="preserve">each criterion of every nomination file. </w:t>
      </w:r>
      <w:r w:rsidR="00030526" w:rsidRPr="00D26003">
        <w:t>Over the years, the Evaluation Body has established a credibility with this working method, which allows it to report to the Committee with one voice.</w:t>
      </w:r>
    </w:p>
    <w:p w14:paraId="508165C6" w14:textId="66BA4AD0" w:rsidR="005829A8" w:rsidRPr="00D26003" w:rsidRDefault="00030526" w:rsidP="00C61D37">
      <w:pPr>
        <w:pStyle w:val="1GAPara"/>
        <w:numPr>
          <w:ilvl w:val="1"/>
          <w:numId w:val="33"/>
        </w:numPr>
        <w:ind w:left="1134" w:hanging="567"/>
        <w:jc w:val="both"/>
      </w:pPr>
      <w:r w:rsidRPr="00D26003">
        <w:t xml:space="preserve">The working group during its Part I and Part II </w:t>
      </w:r>
      <w:r w:rsidR="005829A8" w:rsidRPr="00D26003">
        <w:t xml:space="preserve">meetings, discussed reforming the evaluation body to redistribute the workload, including by considering a </w:t>
      </w:r>
      <w:r w:rsidRPr="00D26003">
        <w:t>possibility whereby</w:t>
      </w:r>
      <w:r w:rsidR="00431E04" w:rsidRPr="00D26003">
        <w:t>,</w:t>
      </w:r>
      <w:r w:rsidRPr="00D26003">
        <w:t xml:space="preserve"> </w:t>
      </w:r>
      <w:proofErr w:type="spellStart"/>
      <w:r w:rsidRPr="00D26003">
        <w:t>i</w:t>
      </w:r>
      <w:proofErr w:type="spellEnd"/>
      <w:r w:rsidRPr="00D26003">
        <w:t xml:space="preserve">) a second Evaluation Body composed of twelve members be established to assess an additional number of files or (ii) the number of Evaluation Body members remain at twelve, with two groups of six members separately evaluating a different set of nominations. </w:t>
      </w:r>
      <w:r w:rsidR="005829A8" w:rsidRPr="00D26003">
        <w:t xml:space="preserve">Whilst this distribution could preserve a global and </w:t>
      </w:r>
      <w:r w:rsidR="00431E04" w:rsidRPr="00D26003">
        <w:t>consensus-based</w:t>
      </w:r>
      <w:r w:rsidR="005829A8" w:rsidRPr="00D26003">
        <w:t xml:space="preserve"> approach, it brings two significant complications with it. The first concern</w:t>
      </w:r>
      <w:r w:rsidR="0064013C" w:rsidRPr="00D26003">
        <w:t>s</w:t>
      </w:r>
      <w:r w:rsidR="005829A8" w:rsidRPr="00D26003">
        <w:t xml:space="preserve"> the difficulty to maintain a consistency and coherence in quality and approach within a given cycle between two bodies working separately (indeed this is one of the reasons the previous two body system</w:t>
      </w:r>
      <w:r w:rsidR="00431E04" w:rsidRPr="00D26003">
        <w:t xml:space="preserve"> – the consultative body and subsidiary body </w:t>
      </w:r>
      <w:r w:rsidR="00AE21CB" w:rsidRPr="00D26003">
        <w:t>–</w:t>
      </w:r>
      <w:r w:rsidR="005829A8" w:rsidRPr="00D26003">
        <w:t xml:space="preserve"> was</w:t>
      </w:r>
      <w:r w:rsidR="00AE21CB" w:rsidRPr="00D26003">
        <w:t xml:space="preserve"> </w:t>
      </w:r>
      <w:r w:rsidR="005829A8" w:rsidRPr="00D26003">
        <w:t>merged into one).</w:t>
      </w:r>
      <w:r w:rsidR="009E5FBC" w:rsidRPr="00D26003">
        <w:t xml:space="preserve"> S</w:t>
      </w:r>
      <w:r w:rsidR="005829A8" w:rsidRPr="00D26003">
        <w:t xml:space="preserve">econdly this would effectively double the </w:t>
      </w:r>
      <w:r w:rsidR="001C4FB4" w:rsidRPr="00D26003">
        <w:t xml:space="preserve">organizational </w:t>
      </w:r>
      <w:r w:rsidR="005829A8" w:rsidRPr="00D26003">
        <w:t xml:space="preserve">workload of the Secretariat should it be expected to </w:t>
      </w:r>
      <w:r w:rsidR="00CF16FA" w:rsidRPr="00D26003">
        <w:t xml:space="preserve">provide </w:t>
      </w:r>
      <w:r w:rsidR="005829A8" w:rsidRPr="00D26003">
        <w:t xml:space="preserve">the same level of support </w:t>
      </w:r>
      <w:r w:rsidR="00CF16FA" w:rsidRPr="00D26003">
        <w:t xml:space="preserve">to </w:t>
      </w:r>
      <w:r w:rsidR="005829A8" w:rsidRPr="00D26003">
        <w:t xml:space="preserve">the Evaluation Body </w:t>
      </w:r>
      <w:r w:rsidR="00CF16FA" w:rsidRPr="00D26003">
        <w:t xml:space="preserve">that </w:t>
      </w:r>
      <w:r w:rsidR="005829A8" w:rsidRPr="00D26003">
        <w:t xml:space="preserve">currently </w:t>
      </w:r>
      <w:r w:rsidR="00CF16FA" w:rsidRPr="00D26003">
        <w:t>does</w:t>
      </w:r>
      <w:r w:rsidR="005829A8" w:rsidRPr="00D26003">
        <w:t>.</w:t>
      </w:r>
    </w:p>
    <w:p w14:paraId="38F07648" w14:textId="6EF51355" w:rsidR="00134A17" w:rsidRPr="00D26003" w:rsidRDefault="00ED1D90" w:rsidP="00C61D37">
      <w:pPr>
        <w:pStyle w:val="1GAPara"/>
        <w:numPr>
          <w:ilvl w:val="1"/>
          <w:numId w:val="33"/>
        </w:numPr>
        <w:ind w:left="1134" w:hanging="567"/>
        <w:jc w:val="both"/>
      </w:pPr>
      <w:r w:rsidRPr="00D26003">
        <w:t xml:space="preserve">In addition, the </w:t>
      </w:r>
      <w:r w:rsidR="00CE7428" w:rsidRPr="00D26003">
        <w:t xml:space="preserve">production of the substantial </w:t>
      </w:r>
      <w:r w:rsidRPr="00D26003">
        <w:t>report of the Evaluation Body is labour-intensive</w:t>
      </w:r>
      <w:r w:rsidR="00CE7428" w:rsidRPr="00D26003">
        <w:t xml:space="preserve"> </w:t>
      </w:r>
      <w:r w:rsidR="00E7419E" w:rsidRPr="00D26003">
        <w:t>and must</w:t>
      </w:r>
      <w:r w:rsidR="00CE7428" w:rsidRPr="00D26003">
        <w:t xml:space="preserve"> </w:t>
      </w:r>
      <w:r w:rsidRPr="00D26003">
        <w:t xml:space="preserve">take place in </w:t>
      </w:r>
      <w:r w:rsidR="00CE7428" w:rsidRPr="00D26003">
        <w:t xml:space="preserve">about </w:t>
      </w:r>
      <w:r w:rsidRPr="00D26003">
        <w:t>three months in order to meet statutory deadline</w:t>
      </w:r>
      <w:r w:rsidR="00A44CD4" w:rsidRPr="00D26003">
        <w:t>s</w:t>
      </w:r>
      <w:r w:rsidR="006A4548" w:rsidRPr="00D26003">
        <w:t>.</w:t>
      </w:r>
      <w:r w:rsidRPr="00D26003">
        <w:t xml:space="preserve"> </w:t>
      </w:r>
      <w:r w:rsidR="001C4FB4" w:rsidRPr="00D26003">
        <w:t xml:space="preserve">The quality of these reports is of utmost importance to the current and future credibility of the Convention, and it would not seem possible to do justice to the richness of the debates </w:t>
      </w:r>
      <w:r w:rsidR="006B0E54" w:rsidRPr="00D26003">
        <w:t xml:space="preserve">of </w:t>
      </w:r>
      <w:r w:rsidR="001C4FB4" w:rsidRPr="00D26003">
        <w:t xml:space="preserve">the </w:t>
      </w:r>
      <w:r w:rsidR="006A4548" w:rsidRPr="00D26003">
        <w:t>E</w:t>
      </w:r>
      <w:r w:rsidR="001C4FB4" w:rsidRPr="00D26003">
        <w:t xml:space="preserve">valuation </w:t>
      </w:r>
      <w:r w:rsidR="006A4548" w:rsidRPr="00D26003">
        <w:t>B</w:t>
      </w:r>
      <w:r w:rsidR="001C4FB4" w:rsidRPr="00D26003">
        <w:t>ody if the time for the report had to be halved in order to accommodate two bodies. I</w:t>
      </w:r>
      <w:r w:rsidR="00AC2626" w:rsidRPr="00D26003">
        <w:t>n</w:t>
      </w:r>
      <w:r w:rsidR="001C4FB4" w:rsidRPr="00D26003">
        <w:t xml:space="preserve"> that sense</w:t>
      </w:r>
      <w:r w:rsidR="006A4548" w:rsidRPr="00D26003">
        <w:t>,</w:t>
      </w:r>
      <w:r w:rsidR="001C4FB4" w:rsidRPr="00D26003">
        <w:t xml:space="preserve"> it simply</w:t>
      </w:r>
      <w:r w:rsidRPr="00D26003">
        <w:t xml:space="preserve"> </w:t>
      </w:r>
      <w:r w:rsidR="00CE7428" w:rsidRPr="00D26003">
        <w:t xml:space="preserve">does </w:t>
      </w:r>
      <w:r w:rsidR="00A44CD4" w:rsidRPr="00D26003">
        <w:t>not</w:t>
      </w:r>
      <w:r w:rsidR="00CE7428" w:rsidRPr="00D26003">
        <w:t xml:space="preserve"> seem</w:t>
      </w:r>
      <w:r w:rsidR="00A44CD4" w:rsidRPr="00D26003">
        <w:t xml:space="preserve"> possible</w:t>
      </w:r>
      <w:r w:rsidRPr="00D26003">
        <w:t xml:space="preserve"> to include </w:t>
      </w:r>
      <w:r w:rsidR="00CE7428" w:rsidRPr="00D26003">
        <w:t xml:space="preserve">considerably </w:t>
      </w:r>
      <w:r w:rsidRPr="00D26003">
        <w:t>more files</w:t>
      </w:r>
      <w:r w:rsidR="00A44CD4" w:rsidRPr="00D26003">
        <w:t xml:space="preserve"> </w:t>
      </w:r>
      <w:r w:rsidR="00CE7428" w:rsidRPr="00D26003">
        <w:t xml:space="preserve">in the yearly cycle </w:t>
      </w:r>
      <w:r w:rsidR="00A44CD4" w:rsidRPr="00D26003">
        <w:t xml:space="preserve">and </w:t>
      </w:r>
      <w:r w:rsidR="00CE7428" w:rsidRPr="00D26003">
        <w:t xml:space="preserve">expect that the same </w:t>
      </w:r>
      <w:r w:rsidR="009B73B0" w:rsidRPr="00D26003">
        <w:t>quality</w:t>
      </w:r>
      <w:r w:rsidR="00CE7428" w:rsidRPr="00D26003">
        <w:t xml:space="preserve"> of recommendations be delivered t</w:t>
      </w:r>
      <w:r w:rsidR="00A44CD4" w:rsidRPr="00D26003">
        <w:t>o the Committee</w:t>
      </w:r>
      <w:r w:rsidR="00EA176B" w:rsidRPr="00D26003">
        <w:t xml:space="preserve"> </w:t>
      </w:r>
      <w:r w:rsidR="00306EF6" w:rsidRPr="00D26003">
        <w:t xml:space="preserve">within the </w:t>
      </w:r>
      <w:r w:rsidR="00CE7428" w:rsidRPr="00D26003">
        <w:t xml:space="preserve">same </w:t>
      </w:r>
      <w:r w:rsidR="00306EF6" w:rsidRPr="00D26003">
        <w:t>timeframe</w:t>
      </w:r>
      <w:r w:rsidR="00A44CD4" w:rsidRPr="00D26003">
        <w:t>.</w:t>
      </w:r>
    </w:p>
    <w:p w14:paraId="05359AED" w14:textId="54684A0C" w:rsidR="005657A8" w:rsidRPr="00D26003" w:rsidRDefault="00111725" w:rsidP="00CB17EF">
      <w:pPr>
        <w:pStyle w:val="1GAPara"/>
        <w:numPr>
          <w:ilvl w:val="0"/>
          <w:numId w:val="0"/>
        </w:numPr>
        <w:ind w:left="567"/>
        <w:jc w:val="both"/>
      </w:pPr>
      <w:r w:rsidRPr="00D26003">
        <w:rPr>
          <w:b/>
          <w:bCs/>
        </w:rPr>
        <w:t>b</w:t>
      </w:r>
      <w:r w:rsidR="00CB17EF" w:rsidRPr="00D26003">
        <w:rPr>
          <w:b/>
          <w:bCs/>
        </w:rPr>
        <w:t>. Workflow</w:t>
      </w:r>
      <w:r w:rsidR="00AA539D" w:rsidRPr="00D26003">
        <w:rPr>
          <w:b/>
          <w:bCs/>
        </w:rPr>
        <w:t xml:space="preserve"> and timeline</w:t>
      </w:r>
      <w:r w:rsidR="00CB17EF" w:rsidRPr="00D26003">
        <w:t xml:space="preserve">: The nomination process takes up to twenty-one months from the submission of the file to the decision by the Committee (see paragraph 54 of the Operational Directives). The detailed workflow can be seen in </w:t>
      </w:r>
      <w:hyperlink w:anchor="Annex3" w:history="1">
        <w:r w:rsidR="00CB17EF" w:rsidRPr="00D26003">
          <w:rPr>
            <w:rStyle w:val="Lienhypertexte"/>
          </w:rPr>
          <w:t>Annex I</w:t>
        </w:r>
        <w:r w:rsidR="005C6FB9" w:rsidRPr="00D26003">
          <w:rPr>
            <w:rStyle w:val="Lienhypertexte"/>
          </w:rPr>
          <w:t>I</w:t>
        </w:r>
        <w:r w:rsidR="00CB17EF" w:rsidRPr="00D26003">
          <w:rPr>
            <w:rStyle w:val="Lienhypertexte"/>
          </w:rPr>
          <w:t>I</w:t>
        </w:r>
      </w:hyperlink>
      <w:r w:rsidR="00CB17EF" w:rsidRPr="00D26003">
        <w:t>, which indicates the different steps from the preparatory assistance phase to the submission of nominations, the establishment of the list of files for each cycle, the processing of the files by the Secretariat, the work by the Evaluation Body (including a possible dialogue process), and the examination of nominations by the Committee with its post-inscription administrative phase.</w:t>
      </w:r>
    </w:p>
    <w:p w14:paraId="61E5E137" w14:textId="13D4F976" w:rsidR="00CB17EF" w:rsidRPr="00D26003" w:rsidRDefault="008F4FD1" w:rsidP="00C61D37">
      <w:pPr>
        <w:pStyle w:val="1GAPara"/>
        <w:numPr>
          <w:ilvl w:val="1"/>
          <w:numId w:val="33"/>
        </w:numPr>
        <w:ind w:left="1134" w:hanging="567"/>
        <w:jc w:val="both"/>
      </w:pPr>
      <w:r w:rsidRPr="00D26003">
        <w:lastRenderedPageBreak/>
        <w:t xml:space="preserve">The preliminary </w:t>
      </w:r>
      <w:r w:rsidR="00E86DB4" w:rsidRPr="00D26003">
        <w:t xml:space="preserve">analysis </w:t>
      </w:r>
      <w:r w:rsidR="0073620C" w:rsidRPr="00D26003">
        <w:t xml:space="preserve">indicates </w:t>
      </w:r>
      <w:r w:rsidR="00CB17EF" w:rsidRPr="00D26003">
        <w:t xml:space="preserve">that </w:t>
      </w:r>
      <w:r w:rsidR="005C2852" w:rsidRPr="00D26003">
        <w:t>the changes in the composition of the Evaluation Body – either doubling in number or divided into multiple smaller groups –</w:t>
      </w:r>
      <w:r w:rsidRPr="00D26003">
        <w:t xml:space="preserve"> </w:t>
      </w:r>
      <w:r w:rsidR="005657A8" w:rsidRPr="00D26003">
        <w:t>would mean that (</w:t>
      </w:r>
      <w:proofErr w:type="spellStart"/>
      <w:r w:rsidR="005657A8" w:rsidRPr="00D26003">
        <w:t>i</w:t>
      </w:r>
      <w:proofErr w:type="spellEnd"/>
      <w:r w:rsidR="005657A8" w:rsidRPr="00D26003">
        <w:t xml:space="preserve">) </w:t>
      </w:r>
      <w:r w:rsidR="00AC3AEA" w:rsidRPr="00D26003">
        <w:t xml:space="preserve">the workload of the Secretariat would be doubled, making it </w:t>
      </w:r>
      <w:r w:rsidR="009523E6" w:rsidRPr="00D26003">
        <w:t xml:space="preserve">extremely difficult </w:t>
      </w:r>
      <w:r w:rsidR="00AC3AEA" w:rsidRPr="00D26003">
        <w:t xml:space="preserve">for </w:t>
      </w:r>
      <w:r w:rsidR="005657A8" w:rsidRPr="00D26003">
        <w:t xml:space="preserve">the Secretariat to accompany the work of the Evaluation Body </w:t>
      </w:r>
      <w:r w:rsidR="009523E6" w:rsidRPr="00D26003">
        <w:t>in the same way and under the same timelines</w:t>
      </w:r>
      <w:r w:rsidR="005657A8" w:rsidRPr="00D26003">
        <w:t xml:space="preserve">, and (ii) it </w:t>
      </w:r>
      <w:r w:rsidRPr="00D26003">
        <w:t xml:space="preserve">would not allow the </w:t>
      </w:r>
      <w:r w:rsidR="00AC2626" w:rsidRPr="00D26003">
        <w:t xml:space="preserve">report of the </w:t>
      </w:r>
      <w:r w:rsidR="005E7F30" w:rsidRPr="00D26003">
        <w:t>E</w:t>
      </w:r>
      <w:r w:rsidR="00AC2626" w:rsidRPr="00D26003">
        <w:t xml:space="preserve">valuation </w:t>
      </w:r>
      <w:r w:rsidR="005E7F30" w:rsidRPr="00D26003">
        <w:t>B</w:t>
      </w:r>
      <w:r w:rsidR="00AC2626" w:rsidRPr="00D26003">
        <w:t xml:space="preserve">ody, or bodies, to maintain both consistency and quality should the process continue to be kept within the current </w:t>
      </w:r>
      <w:r w:rsidR="00CB17EF" w:rsidRPr="00D26003">
        <w:t>overall twenty-one-month period</w:t>
      </w:r>
      <w:r w:rsidR="00AC2626" w:rsidRPr="00D26003">
        <w:t>. It would almost certainly imply</w:t>
      </w:r>
      <w:r w:rsidR="007C2EF8" w:rsidRPr="00D26003">
        <w:t xml:space="preserve"> making the process longer</w:t>
      </w:r>
      <w:r w:rsidR="00CB17EF" w:rsidRPr="00D26003">
        <w:t>.</w:t>
      </w:r>
    </w:p>
    <w:p w14:paraId="6FB5BAA8" w14:textId="56E9995C" w:rsidR="00DA120D" w:rsidRPr="00D26003" w:rsidRDefault="00111725" w:rsidP="005B2AFC">
      <w:pPr>
        <w:pStyle w:val="1GAPara"/>
        <w:numPr>
          <w:ilvl w:val="0"/>
          <w:numId w:val="0"/>
        </w:numPr>
        <w:ind w:left="567"/>
        <w:jc w:val="both"/>
      </w:pPr>
      <w:r w:rsidRPr="00D26003">
        <w:rPr>
          <w:b/>
          <w:bCs/>
        </w:rPr>
        <w:t>c</w:t>
      </w:r>
      <w:r w:rsidR="005B2AFC" w:rsidRPr="00D26003">
        <w:rPr>
          <w:b/>
          <w:bCs/>
        </w:rPr>
        <w:t>. Resources</w:t>
      </w:r>
      <w:r w:rsidR="005B2AFC" w:rsidRPr="00D26003">
        <w:t xml:space="preserve">: </w:t>
      </w:r>
      <w:r w:rsidR="007C2EF8" w:rsidRPr="00D26003">
        <w:t xml:space="preserve">Each nomination </w:t>
      </w:r>
      <w:r w:rsidR="005B2AFC" w:rsidRPr="00D26003">
        <w:t xml:space="preserve">is estimated to </w:t>
      </w:r>
      <w:r w:rsidR="007C2EF8" w:rsidRPr="00D26003">
        <w:t>cost</w:t>
      </w:r>
      <w:r w:rsidR="005B2AFC" w:rsidRPr="00D26003">
        <w:t xml:space="preserve"> around </w:t>
      </w:r>
      <w:r w:rsidR="005B2AFC" w:rsidRPr="00D26003">
        <w:rPr>
          <w:u w:val="single"/>
        </w:rPr>
        <w:t>US$20,000</w:t>
      </w:r>
      <w:r w:rsidR="005B2AFC" w:rsidRPr="00D26003">
        <w:t xml:space="preserve">, financed by the Regular Programme of UNESCO (69%) and the Intangible Cultural Heritage Fund (31%), from the time that the files are submitted to the Secretariat (and for some nominations also including the administration of preparatory assistance) until the examination by the Committee. This amount includes approximately US$10,000 for the treatment, assessment and examination of each nomination, as well </w:t>
      </w:r>
      <w:r w:rsidR="008F4FD1" w:rsidRPr="00D26003">
        <w:t xml:space="preserve">as </w:t>
      </w:r>
      <w:r w:rsidR="005B2AFC" w:rsidRPr="00D26003">
        <w:t xml:space="preserve">around US$10,000 </w:t>
      </w:r>
      <w:r w:rsidR="00735D39" w:rsidRPr="00D26003">
        <w:t xml:space="preserve">per </w:t>
      </w:r>
      <w:r w:rsidR="005B2AFC" w:rsidRPr="00D26003">
        <w:t>nomination file for the coordination by the Secretariat of the entire evaluation process and its associated meetings.</w:t>
      </w:r>
      <w:r w:rsidR="00102D21" w:rsidRPr="00D26003">
        <w:t xml:space="preserve"> The costs incurred by submitting States are additional to this costing, which seem to vary significantly depending on the context specific to each country.</w:t>
      </w:r>
    </w:p>
    <w:p w14:paraId="635EA329" w14:textId="7C3AB8BF" w:rsidR="005B2AFC" w:rsidRPr="00D26003" w:rsidRDefault="005B2AFC" w:rsidP="00C61D37">
      <w:pPr>
        <w:pStyle w:val="1GAPara"/>
        <w:numPr>
          <w:ilvl w:val="1"/>
          <w:numId w:val="33"/>
        </w:numPr>
        <w:ind w:left="1134" w:hanging="567"/>
        <w:jc w:val="both"/>
      </w:pPr>
      <w:r w:rsidRPr="00D26003">
        <w:t xml:space="preserve">This means that around 1 to 1.2 million US dollars </w:t>
      </w:r>
      <w:r w:rsidR="007C2EF8" w:rsidRPr="00D26003">
        <w:t>have been</w:t>
      </w:r>
      <w:r w:rsidRPr="00D26003">
        <w:t xml:space="preserve"> expended </w:t>
      </w:r>
      <w:r w:rsidR="007C2EF8" w:rsidRPr="00D26003">
        <w:t>in recent time</w:t>
      </w:r>
      <w:r w:rsidR="00315971" w:rsidRPr="00D26003">
        <w:t>s</w:t>
      </w:r>
      <w:r w:rsidR="007C2EF8" w:rsidRPr="00D26003">
        <w:t xml:space="preserve"> </w:t>
      </w:r>
      <w:r w:rsidRPr="00D26003">
        <w:t xml:space="preserve">every year to support the listing mechanisms. As indicated in </w:t>
      </w:r>
      <w:hyperlink w:anchor="Annex3" w:history="1">
        <w:r w:rsidRPr="00D26003">
          <w:rPr>
            <w:rStyle w:val="Lienhypertexte"/>
          </w:rPr>
          <w:t>Annex II</w:t>
        </w:r>
        <w:r w:rsidR="0073620C" w:rsidRPr="00D26003">
          <w:rPr>
            <w:rStyle w:val="Lienhypertexte"/>
          </w:rPr>
          <w:t>I</w:t>
        </w:r>
      </w:hyperlink>
      <w:r w:rsidRPr="00D26003">
        <w:t xml:space="preserve">, a team of at least </w:t>
      </w:r>
      <w:r w:rsidR="0090584C" w:rsidRPr="00D26003">
        <w:t xml:space="preserve">five to </w:t>
      </w:r>
      <w:r w:rsidRPr="00D26003">
        <w:t xml:space="preserve">eight persons in the Secretariat are closely involved in the nomination process. The technical nature and the complexity of the tasks are such that the engagement of permanent staff is required for the core business; this staff cannot be replaced by temporary staff or secondment personnel as frequent turnover makes it difficult to </w:t>
      </w:r>
      <w:r w:rsidR="00D7664F" w:rsidRPr="00D26003">
        <w:t xml:space="preserve">ensure </w:t>
      </w:r>
      <w:r w:rsidR="00315971" w:rsidRPr="00D26003">
        <w:t>quality and consistency</w:t>
      </w:r>
      <w:r w:rsidR="00D7664F" w:rsidRPr="00D26003">
        <w:t xml:space="preserve"> of the operations of the Secretariat</w:t>
      </w:r>
      <w:r w:rsidRPr="00D26003">
        <w:t>.</w:t>
      </w:r>
    </w:p>
    <w:p w14:paraId="7E6E1D7F" w14:textId="6C72ECEB" w:rsidR="009523E6" w:rsidRPr="00D26003" w:rsidRDefault="005B2AFC" w:rsidP="00C61D37">
      <w:pPr>
        <w:pStyle w:val="1GAPara"/>
        <w:numPr>
          <w:ilvl w:val="1"/>
          <w:numId w:val="33"/>
        </w:numPr>
        <w:ind w:left="1134" w:hanging="567"/>
        <w:jc w:val="both"/>
      </w:pPr>
      <w:r w:rsidRPr="00D26003">
        <w:t>Should (</w:t>
      </w:r>
      <w:proofErr w:type="spellStart"/>
      <w:r w:rsidRPr="00D26003">
        <w:t>i</w:t>
      </w:r>
      <w:proofErr w:type="spellEnd"/>
      <w:r w:rsidRPr="00D26003">
        <w:t>) a second Evaluation Body composed of twelve members be established to assess an additional number of files or (ii) the number of Evaluation Body members remain at twelve, with two groups of six members separately evaluating a different set of nominations, additional costs would be incurred for the treatment, assessment and examination of each additional file to be assessed (</w:t>
      </w:r>
      <w:r w:rsidR="00315971" w:rsidRPr="00D26003">
        <w:t xml:space="preserve">estimated at </w:t>
      </w:r>
      <w:r w:rsidRPr="00D26003">
        <w:t xml:space="preserve">US$10,000 per file) </w:t>
      </w:r>
      <w:r w:rsidR="00315971" w:rsidRPr="00D26003">
        <w:t xml:space="preserve">and, perhaps more significantly, </w:t>
      </w:r>
      <w:r w:rsidRPr="00D26003">
        <w:t xml:space="preserve">the coordination of the evaluation process and associated meetings would need to be </w:t>
      </w:r>
      <w:r w:rsidRPr="00D26003">
        <w:rPr>
          <w:u w:val="single"/>
        </w:rPr>
        <w:t>outsourced</w:t>
      </w:r>
      <w:r w:rsidRPr="00D26003">
        <w:t xml:space="preserve"> given the current </w:t>
      </w:r>
      <w:r w:rsidR="00315971" w:rsidRPr="00D26003">
        <w:t xml:space="preserve">human resource </w:t>
      </w:r>
      <w:r w:rsidRPr="00D26003">
        <w:t>constraints</w:t>
      </w:r>
      <w:r w:rsidR="00315971" w:rsidRPr="00D26003">
        <w:t xml:space="preserve"> of the Secretariat.</w:t>
      </w:r>
    </w:p>
    <w:p w14:paraId="40A6555B" w14:textId="0FF7F766" w:rsidR="005B2AFC" w:rsidRPr="00D26003" w:rsidRDefault="009523E6" w:rsidP="00C61D37">
      <w:pPr>
        <w:pStyle w:val="1GAPara"/>
        <w:numPr>
          <w:ilvl w:val="1"/>
          <w:numId w:val="33"/>
        </w:numPr>
        <w:ind w:left="1134" w:hanging="567"/>
        <w:jc w:val="both"/>
      </w:pPr>
      <w:r w:rsidRPr="00D26003">
        <w:t>Should the number of files and in consequence the number of meetings be doubled, the Secretariat would need to be substantially and proportionately reinforced in order to have the capacity to absorb such an increase and have the means to adequately support the Evaluation Body</w:t>
      </w:r>
      <w:r w:rsidR="00BE2BBF" w:rsidRPr="00D26003">
        <w:t>.</w:t>
      </w:r>
      <w:r w:rsidR="00315971" w:rsidRPr="00D26003">
        <w:t xml:space="preserve"> </w:t>
      </w:r>
      <w:r w:rsidRPr="00D26003">
        <w:t xml:space="preserve">The only other option </w:t>
      </w:r>
      <w:r w:rsidR="00EE6008" w:rsidRPr="00D26003">
        <w:t>seems to</w:t>
      </w:r>
      <w:r w:rsidRPr="00D26003">
        <w:t xml:space="preserve"> be to outsource the organi</w:t>
      </w:r>
      <w:r w:rsidR="00C54590" w:rsidRPr="00D26003">
        <w:t>z</w:t>
      </w:r>
      <w:r w:rsidRPr="00D26003">
        <w:t xml:space="preserve">ation of the work of the Evaluation Body which would raise a series of </w:t>
      </w:r>
      <w:r w:rsidR="00EE6008" w:rsidRPr="00D26003">
        <w:t xml:space="preserve">other </w:t>
      </w:r>
      <w:r w:rsidRPr="00D26003">
        <w:t xml:space="preserve">concerns: to whom </w:t>
      </w:r>
      <w:r w:rsidR="005B6CFE" w:rsidRPr="00D26003">
        <w:t xml:space="preserve">would </w:t>
      </w:r>
      <w:r w:rsidRPr="00D26003">
        <w:t xml:space="preserve">the tasks be entrusted and </w:t>
      </w:r>
      <w:r w:rsidR="005B6CFE" w:rsidRPr="00D26003">
        <w:t>how much would that cost</w:t>
      </w:r>
      <w:r w:rsidRPr="00D26003">
        <w:t>? How to ensure the continuity and quality of evaluations</w:t>
      </w:r>
      <w:r w:rsidR="005B6CFE" w:rsidRPr="00D26003">
        <w:t>, as well as their coherence with the principles of the Convention</w:t>
      </w:r>
      <w:r w:rsidRPr="00D26003">
        <w:t xml:space="preserve">? </w:t>
      </w:r>
      <w:r w:rsidR="005B6CFE" w:rsidRPr="00D26003">
        <w:t>Would it entail</w:t>
      </w:r>
      <w:r w:rsidR="00A7475B" w:rsidRPr="00D26003">
        <w:t xml:space="preserve"> risks in terms of fairness of treatment?</w:t>
      </w:r>
    </w:p>
    <w:p w14:paraId="0453CA45" w14:textId="6B372A94" w:rsidR="00F81FEE" w:rsidRPr="00D26003" w:rsidRDefault="00B46C04" w:rsidP="00C61D37">
      <w:pPr>
        <w:pStyle w:val="1GAPara"/>
        <w:numPr>
          <w:ilvl w:val="0"/>
          <w:numId w:val="0"/>
        </w:numPr>
        <w:spacing w:before="240"/>
        <w:ind w:left="567" w:hanging="567"/>
        <w:rPr>
          <w:b/>
          <w:bCs/>
        </w:rPr>
      </w:pPr>
      <w:r w:rsidRPr="00D26003">
        <w:rPr>
          <w:b/>
          <w:bCs/>
        </w:rPr>
        <w:t>D</w:t>
      </w:r>
      <w:r w:rsidR="0099564A" w:rsidRPr="00D26003">
        <w:rPr>
          <w:b/>
          <w:bCs/>
        </w:rPr>
        <w:t xml:space="preserve">. </w:t>
      </w:r>
      <w:r w:rsidR="005C6FB9" w:rsidRPr="00D26003">
        <w:rPr>
          <w:b/>
          <w:bCs/>
        </w:rPr>
        <w:tab/>
      </w:r>
      <w:r w:rsidR="00A5567F" w:rsidRPr="00D26003">
        <w:rPr>
          <w:b/>
          <w:bCs/>
        </w:rPr>
        <w:t>T</w:t>
      </w:r>
      <w:r w:rsidR="005369E0" w:rsidRPr="00D26003">
        <w:rPr>
          <w:b/>
          <w:bCs/>
        </w:rPr>
        <w:t>he annual ceiling</w:t>
      </w:r>
      <w:r w:rsidR="00251081" w:rsidRPr="00D26003">
        <w:rPr>
          <w:b/>
          <w:bCs/>
        </w:rPr>
        <w:t xml:space="preserve"> and the order of priorities</w:t>
      </w:r>
      <w:r w:rsidR="00EE43BF" w:rsidRPr="00D26003">
        <w:rPr>
          <w:b/>
          <w:bCs/>
        </w:rPr>
        <w:t xml:space="preserve"> </w:t>
      </w:r>
      <w:r w:rsidR="00E7419E" w:rsidRPr="00D26003">
        <w:rPr>
          <w:b/>
          <w:bCs/>
        </w:rPr>
        <w:t>–</w:t>
      </w:r>
      <w:r w:rsidR="00A5567F" w:rsidRPr="00D26003">
        <w:rPr>
          <w:b/>
          <w:bCs/>
        </w:rPr>
        <w:t xml:space="preserve"> two </w:t>
      </w:r>
      <w:r w:rsidR="00365D2D" w:rsidRPr="00D26003">
        <w:rPr>
          <w:b/>
          <w:bCs/>
        </w:rPr>
        <w:t xml:space="preserve">options and </w:t>
      </w:r>
      <w:r w:rsidR="00C85CEB" w:rsidRPr="00D26003">
        <w:rPr>
          <w:b/>
          <w:bCs/>
        </w:rPr>
        <w:t xml:space="preserve">their </w:t>
      </w:r>
      <w:r w:rsidR="00365D2D" w:rsidRPr="00D26003">
        <w:rPr>
          <w:b/>
          <w:bCs/>
        </w:rPr>
        <w:t>implications</w:t>
      </w:r>
    </w:p>
    <w:p w14:paraId="068296B5" w14:textId="45202E3A" w:rsidR="005C6FB9" w:rsidRPr="00D26003" w:rsidRDefault="00562312" w:rsidP="00B73ED3">
      <w:pPr>
        <w:pStyle w:val="1GAPara"/>
        <w:keepNext/>
        <w:numPr>
          <w:ilvl w:val="0"/>
          <w:numId w:val="3"/>
        </w:numPr>
        <w:ind w:left="567" w:hanging="567"/>
        <w:jc w:val="both"/>
      </w:pPr>
      <w:r w:rsidRPr="00D26003">
        <w:t xml:space="preserve">In moving forward, the working group may consider the following two </w:t>
      </w:r>
      <w:r w:rsidR="00DE3A78" w:rsidRPr="00D26003">
        <w:t xml:space="preserve">options </w:t>
      </w:r>
      <w:r w:rsidRPr="00D26003">
        <w:t>in order to conclude its recommendation on the issue of the number of nominations to be treated per cycle.</w:t>
      </w:r>
      <w:r w:rsidR="008477A8" w:rsidRPr="00D26003">
        <w:t xml:space="preserve"> These two options consider Topic 1 as well as Topics 2 to 5 as entrusted </w:t>
      </w:r>
      <w:r w:rsidR="00DE3A78" w:rsidRPr="00D26003">
        <w:t xml:space="preserve">for the consideration by </w:t>
      </w:r>
      <w:r w:rsidR="008477A8" w:rsidRPr="00D26003">
        <w:t>Part I</w:t>
      </w:r>
      <w:r w:rsidR="00DE3A78" w:rsidRPr="00D26003">
        <w:t>I</w:t>
      </w:r>
      <w:r w:rsidR="008477A8" w:rsidRPr="00D26003">
        <w:t>I of the working group.</w:t>
      </w:r>
    </w:p>
    <w:p w14:paraId="7E9A366A" w14:textId="77777777" w:rsidR="005C6FB9" w:rsidRPr="00D26003" w:rsidRDefault="005C6FB9">
      <w:pPr>
        <w:spacing w:after="0"/>
        <w:rPr>
          <w:rFonts w:ascii="Arial" w:hAnsi="Arial" w:cs="Arial"/>
          <w:snapToGrid w:val="0"/>
          <w:szCs w:val="22"/>
          <w:lang w:eastAsia="en-US"/>
        </w:rPr>
      </w:pPr>
      <w:r w:rsidRPr="00D26003">
        <w:br w:type="page"/>
      </w:r>
    </w:p>
    <w:p w14:paraId="6B89E4D0" w14:textId="77777777" w:rsidR="005C6FB9" w:rsidRPr="00D26003" w:rsidRDefault="005C6FB9" w:rsidP="00C61D37">
      <w:pPr>
        <w:pStyle w:val="1GAPara"/>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before="360"/>
        <w:ind w:left="567"/>
        <w:jc w:val="both"/>
        <w:rPr>
          <w:u w:val="single"/>
        </w:rPr>
      </w:pPr>
      <w:r w:rsidRPr="00D26003">
        <w:lastRenderedPageBreak/>
        <w:t xml:space="preserve">Option A. Continue the current </w:t>
      </w:r>
      <w:r w:rsidRPr="00D26003">
        <w:rPr>
          <w:i/>
          <w:iCs/>
        </w:rPr>
        <w:t>de facto</w:t>
      </w:r>
      <w:r w:rsidRPr="00D26003">
        <w:t xml:space="preserve"> system (</w:t>
      </w:r>
      <w:r w:rsidRPr="00D26003">
        <w:rPr>
          <w:b/>
          <w:bCs/>
        </w:rPr>
        <w:t>at least fifty-five and no more than</w:t>
      </w:r>
      <w:r w:rsidRPr="00D26003">
        <w:t xml:space="preserve"> </w:t>
      </w:r>
      <w:r w:rsidRPr="00D26003">
        <w:rPr>
          <w:b/>
          <w:bCs/>
        </w:rPr>
        <w:t>sixty files</w:t>
      </w:r>
      <w:r w:rsidRPr="00D26003">
        <w:t xml:space="preserve"> </w:t>
      </w:r>
      <w:r w:rsidRPr="00D26003">
        <w:rPr>
          <w:b/>
          <w:bCs/>
        </w:rPr>
        <w:t>per year</w:t>
      </w:r>
      <w:r w:rsidRPr="00D26003">
        <w:t>) with a revised prioritisation system</w:t>
      </w:r>
      <w:r w:rsidRPr="00D26003">
        <w:rPr>
          <w:u w:val="single"/>
        </w:rPr>
        <w:t xml:space="preserve"> </w:t>
      </w:r>
    </w:p>
    <w:p w14:paraId="02B0807B" w14:textId="7F97544C" w:rsidR="00E0679C" w:rsidRPr="00D26003" w:rsidRDefault="00E0679C" w:rsidP="00C61D37">
      <w:pPr>
        <w:pStyle w:val="1GAPara"/>
        <w:numPr>
          <w:ilvl w:val="0"/>
          <w:numId w:val="0"/>
        </w:numPr>
        <w:spacing w:before="240"/>
        <w:ind w:left="567"/>
        <w:jc w:val="both"/>
        <w:rPr>
          <w:u w:val="single"/>
        </w:rPr>
      </w:pPr>
      <w:r w:rsidRPr="00D26003">
        <w:rPr>
          <w:u w:val="single"/>
        </w:rPr>
        <w:t xml:space="preserve">Why </w:t>
      </w:r>
      <w:r w:rsidR="00AE47B7" w:rsidRPr="00D26003">
        <w:rPr>
          <w:u w:val="single"/>
        </w:rPr>
        <w:t xml:space="preserve">continue the current </w:t>
      </w:r>
      <w:r w:rsidR="00AE47B7" w:rsidRPr="00D26003">
        <w:rPr>
          <w:i/>
          <w:iCs/>
          <w:u w:val="single"/>
        </w:rPr>
        <w:t>de fact</w:t>
      </w:r>
      <w:r w:rsidR="00D33524" w:rsidRPr="00D26003">
        <w:rPr>
          <w:i/>
          <w:iCs/>
          <w:u w:val="single"/>
        </w:rPr>
        <w:t>o</w:t>
      </w:r>
      <w:r w:rsidR="00AE47B7" w:rsidRPr="00D26003">
        <w:rPr>
          <w:u w:val="single"/>
        </w:rPr>
        <w:t xml:space="preserve"> system</w:t>
      </w:r>
      <w:r w:rsidRPr="00D26003">
        <w:rPr>
          <w:u w:val="single"/>
        </w:rPr>
        <w:t>?</w:t>
      </w:r>
    </w:p>
    <w:p w14:paraId="56686B05" w14:textId="605C35A8" w:rsidR="00134A17" w:rsidRPr="00D26003" w:rsidRDefault="00860EE1" w:rsidP="0034096E">
      <w:pPr>
        <w:pStyle w:val="1GAPara"/>
        <w:numPr>
          <w:ilvl w:val="0"/>
          <w:numId w:val="3"/>
        </w:numPr>
        <w:spacing w:before="120"/>
        <w:ind w:left="567" w:hanging="567"/>
        <w:jc w:val="both"/>
      </w:pPr>
      <w:r w:rsidRPr="00D26003">
        <w:t>T</w:t>
      </w:r>
      <w:r w:rsidR="003B5599" w:rsidRPr="00D26003">
        <w:t xml:space="preserve">he results of the </w:t>
      </w:r>
      <w:r w:rsidRPr="00D26003">
        <w:t xml:space="preserve">global </w:t>
      </w:r>
      <w:r w:rsidR="003B5599" w:rsidRPr="00D26003">
        <w:t xml:space="preserve">reflection </w:t>
      </w:r>
      <w:r w:rsidRPr="00D26003">
        <w:t xml:space="preserve">process </w:t>
      </w:r>
      <w:r w:rsidR="003B5599" w:rsidRPr="00D26003">
        <w:t>on the listing mechanism</w:t>
      </w:r>
      <w:r w:rsidR="00677218" w:rsidRPr="00D26003">
        <w:t>s</w:t>
      </w:r>
      <w:r w:rsidR="003B5599" w:rsidRPr="00D26003">
        <w:t xml:space="preserve"> so far </w:t>
      </w:r>
      <w:r w:rsidR="00A715CE" w:rsidRPr="00D26003">
        <w:t>do not allow for a</w:t>
      </w:r>
      <w:r w:rsidR="003B5599" w:rsidRPr="00D26003">
        <w:t xml:space="preserve"> decrease </w:t>
      </w:r>
      <w:r w:rsidR="00A715CE" w:rsidRPr="00D26003">
        <w:t xml:space="preserve">in </w:t>
      </w:r>
      <w:r w:rsidR="003B5599" w:rsidRPr="00D26003">
        <w:t>workload</w:t>
      </w:r>
      <w:r w:rsidR="004F0754" w:rsidRPr="00D26003">
        <w:t>. This is because</w:t>
      </w:r>
      <w:r w:rsidR="00A141F4" w:rsidRPr="00D26003">
        <w:t xml:space="preserve"> </w:t>
      </w:r>
      <w:r w:rsidR="003B5599" w:rsidRPr="00D26003">
        <w:t xml:space="preserve">all criteria for the </w:t>
      </w:r>
      <w:r w:rsidR="0034096E" w:rsidRPr="00D26003">
        <w:t>Lists and the Register</w:t>
      </w:r>
      <w:r w:rsidR="003B5599" w:rsidRPr="00D26003">
        <w:t xml:space="preserve"> (with the exception of criterion P.9</w:t>
      </w:r>
      <w:r w:rsidR="00C3532A" w:rsidRPr="00D26003">
        <w:t>,</w:t>
      </w:r>
      <w:r w:rsidR="004F0754" w:rsidRPr="00D26003">
        <w:t xml:space="preserve"> which is proposed to be deleted</w:t>
      </w:r>
      <w:r w:rsidR="003B5599" w:rsidRPr="00D26003">
        <w:t>) would remain unchanged.</w:t>
      </w:r>
      <w:r w:rsidRPr="00D26003">
        <w:t xml:space="preserve"> In other words, even with numerous technical adjustments</w:t>
      </w:r>
      <w:r w:rsidR="0034096E" w:rsidRPr="00D26003">
        <w:t xml:space="preserve"> such as lighter forms,</w:t>
      </w:r>
      <w:r w:rsidRPr="00D26003">
        <w:t xml:space="preserve"> the reformed system would not liberate time and resources currently engaged by submitting States, the Evaluation Body, the Committee and the Secretariat.</w:t>
      </w:r>
    </w:p>
    <w:p w14:paraId="74D0220D" w14:textId="0A4BA598" w:rsidR="00871014" w:rsidRPr="00D26003" w:rsidRDefault="001C204F" w:rsidP="00871014">
      <w:pPr>
        <w:pStyle w:val="1GAPara"/>
        <w:numPr>
          <w:ilvl w:val="0"/>
          <w:numId w:val="3"/>
        </w:numPr>
        <w:ind w:left="567" w:hanging="567"/>
        <w:jc w:val="both"/>
      </w:pPr>
      <w:r w:rsidRPr="00D26003">
        <w:t>Following from the above,</w:t>
      </w:r>
      <w:r w:rsidR="00E502B8" w:rsidRPr="00D26003">
        <w:t xml:space="preserve"> </w:t>
      </w:r>
      <w:r w:rsidR="004F7CAD" w:rsidRPr="00D26003">
        <w:t xml:space="preserve">a ceiling may </w:t>
      </w:r>
      <w:r w:rsidR="00B85F50" w:rsidRPr="00D26003">
        <w:t xml:space="preserve">continue to be </w:t>
      </w:r>
      <w:r w:rsidR="0086523F" w:rsidRPr="00D26003">
        <w:t xml:space="preserve">fixed </w:t>
      </w:r>
      <w:r w:rsidR="00D33524" w:rsidRPr="00D26003">
        <w:t>at ‘</w:t>
      </w:r>
      <w:r w:rsidR="00B85F50" w:rsidRPr="00D26003">
        <w:rPr>
          <w:u w:val="single"/>
        </w:rPr>
        <w:t xml:space="preserve">at least </w:t>
      </w:r>
      <w:r w:rsidR="0086523F" w:rsidRPr="00D26003">
        <w:rPr>
          <w:u w:val="single"/>
        </w:rPr>
        <w:t>at</w:t>
      </w:r>
      <w:r w:rsidR="004F7CAD" w:rsidRPr="00D26003">
        <w:rPr>
          <w:u w:val="single"/>
        </w:rPr>
        <w:t xml:space="preserve"> </w:t>
      </w:r>
      <w:r w:rsidR="00B85F50" w:rsidRPr="00D26003">
        <w:rPr>
          <w:u w:val="single"/>
        </w:rPr>
        <w:t xml:space="preserve">fifty-five and no more than </w:t>
      </w:r>
      <w:r w:rsidR="00294639" w:rsidRPr="00D26003">
        <w:rPr>
          <w:u w:val="single"/>
        </w:rPr>
        <w:t>sixty files per year</w:t>
      </w:r>
      <w:r w:rsidR="00D33524" w:rsidRPr="00D26003">
        <w:t>’</w:t>
      </w:r>
      <w:r w:rsidR="00294639" w:rsidRPr="00D26003">
        <w:t xml:space="preserve"> without requiring</w:t>
      </w:r>
      <w:r w:rsidR="005D1AB0" w:rsidRPr="00D26003">
        <w:t xml:space="preserve"> a</w:t>
      </w:r>
      <w:r w:rsidR="00294639" w:rsidRPr="00D26003">
        <w:t xml:space="preserve"> major overhaul of the setup supporting the nomination process nor a significant increase of resources. </w:t>
      </w:r>
      <w:r w:rsidR="00871014" w:rsidRPr="00D26003">
        <w:t xml:space="preserve">Similarly, </w:t>
      </w:r>
      <w:r w:rsidR="003C299C" w:rsidRPr="00D26003">
        <w:t xml:space="preserve">this scenario requires </w:t>
      </w:r>
      <w:r w:rsidR="00871014" w:rsidRPr="00D26003">
        <w:t xml:space="preserve">no structural change to the current composition of the Evaluation Body and its working methods. </w:t>
      </w:r>
      <w:r w:rsidR="0034394D" w:rsidRPr="00D26003">
        <w:t xml:space="preserve">This </w:t>
      </w:r>
      <w:r w:rsidR="005D1AB0" w:rsidRPr="00D26003">
        <w:t>would be a</w:t>
      </w:r>
      <w:r w:rsidR="0034394D" w:rsidRPr="00D26003">
        <w:t xml:space="preserve"> continuation of the current </w:t>
      </w:r>
      <w:r w:rsidR="007765A0" w:rsidRPr="00D26003">
        <w:rPr>
          <w:i/>
          <w:iCs/>
        </w:rPr>
        <w:t>de facto</w:t>
      </w:r>
      <w:r w:rsidR="007765A0" w:rsidRPr="00D26003">
        <w:t xml:space="preserve"> </w:t>
      </w:r>
      <w:r w:rsidR="005D1AB0" w:rsidRPr="00D26003">
        <w:t>practice,</w:t>
      </w:r>
      <w:r w:rsidR="0034394D" w:rsidRPr="00D26003">
        <w:t xml:space="preserve"> as </w:t>
      </w:r>
      <w:r w:rsidR="001A1884" w:rsidRPr="00D26003">
        <w:t xml:space="preserve">the number of files treated per cycle has been at or near </w:t>
      </w:r>
      <w:r w:rsidR="005D1AB0" w:rsidRPr="00D26003">
        <w:t xml:space="preserve">sixty </w:t>
      </w:r>
      <w:r w:rsidR="001A1884" w:rsidRPr="00D26003">
        <w:t xml:space="preserve">since 2021 </w:t>
      </w:r>
      <w:r w:rsidR="0034394D" w:rsidRPr="00D26003">
        <w:t xml:space="preserve">(see </w:t>
      </w:r>
      <w:hyperlink w:anchor="_Annex_I:_Number" w:history="1">
        <w:r w:rsidR="0034394D" w:rsidRPr="00D26003">
          <w:rPr>
            <w:rStyle w:val="Lienhypertexte"/>
          </w:rPr>
          <w:t xml:space="preserve">Annex </w:t>
        </w:r>
        <w:r w:rsidR="008E7245" w:rsidRPr="00D26003">
          <w:rPr>
            <w:rStyle w:val="Lienhypertexte"/>
          </w:rPr>
          <w:t>I</w:t>
        </w:r>
      </w:hyperlink>
      <w:r w:rsidR="0034394D" w:rsidRPr="00D26003">
        <w:t>)</w:t>
      </w:r>
      <w:r w:rsidR="001A1884" w:rsidRPr="00D26003">
        <w:t>.</w:t>
      </w:r>
      <w:r w:rsidR="0086523F" w:rsidRPr="00D26003">
        <w:t xml:space="preserve"> </w:t>
      </w:r>
      <w:r w:rsidR="00D61666" w:rsidRPr="00D26003">
        <w:t xml:space="preserve">At the same time, </w:t>
      </w:r>
      <w:r w:rsidR="00BE2BBF" w:rsidRPr="00D26003">
        <w:t xml:space="preserve">the </w:t>
      </w:r>
      <w:r w:rsidR="00D61666" w:rsidRPr="00D26003">
        <w:t xml:space="preserve">capacity-building approach should be </w:t>
      </w:r>
      <w:r w:rsidR="00BE2BBF" w:rsidRPr="00D26003">
        <w:t xml:space="preserve">reinforced </w:t>
      </w:r>
      <w:r w:rsidR="00D61666" w:rsidRPr="00D26003">
        <w:t>to support States</w:t>
      </w:r>
      <w:r w:rsidR="00926926" w:rsidRPr="00D26003">
        <w:t xml:space="preserve"> Parties</w:t>
      </w:r>
      <w:r w:rsidR="00D61666" w:rsidRPr="00D26003">
        <w:t xml:space="preserve"> in preparing nominations.</w:t>
      </w:r>
    </w:p>
    <w:p w14:paraId="1FF63634" w14:textId="00102A76" w:rsidR="00A5601D" w:rsidRPr="00D26003" w:rsidRDefault="00871014" w:rsidP="00FA69A9">
      <w:pPr>
        <w:pStyle w:val="1GAPara"/>
        <w:numPr>
          <w:ilvl w:val="0"/>
          <w:numId w:val="3"/>
        </w:numPr>
        <w:spacing w:before="120"/>
        <w:ind w:left="567" w:hanging="567"/>
        <w:jc w:val="both"/>
      </w:pPr>
      <w:r w:rsidRPr="00D26003">
        <w:t xml:space="preserve">This </w:t>
      </w:r>
      <w:r w:rsidR="00D61666" w:rsidRPr="00D26003">
        <w:t>scenario</w:t>
      </w:r>
      <w:r w:rsidRPr="00D26003">
        <w:t xml:space="preserve"> would allow </w:t>
      </w:r>
      <w:r w:rsidR="005D1AB0" w:rsidRPr="00D26003">
        <w:t xml:space="preserve">for </w:t>
      </w:r>
      <w:r w:rsidR="00502D6B" w:rsidRPr="00D26003">
        <w:t xml:space="preserve">a reasonable distribution of the already limited </w:t>
      </w:r>
      <w:r w:rsidRPr="00D26003">
        <w:t xml:space="preserve">resources </w:t>
      </w:r>
      <w:r w:rsidR="00502D6B" w:rsidRPr="00D26003">
        <w:t>to develop different aspects of the Convention</w:t>
      </w:r>
      <w:r w:rsidR="00D33524" w:rsidRPr="00D26003">
        <w:t>,</w:t>
      </w:r>
      <w:r w:rsidR="005D1AB0" w:rsidRPr="00D26003">
        <w:t xml:space="preserve"> beyond the</w:t>
      </w:r>
      <w:r w:rsidRPr="00D26003">
        <w:t xml:space="preserve"> listing </w:t>
      </w:r>
      <w:r w:rsidR="00502D6B" w:rsidRPr="00D26003">
        <w:t>system</w:t>
      </w:r>
      <w:r w:rsidRPr="00D26003">
        <w:t>.</w:t>
      </w:r>
      <w:r w:rsidR="00A73040" w:rsidRPr="00D26003">
        <w:t xml:space="preserve"> </w:t>
      </w:r>
      <w:r w:rsidR="00106B83" w:rsidRPr="00D26003">
        <w:t xml:space="preserve">In </w:t>
      </w:r>
      <w:r w:rsidR="00E64EDF" w:rsidRPr="00D26003">
        <w:t>2021</w:t>
      </w:r>
      <w:r w:rsidR="00502D6B" w:rsidRPr="00D26003">
        <w:t>,</w:t>
      </w:r>
      <w:r w:rsidR="00106B83" w:rsidRPr="00D26003">
        <w:t xml:space="preserve"> </w:t>
      </w:r>
      <w:r w:rsidR="005D1AB0" w:rsidRPr="00D26003">
        <w:t>UNESCO’s</w:t>
      </w:r>
      <w:r w:rsidR="00E64EDF" w:rsidRPr="00D26003">
        <w:t xml:space="preserve"> </w:t>
      </w:r>
      <w:r w:rsidR="0070169A" w:rsidRPr="00D26003">
        <w:t>Division of Internal Oversight Services (</w:t>
      </w:r>
      <w:r w:rsidR="001B7BE0" w:rsidRPr="00D26003">
        <w:t>IOS; previously called</w:t>
      </w:r>
      <w:r w:rsidR="0070169A" w:rsidRPr="00D26003">
        <w:t xml:space="preserve"> </w:t>
      </w:r>
      <w:r w:rsidR="00E64EDF" w:rsidRPr="00D26003">
        <w:t>Internal Oversight Services</w:t>
      </w:r>
      <w:r w:rsidR="0070169A" w:rsidRPr="00D26003">
        <w:t>)</w:t>
      </w:r>
      <w:r w:rsidR="00E64EDF" w:rsidRPr="00D26003">
        <w:t xml:space="preserve"> conducted an evaluation on the implementation of the Convention and pointed out </w:t>
      </w:r>
      <w:r w:rsidR="00CB6DB2" w:rsidRPr="00D26003">
        <w:t xml:space="preserve">precisely </w:t>
      </w:r>
      <w:r w:rsidR="00E64EDF" w:rsidRPr="00D26003">
        <w:t xml:space="preserve">the </w:t>
      </w:r>
      <w:r w:rsidR="005D1AB0" w:rsidRPr="00D26003">
        <w:t>need to</w:t>
      </w:r>
      <w:r w:rsidR="00E64EDF" w:rsidRPr="00D26003">
        <w:t xml:space="preserve"> establish priorities for the use of the resources of the 2003 Convention</w:t>
      </w:r>
      <w:r w:rsidR="00D33524" w:rsidRPr="00D26003">
        <w:t>’s</w:t>
      </w:r>
      <w:r w:rsidR="00E64EDF" w:rsidRPr="00D26003">
        <w:t xml:space="preserve"> Secretariat</w:t>
      </w:r>
      <w:r w:rsidR="00106B83" w:rsidRPr="00D26003">
        <w:t xml:space="preserve"> (</w:t>
      </w:r>
      <w:r w:rsidR="00E64EDF" w:rsidRPr="00D26003">
        <w:t>document </w:t>
      </w:r>
      <w:hyperlink r:id="rId16" w:history="1">
        <w:r w:rsidR="00E64EDF" w:rsidRPr="00D26003">
          <w:rPr>
            <w:rStyle w:val="Lienhypertexte"/>
          </w:rPr>
          <w:t>LHE/21/16.COM/</w:t>
        </w:r>
        <w:r w:rsidR="00C54590" w:rsidRPr="00D26003">
          <w:rPr>
            <w:rStyle w:val="Lienhypertexte"/>
          </w:rPr>
          <w:t>10 </w:t>
        </w:r>
        <w:r w:rsidR="00E64EDF" w:rsidRPr="00D26003">
          <w:rPr>
            <w:rStyle w:val="Lienhypertexte"/>
          </w:rPr>
          <w:t>Rev.</w:t>
        </w:r>
      </w:hyperlink>
      <w:r w:rsidR="005D1AB0" w:rsidRPr="00D26003">
        <w:rPr>
          <w:rStyle w:val="Lienhypertexte"/>
          <w:color w:val="auto"/>
          <w:u w:val="none"/>
        </w:rPr>
        <w:t>,</w:t>
      </w:r>
      <w:r w:rsidR="00106B83" w:rsidRPr="00D26003">
        <w:t xml:space="preserve"> Recommendation 1)</w:t>
      </w:r>
      <w:r w:rsidR="00E64EDF" w:rsidRPr="00D26003">
        <w:t xml:space="preserve">. </w:t>
      </w:r>
      <w:r w:rsidR="00D61666" w:rsidRPr="00D26003">
        <w:t>T</w:t>
      </w:r>
      <w:r w:rsidR="00E64EDF" w:rsidRPr="00D26003">
        <w:t>his scenario</w:t>
      </w:r>
      <w:r w:rsidR="00D61666" w:rsidRPr="00D26003">
        <w:t xml:space="preserve"> would</w:t>
      </w:r>
      <w:r w:rsidR="005D1AB0" w:rsidRPr="00D26003">
        <w:t xml:space="preserve"> also</w:t>
      </w:r>
      <w:r w:rsidR="00D61666" w:rsidRPr="00D26003">
        <w:t xml:space="preserve"> </w:t>
      </w:r>
      <w:r w:rsidR="00D33524" w:rsidRPr="00D26003">
        <w:t>permit</w:t>
      </w:r>
      <w:r w:rsidR="005D1AB0" w:rsidRPr="00D26003">
        <w:t xml:space="preserve"> the</w:t>
      </w:r>
      <w:r w:rsidR="00502D6B" w:rsidRPr="00D26003">
        <w:t xml:space="preserve"> </w:t>
      </w:r>
      <w:r w:rsidR="005D1AB0" w:rsidRPr="00D26003">
        <w:t xml:space="preserve">coexistence </w:t>
      </w:r>
      <w:r w:rsidR="00502D6B" w:rsidRPr="00D26003">
        <w:t xml:space="preserve">of the listing </w:t>
      </w:r>
      <w:r w:rsidR="006008BE" w:rsidRPr="00D26003">
        <w:t>system with</w:t>
      </w:r>
      <w:r w:rsidR="00502D6B" w:rsidRPr="00D26003">
        <w:t xml:space="preserve"> </w:t>
      </w:r>
      <w:r w:rsidR="006008BE" w:rsidRPr="00D26003">
        <w:t xml:space="preserve">the continuation of </w:t>
      </w:r>
      <w:r w:rsidR="00502D6B" w:rsidRPr="00D26003">
        <w:t>capacity</w:t>
      </w:r>
      <w:r w:rsidR="002014DA" w:rsidRPr="00D26003">
        <w:t>-</w:t>
      </w:r>
      <w:r w:rsidR="00502D6B" w:rsidRPr="00D26003">
        <w:t>building effort</w:t>
      </w:r>
      <w:r w:rsidR="002014DA" w:rsidRPr="00D26003">
        <w:t>s</w:t>
      </w:r>
      <w:r w:rsidR="00502D6B" w:rsidRPr="00D26003">
        <w:t xml:space="preserve">, </w:t>
      </w:r>
      <w:r w:rsidR="00CB6DB2" w:rsidRPr="00D26003">
        <w:t xml:space="preserve">the engagement in response to emergency situations, </w:t>
      </w:r>
      <w:r w:rsidR="00AA6C3C" w:rsidRPr="00D26003">
        <w:t xml:space="preserve">the contribution to sustainable development, </w:t>
      </w:r>
      <w:r w:rsidR="00502D6B" w:rsidRPr="00D26003">
        <w:t>the development of ongoing or emerging thematic initiatives, a</w:t>
      </w:r>
      <w:r w:rsidR="00AA6C3C" w:rsidRPr="00D26003">
        <w:t>s well as</w:t>
      </w:r>
      <w:r w:rsidR="00502D6B" w:rsidRPr="00D26003">
        <w:t xml:space="preserve"> the undertaking of other operational activities. </w:t>
      </w:r>
      <w:r w:rsidR="00BE2BBF" w:rsidRPr="00D26003">
        <w:t xml:space="preserve">Even with this approach, it </w:t>
      </w:r>
      <w:r w:rsidR="00CB6DB2" w:rsidRPr="00D26003">
        <w:t xml:space="preserve">must be </w:t>
      </w:r>
      <w:r w:rsidR="00D33524" w:rsidRPr="00D26003">
        <w:t>taken into account</w:t>
      </w:r>
      <w:r w:rsidR="002014DA" w:rsidRPr="00D26003">
        <w:t>,</w:t>
      </w:r>
      <w:r w:rsidR="00CB6DB2" w:rsidRPr="00D26003">
        <w:t xml:space="preserve"> however,</w:t>
      </w:r>
      <w:r w:rsidR="002014DA" w:rsidRPr="00D26003">
        <w:t xml:space="preserve"> </w:t>
      </w:r>
      <w:r w:rsidR="00D33524" w:rsidRPr="00D26003">
        <w:t xml:space="preserve">that </w:t>
      </w:r>
      <w:r w:rsidR="00502D6B" w:rsidRPr="00D26003">
        <w:t>additional</w:t>
      </w:r>
      <w:r w:rsidR="00900AAB" w:rsidRPr="00D26003">
        <w:t xml:space="preserve"> resources </w:t>
      </w:r>
      <w:r w:rsidR="00D33524" w:rsidRPr="00D26003">
        <w:t>would</w:t>
      </w:r>
      <w:r w:rsidR="00502D6B" w:rsidRPr="00D26003">
        <w:t xml:space="preserve"> be required </w:t>
      </w:r>
      <w:r w:rsidR="0064105D" w:rsidRPr="00D26003">
        <w:t xml:space="preserve">(see paragraph 24) </w:t>
      </w:r>
      <w:r w:rsidR="00502D6B" w:rsidRPr="00D26003">
        <w:t xml:space="preserve">to </w:t>
      </w:r>
      <w:r w:rsidR="00900AAB" w:rsidRPr="00D26003">
        <w:t xml:space="preserve">implement the adjustments to the </w:t>
      </w:r>
      <w:r w:rsidR="006008BE" w:rsidRPr="00D26003">
        <w:t xml:space="preserve">new procedures </w:t>
      </w:r>
      <w:r w:rsidR="00900AAB" w:rsidRPr="00D26003">
        <w:t xml:space="preserve">recommended so far </w:t>
      </w:r>
      <w:r w:rsidR="006008BE" w:rsidRPr="00D26003">
        <w:t xml:space="preserve">through the </w:t>
      </w:r>
      <w:r w:rsidR="00D33524" w:rsidRPr="00D26003">
        <w:t xml:space="preserve">global </w:t>
      </w:r>
      <w:r w:rsidR="006008BE" w:rsidRPr="00D26003">
        <w:t xml:space="preserve">reflection </w:t>
      </w:r>
      <w:r w:rsidR="00900AAB" w:rsidRPr="00D26003">
        <w:t>(such as</w:t>
      </w:r>
      <w:r w:rsidR="006008BE" w:rsidRPr="00D26003">
        <w:t xml:space="preserve"> </w:t>
      </w:r>
      <w:r w:rsidR="005613F0" w:rsidRPr="00D26003">
        <w:t xml:space="preserve">the </w:t>
      </w:r>
      <w:r w:rsidR="00900AAB" w:rsidRPr="00D26003">
        <w:t>transfer of elements between the Lists and to the Register</w:t>
      </w:r>
      <w:r w:rsidR="005613F0" w:rsidRPr="00D26003">
        <w:t>,</w:t>
      </w:r>
      <w:r w:rsidR="002014DA" w:rsidRPr="00D26003">
        <w:t xml:space="preserve"> the</w:t>
      </w:r>
      <w:r w:rsidR="005613F0" w:rsidRPr="00D26003">
        <w:t xml:space="preserve"> removal of elements</w:t>
      </w:r>
      <w:r w:rsidR="00900AAB" w:rsidRPr="00D26003">
        <w:t xml:space="preserve"> </w:t>
      </w:r>
      <w:r w:rsidR="002014DA" w:rsidRPr="00D26003">
        <w:t>and</w:t>
      </w:r>
      <w:r w:rsidR="005613F0" w:rsidRPr="00D26003">
        <w:t xml:space="preserve"> inscription </w:t>
      </w:r>
      <w:r w:rsidR="00AC0C6E" w:rsidRPr="00D26003">
        <w:t xml:space="preserve">of elements </w:t>
      </w:r>
      <w:r w:rsidR="005613F0" w:rsidRPr="00D26003">
        <w:t>on an extended or reduced basis</w:t>
      </w:r>
      <w:r w:rsidR="00900AAB" w:rsidRPr="00D26003">
        <w:t>)</w:t>
      </w:r>
      <w:r w:rsidR="003D325F" w:rsidRPr="00D26003">
        <w:t>.</w:t>
      </w:r>
    </w:p>
    <w:p w14:paraId="02199E20" w14:textId="5BC5DC65" w:rsidR="00FA69A9" w:rsidRPr="00D26003" w:rsidRDefault="00FA69A9" w:rsidP="00FA69A9">
      <w:pPr>
        <w:pStyle w:val="1GAPara"/>
        <w:numPr>
          <w:ilvl w:val="0"/>
          <w:numId w:val="0"/>
        </w:numPr>
        <w:spacing w:before="120"/>
        <w:ind w:left="567"/>
        <w:jc w:val="both"/>
        <w:rPr>
          <w:u w:val="single"/>
        </w:rPr>
      </w:pPr>
      <w:r w:rsidRPr="00D26003">
        <w:rPr>
          <w:u w:val="single"/>
        </w:rPr>
        <w:t>Adjustments to the order of priority</w:t>
      </w:r>
    </w:p>
    <w:p w14:paraId="2EB139FB" w14:textId="673B39AB" w:rsidR="00FA69A9" w:rsidRPr="00D26003" w:rsidRDefault="00FA69A9" w:rsidP="00A51CF4">
      <w:pPr>
        <w:pStyle w:val="1GAPara"/>
        <w:numPr>
          <w:ilvl w:val="0"/>
          <w:numId w:val="3"/>
        </w:numPr>
        <w:spacing w:before="120"/>
        <w:ind w:left="567" w:hanging="567"/>
        <w:jc w:val="both"/>
        <w:rPr>
          <w:rFonts w:asciiTheme="minorBidi" w:hAnsiTheme="minorBidi" w:cstheme="minorBidi"/>
        </w:rPr>
      </w:pPr>
      <w:r w:rsidRPr="00D26003">
        <w:rPr>
          <w:rFonts w:asciiTheme="minorBidi" w:hAnsiTheme="minorBidi" w:cstheme="minorBidi"/>
        </w:rPr>
        <w:t xml:space="preserve">It is </w:t>
      </w:r>
      <w:r w:rsidR="00AC0C6E" w:rsidRPr="00D26003">
        <w:rPr>
          <w:rFonts w:asciiTheme="minorBidi" w:hAnsiTheme="minorBidi" w:cstheme="minorBidi"/>
        </w:rPr>
        <w:t xml:space="preserve">very </w:t>
      </w:r>
      <w:r w:rsidRPr="00D26003">
        <w:rPr>
          <w:rFonts w:asciiTheme="minorBidi" w:hAnsiTheme="minorBidi" w:cstheme="minorBidi"/>
        </w:rPr>
        <w:t xml:space="preserve">likely that a high number of </w:t>
      </w:r>
      <w:r w:rsidR="006432D6" w:rsidRPr="00D26003">
        <w:rPr>
          <w:rFonts w:asciiTheme="minorBidi" w:hAnsiTheme="minorBidi" w:cstheme="minorBidi"/>
        </w:rPr>
        <w:t xml:space="preserve">files </w:t>
      </w:r>
      <w:r w:rsidRPr="00D26003">
        <w:rPr>
          <w:rFonts w:asciiTheme="minorBidi" w:hAnsiTheme="minorBidi" w:cstheme="minorBidi"/>
        </w:rPr>
        <w:t xml:space="preserve">will continue to be presented </w:t>
      </w:r>
      <w:r w:rsidR="006432D6" w:rsidRPr="00D26003">
        <w:rPr>
          <w:rFonts w:asciiTheme="minorBidi" w:hAnsiTheme="minorBidi" w:cstheme="minorBidi"/>
        </w:rPr>
        <w:t>every</w:t>
      </w:r>
      <w:r w:rsidRPr="00D26003">
        <w:rPr>
          <w:rFonts w:asciiTheme="minorBidi" w:hAnsiTheme="minorBidi" w:cstheme="minorBidi"/>
        </w:rPr>
        <w:t xml:space="preserve"> year</w:t>
      </w:r>
      <w:r w:rsidR="002014DA" w:rsidRPr="00D26003">
        <w:rPr>
          <w:rFonts w:asciiTheme="minorBidi" w:hAnsiTheme="minorBidi" w:cstheme="minorBidi"/>
        </w:rPr>
        <w:t>,</w:t>
      </w:r>
      <w:r w:rsidRPr="00D26003">
        <w:rPr>
          <w:rFonts w:asciiTheme="minorBidi" w:hAnsiTheme="minorBidi" w:cstheme="minorBidi"/>
        </w:rPr>
        <w:t xml:space="preserve"> and with 180 States Parties on board, the prediction is that it </w:t>
      </w:r>
      <w:r w:rsidRPr="00D26003">
        <w:t>w</w:t>
      </w:r>
      <w:r w:rsidR="002014DA" w:rsidRPr="00D26003">
        <w:t>ill</w:t>
      </w:r>
      <w:r w:rsidRPr="00D26003">
        <w:rPr>
          <w:rFonts w:asciiTheme="minorBidi" w:hAnsiTheme="minorBidi" w:cstheme="minorBidi"/>
        </w:rPr>
        <w:t xml:space="preserve"> not be possible to continue to respect the principle of treating one file per State Party every two years, let alone </w:t>
      </w:r>
      <w:r w:rsidR="002014DA" w:rsidRPr="00D26003">
        <w:rPr>
          <w:rFonts w:asciiTheme="minorBidi" w:hAnsiTheme="minorBidi" w:cstheme="minorBidi"/>
        </w:rPr>
        <w:t xml:space="preserve">to </w:t>
      </w:r>
      <w:r w:rsidRPr="00D26003">
        <w:rPr>
          <w:rFonts w:asciiTheme="minorBidi" w:hAnsiTheme="minorBidi" w:cstheme="minorBidi"/>
        </w:rPr>
        <w:t>respond to the priorities set out in paragraph 34 of the Operational Directives</w:t>
      </w:r>
      <w:r w:rsidR="006432D6" w:rsidRPr="00D26003">
        <w:rPr>
          <w:rFonts w:asciiTheme="minorBidi" w:hAnsiTheme="minorBidi" w:cstheme="minorBidi"/>
        </w:rPr>
        <w:t>.</w:t>
      </w:r>
      <w:r w:rsidRPr="00D26003">
        <w:rPr>
          <w:rFonts w:asciiTheme="minorBidi" w:hAnsiTheme="minorBidi" w:cstheme="minorBidi"/>
        </w:rPr>
        <w:t xml:space="preserve"> </w:t>
      </w:r>
      <w:r w:rsidR="006432D6" w:rsidRPr="00D26003">
        <w:rPr>
          <w:rFonts w:asciiTheme="minorBidi" w:hAnsiTheme="minorBidi" w:cstheme="minorBidi"/>
        </w:rPr>
        <w:t>M</w:t>
      </w:r>
      <w:r w:rsidRPr="00D26003">
        <w:rPr>
          <w:rFonts w:asciiTheme="minorBidi" w:hAnsiTheme="minorBidi" w:cstheme="minorBidi"/>
        </w:rPr>
        <w:t xml:space="preserve">easures would have to be introduced to replace </w:t>
      </w:r>
      <w:r w:rsidR="006432D6" w:rsidRPr="00D26003">
        <w:rPr>
          <w:rFonts w:asciiTheme="minorBidi" w:hAnsiTheme="minorBidi" w:cstheme="minorBidi"/>
        </w:rPr>
        <w:t xml:space="preserve">or adjust </w:t>
      </w:r>
      <w:r w:rsidRPr="00D26003">
        <w:rPr>
          <w:rFonts w:asciiTheme="minorBidi" w:hAnsiTheme="minorBidi" w:cstheme="minorBidi"/>
        </w:rPr>
        <w:t xml:space="preserve">the current system. The main aim would be to deal with the increasing number of submitting States, while </w:t>
      </w:r>
      <w:r w:rsidR="006432D6" w:rsidRPr="00D26003">
        <w:rPr>
          <w:rFonts w:asciiTheme="minorBidi" w:hAnsiTheme="minorBidi" w:cstheme="minorBidi"/>
        </w:rPr>
        <w:t>including</w:t>
      </w:r>
      <w:r w:rsidRPr="00D26003">
        <w:rPr>
          <w:rFonts w:asciiTheme="minorBidi" w:hAnsiTheme="minorBidi" w:cstheme="minorBidi"/>
        </w:rPr>
        <w:t xml:space="preserve"> as many, if not all, multinational nominations submitted to enhance international cooperation.</w:t>
      </w:r>
    </w:p>
    <w:p w14:paraId="013674A2" w14:textId="62C5872A" w:rsidR="002F0CE5" w:rsidRDefault="00FA69A9" w:rsidP="00CF7DA9">
      <w:pPr>
        <w:pStyle w:val="1GAPara"/>
        <w:numPr>
          <w:ilvl w:val="0"/>
          <w:numId w:val="3"/>
        </w:numPr>
        <w:spacing w:before="120"/>
        <w:ind w:left="567" w:hanging="567"/>
        <w:jc w:val="both"/>
      </w:pPr>
      <w:r w:rsidRPr="00D26003">
        <w:t xml:space="preserve">With </w:t>
      </w:r>
      <w:r w:rsidRPr="00D26003">
        <w:rPr>
          <w:rFonts w:asciiTheme="minorBidi" w:hAnsiTheme="minorBidi" w:cstheme="minorBidi"/>
        </w:rPr>
        <w:t>reference</w:t>
      </w:r>
      <w:r w:rsidRPr="00D26003">
        <w:t xml:space="preserve"> to Topic 2 of the reflection, </w:t>
      </w:r>
      <w:r w:rsidRPr="00D26003">
        <w:rPr>
          <w:u w:val="single"/>
        </w:rPr>
        <w:t xml:space="preserve">increasing the interval of the priority (0) from two to three years, while alternating between a nomination to the Representative List and the Urgent </w:t>
      </w:r>
      <w:r w:rsidRPr="00D26003">
        <w:rPr>
          <w:rFonts w:asciiTheme="minorBidi" w:hAnsiTheme="minorBidi" w:cstheme="minorBidi"/>
          <w:u w:val="single"/>
        </w:rPr>
        <w:t>Safeguarding</w:t>
      </w:r>
      <w:r w:rsidRPr="00D26003">
        <w:rPr>
          <w:u w:val="single"/>
        </w:rPr>
        <w:t xml:space="preserve"> List or the Register of Good Safeguarding Practices</w:t>
      </w:r>
      <w:r w:rsidRPr="00D26003">
        <w:t xml:space="preserve"> would not provide a solution to the issues identified. </w:t>
      </w:r>
      <w:r w:rsidR="00280489" w:rsidRPr="00D26003">
        <w:t>T</w:t>
      </w:r>
      <w:r w:rsidRPr="00D26003">
        <w:t xml:space="preserve">his proposal may be understood </w:t>
      </w:r>
      <w:r w:rsidR="00280489" w:rsidRPr="00D26003">
        <w:t xml:space="preserve">as a means of </w:t>
      </w:r>
      <w:r w:rsidRPr="00D26003">
        <w:t>encourag</w:t>
      </w:r>
      <w:r w:rsidR="00280489" w:rsidRPr="00D26003">
        <w:t>ing</w:t>
      </w:r>
      <w:r w:rsidRPr="00D26003">
        <w:t xml:space="preserve"> the submissions for the Urgent Safeguarding List, both through the priority (0) and the priority</w:t>
      </w:r>
      <w:r w:rsidR="00AF6F11" w:rsidRPr="00D26003">
        <w:t> </w:t>
      </w:r>
      <w:r w:rsidRPr="00D26003">
        <w:t>(</w:t>
      </w:r>
      <w:proofErr w:type="spellStart"/>
      <w:r w:rsidRPr="00D26003">
        <w:t>i</w:t>
      </w:r>
      <w:proofErr w:type="spellEnd"/>
      <w:r w:rsidRPr="00D26003">
        <w:t xml:space="preserve">) categories, </w:t>
      </w:r>
      <w:r w:rsidR="006432D6" w:rsidRPr="00D26003">
        <w:t xml:space="preserve">but </w:t>
      </w:r>
      <w:r w:rsidRPr="00D26003">
        <w:t xml:space="preserve">the overall number of submitted files </w:t>
      </w:r>
      <w:r w:rsidR="00E47C00" w:rsidRPr="00D26003">
        <w:t xml:space="preserve">under priority (0) </w:t>
      </w:r>
      <w:r w:rsidR="00580C73" w:rsidRPr="00D26003">
        <w:t xml:space="preserve">would </w:t>
      </w:r>
      <w:r w:rsidR="0028497F" w:rsidRPr="00D26003">
        <w:t xml:space="preserve">probably be increased </w:t>
      </w:r>
      <w:r w:rsidR="001B4DAA" w:rsidRPr="00D26003">
        <w:t>in such a way that it would still not be possible to treat nominations under other categories.</w:t>
      </w:r>
    </w:p>
    <w:p w14:paraId="59B729A5" w14:textId="671374E9" w:rsidR="00FA69A9" w:rsidRPr="002F0CE5" w:rsidRDefault="002F0CE5" w:rsidP="002F0CE5">
      <w:pPr>
        <w:spacing w:after="0"/>
        <w:rPr>
          <w:rFonts w:ascii="Arial" w:hAnsi="Arial" w:cs="Arial"/>
          <w:snapToGrid w:val="0"/>
          <w:szCs w:val="22"/>
          <w:lang w:eastAsia="en-US"/>
        </w:rPr>
      </w:pPr>
      <w:r>
        <w:br w:type="page"/>
      </w:r>
    </w:p>
    <w:p w14:paraId="738D4FE4" w14:textId="174AD924" w:rsidR="00B14A39" w:rsidRPr="00D26003" w:rsidRDefault="00B14A39" w:rsidP="000E24C9">
      <w:pPr>
        <w:pStyle w:val="1GAPara"/>
        <w:keepNext/>
        <w:numPr>
          <w:ilvl w:val="0"/>
          <w:numId w:val="3"/>
        </w:numPr>
        <w:spacing w:before="120"/>
        <w:ind w:left="567" w:hanging="567"/>
        <w:jc w:val="both"/>
        <w:rPr>
          <w:rFonts w:asciiTheme="minorBidi" w:hAnsiTheme="minorBidi" w:cstheme="minorBidi"/>
        </w:rPr>
      </w:pPr>
      <w:r w:rsidRPr="00D26003">
        <w:lastRenderedPageBreak/>
        <w:t>Alternative</w:t>
      </w:r>
      <w:r w:rsidRPr="00D26003">
        <w:rPr>
          <w:rFonts w:asciiTheme="minorBidi" w:hAnsiTheme="minorBidi" w:cstheme="minorBidi"/>
        </w:rPr>
        <w:t xml:space="preserve"> measures </w:t>
      </w:r>
      <w:r w:rsidR="00280489" w:rsidRPr="00D26003">
        <w:rPr>
          <w:rFonts w:asciiTheme="minorBidi" w:hAnsiTheme="minorBidi" w:cstheme="minorBidi"/>
        </w:rPr>
        <w:t>could include</w:t>
      </w:r>
      <w:r w:rsidRPr="00D26003">
        <w:rPr>
          <w:rFonts w:asciiTheme="minorBidi" w:hAnsiTheme="minorBidi" w:cstheme="minorBidi"/>
        </w:rPr>
        <w:t>:</w:t>
      </w:r>
    </w:p>
    <w:p w14:paraId="72BEE327" w14:textId="289AA3E9" w:rsidR="00935DEC" w:rsidRPr="00D26003" w:rsidRDefault="006B5ECF" w:rsidP="00C61D37">
      <w:pPr>
        <w:pStyle w:val="1GAPara"/>
        <w:numPr>
          <w:ilvl w:val="4"/>
          <w:numId w:val="63"/>
        </w:numPr>
        <w:spacing w:before="120"/>
        <w:ind w:left="1134" w:hanging="567"/>
        <w:jc w:val="both"/>
      </w:pPr>
      <w:r w:rsidRPr="00D26003">
        <w:t>Continuing the current system of priorities but also a</w:t>
      </w:r>
      <w:r w:rsidR="00935DEC" w:rsidRPr="00D26003">
        <w:t>llocating</w:t>
      </w:r>
      <w:r w:rsidR="00963E80" w:rsidRPr="00D26003">
        <w:t>, if needed,</w:t>
      </w:r>
      <w:r w:rsidR="00935DEC" w:rsidRPr="00D26003">
        <w:t xml:space="preserve"> a set number within the overall ceiling to be dedicated to multinational files (for example</w:t>
      </w:r>
      <w:r w:rsidR="00963E80" w:rsidRPr="00D26003">
        <w:t>,</w:t>
      </w:r>
      <w:r w:rsidR="00935DEC" w:rsidRPr="00D26003">
        <w:t xml:space="preserve"> ten files), and therefore also to national files (45 to 50 files), and establishing</w:t>
      </w:r>
      <w:r w:rsidRPr="00D26003">
        <w:t xml:space="preserve"> a </w:t>
      </w:r>
      <w:r w:rsidR="00935DEC" w:rsidRPr="00D26003">
        <w:t xml:space="preserve">prioritization system within the allocated multinational files quota. At the same time, should there be a high number of national files submitted under priority (0) category (more than </w:t>
      </w:r>
      <w:r w:rsidR="000468E9" w:rsidRPr="00D26003">
        <w:t xml:space="preserve">45 or </w:t>
      </w:r>
      <w:r w:rsidR="00935DEC" w:rsidRPr="00D26003">
        <w:t>50 files), then a further prioritization, based on already inscribed elements, would also have to be established within the national file quota under the priority (0) category.</w:t>
      </w:r>
      <w:r w:rsidR="00963E80" w:rsidRPr="00D26003">
        <w:t xml:space="preserve"> </w:t>
      </w:r>
      <w:r w:rsidR="00776CB1" w:rsidRPr="00D26003">
        <w:t>Should there be a low number of national files under the priority (0) category, it</w:t>
      </w:r>
      <w:r w:rsidR="00963E80" w:rsidRPr="00D26003">
        <w:t xml:space="preserve"> would be </w:t>
      </w:r>
      <w:r w:rsidR="00776CB1" w:rsidRPr="00D26003">
        <w:t xml:space="preserve">possible </w:t>
      </w:r>
      <w:r w:rsidR="00963E80" w:rsidRPr="00D26003">
        <w:t xml:space="preserve">to </w:t>
      </w:r>
      <w:r w:rsidR="00776CB1" w:rsidRPr="00D26003">
        <w:t xml:space="preserve">absorb </w:t>
      </w:r>
      <w:r w:rsidR="00963E80" w:rsidRPr="00D26003">
        <w:t>multinational files</w:t>
      </w:r>
      <w:r w:rsidR="00776CB1" w:rsidRPr="00D26003">
        <w:t xml:space="preserve"> above the allocation</w:t>
      </w:r>
      <w:r w:rsidR="00963E80" w:rsidRPr="00D26003">
        <w:t>.</w:t>
      </w:r>
    </w:p>
    <w:p w14:paraId="2163CDAB" w14:textId="3A0DC455" w:rsidR="00B14A39" w:rsidRPr="00D26003" w:rsidRDefault="00DF6C88" w:rsidP="00C61D37">
      <w:pPr>
        <w:pStyle w:val="1GAPara"/>
        <w:numPr>
          <w:ilvl w:val="4"/>
          <w:numId w:val="63"/>
        </w:numPr>
        <w:ind w:left="1134" w:hanging="567"/>
        <w:jc w:val="both"/>
      </w:pPr>
      <w:r w:rsidRPr="00D26003">
        <w:t>D</w:t>
      </w:r>
      <w:r w:rsidR="00B14A39" w:rsidRPr="00D26003">
        <w:t>iscontinu</w:t>
      </w:r>
      <w:r w:rsidR="00B01F99" w:rsidRPr="00D26003">
        <w:t>ing</w:t>
      </w:r>
      <w:r w:rsidR="00B14A39" w:rsidRPr="00D26003">
        <w:t xml:space="preserve"> the principle of one file per State Party every two years and only apply</w:t>
      </w:r>
      <w:r w:rsidR="0042789D" w:rsidRPr="00D26003">
        <w:t>ing</w:t>
      </w:r>
      <w:r w:rsidR="00B14A39" w:rsidRPr="00D26003">
        <w:t xml:space="preserve"> the priorities as set out in paragraph 34 of the Operational Directives</w:t>
      </w:r>
      <w:r w:rsidR="00513099" w:rsidRPr="00D26003">
        <w:t>.</w:t>
      </w:r>
      <w:r w:rsidRPr="00D26003">
        <w:t xml:space="preserve"> </w:t>
      </w:r>
      <w:r w:rsidR="00513099" w:rsidRPr="00D26003">
        <w:t>T</w:t>
      </w:r>
      <w:r w:rsidRPr="00D26003">
        <w:t xml:space="preserve">his option would mean that States </w:t>
      </w:r>
      <w:r w:rsidR="00926926" w:rsidRPr="00D26003">
        <w:t xml:space="preserve">Parties </w:t>
      </w:r>
      <w:r w:rsidRPr="00D26003">
        <w:t xml:space="preserve">will no longer be guaranteed a </w:t>
      </w:r>
      <w:r w:rsidR="00513099" w:rsidRPr="00D26003">
        <w:t>place</w:t>
      </w:r>
      <w:r w:rsidRPr="00D26003">
        <w:t xml:space="preserve"> on a regular basis</w:t>
      </w:r>
      <w:r w:rsidR="00FE4CE6" w:rsidRPr="00D26003">
        <w:t>,</w:t>
      </w:r>
      <w:r w:rsidR="00D910EC" w:rsidRPr="00D26003">
        <w:t xml:space="preserve"> but</w:t>
      </w:r>
      <w:r w:rsidR="0042789D" w:rsidRPr="00D26003">
        <w:t xml:space="preserve"> it may encourage</w:t>
      </w:r>
      <w:r w:rsidR="00D910EC" w:rsidRPr="00D26003">
        <w:t xml:space="preserve"> </w:t>
      </w:r>
      <w:r w:rsidR="00DF05B6" w:rsidRPr="00D26003">
        <w:t>submission</w:t>
      </w:r>
      <w:r w:rsidR="0042789D" w:rsidRPr="00D26003">
        <w:t>s</w:t>
      </w:r>
      <w:r w:rsidR="00DF05B6" w:rsidRPr="00D26003">
        <w:t xml:space="preserve"> from States </w:t>
      </w:r>
      <w:r w:rsidR="00926926" w:rsidRPr="00D26003">
        <w:t xml:space="preserve">Parties </w:t>
      </w:r>
      <w:r w:rsidR="00DF05B6" w:rsidRPr="00D26003">
        <w:t>without any</w:t>
      </w:r>
      <w:r w:rsidR="0042789D" w:rsidRPr="00D26003">
        <w:t xml:space="preserve"> inscribed elements</w:t>
      </w:r>
      <w:r w:rsidR="00DF05B6" w:rsidRPr="00D26003">
        <w:t xml:space="preserve"> </w:t>
      </w:r>
      <w:r w:rsidR="00895D24" w:rsidRPr="00D26003">
        <w:t xml:space="preserve">or </w:t>
      </w:r>
      <w:r w:rsidR="00513099" w:rsidRPr="00D26003">
        <w:t>with a low</w:t>
      </w:r>
      <w:r w:rsidR="00895D24" w:rsidRPr="00D26003">
        <w:t xml:space="preserve"> number of </w:t>
      </w:r>
      <w:r w:rsidR="00DF05B6" w:rsidRPr="00D26003">
        <w:t>inscribed elements</w:t>
      </w:r>
      <w:r w:rsidR="0042789D" w:rsidRPr="00D26003">
        <w:t>,</w:t>
      </w:r>
      <w:r w:rsidR="00895D24" w:rsidRPr="00D26003">
        <w:t xml:space="preserve"> </w:t>
      </w:r>
      <w:r w:rsidR="00513099" w:rsidRPr="00D26003">
        <w:t>as well as</w:t>
      </w:r>
      <w:r w:rsidR="00895D24" w:rsidRPr="00D26003">
        <w:t xml:space="preserve"> the use of the Urgent Safeguarding List</w:t>
      </w:r>
      <w:r w:rsidR="00513099" w:rsidRPr="00D26003">
        <w:t xml:space="preserve"> and</w:t>
      </w:r>
      <w:r w:rsidR="00895D24" w:rsidRPr="00D26003">
        <w:t xml:space="preserve"> the Register of Good Safeguarding </w:t>
      </w:r>
      <w:r w:rsidR="0042789D" w:rsidRPr="00D26003">
        <w:t>Practices</w:t>
      </w:r>
      <w:r w:rsidR="00B14A39" w:rsidRPr="00D26003">
        <w:t>.</w:t>
      </w:r>
      <w:r w:rsidR="005031B8" w:rsidRPr="00D26003">
        <w:t xml:space="preserve"> This approach would </w:t>
      </w:r>
      <w:r w:rsidR="00963E80" w:rsidRPr="00D26003">
        <w:t>also likely help to achieve</w:t>
      </w:r>
      <w:r w:rsidR="005031B8" w:rsidRPr="00D26003">
        <w:t xml:space="preserve"> a balanced representation</w:t>
      </w:r>
      <w:r w:rsidR="0058065C" w:rsidRPr="00D26003">
        <w:t xml:space="preserve"> </w:t>
      </w:r>
      <w:r w:rsidR="00BE2BBF" w:rsidRPr="00D26003">
        <w:t xml:space="preserve">on the </w:t>
      </w:r>
      <w:r w:rsidR="00FE4CE6" w:rsidRPr="00D26003">
        <w:t>L</w:t>
      </w:r>
      <w:r w:rsidR="00BE2BBF" w:rsidRPr="00D26003">
        <w:t>ists.</w:t>
      </w:r>
    </w:p>
    <w:p w14:paraId="4D301E9E" w14:textId="77777777" w:rsidR="00CE5596" w:rsidRPr="00D26003" w:rsidRDefault="00CE5596" w:rsidP="00C61D37">
      <w:pPr>
        <w:pStyle w:val="1GAPara"/>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before="240"/>
        <w:ind w:left="567"/>
        <w:jc w:val="both"/>
      </w:pPr>
      <w:r w:rsidRPr="00D26003">
        <w:t xml:space="preserve">Option B: Set the annual ceiling at a number higher than sixty files per year </w:t>
      </w:r>
    </w:p>
    <w:p w14:paraId="23D94CF7" w14:textId="4C5AA9C7" w:rsidR="004D0BC5" w:rsidRPr="00D26003" w:rsidRDefault="004D0BC5" w:rsidP="00C61D37">
      <w:pPr>
        <w:pStyle w:val="1GAPara"/>
        <w:keepNext/>
        <w:numPr>
          <w:ilvl w:val="0"/>
          <w:numId w:val="0"/>
        </w:numPr>
        <w:spacing w:before="240"/>
        <w:ind w:left="714" w:hanging="147"/>
        <w:jc w:val="both"/>
        <w:rPr>
          <w:u w:val="single"/>
        </w:rPr>
      </w:pPr>
      <w:r w:rsidRPr="00D26003">
        <w:rPr>
          <w:u w:val="single"/>
        </w:rPr>
        <w:t>What would be</w:t>
      </w:r>
      <w:r w:rsidR="00F340E9" w:rsidRPr="00D26003">
        <w:rPr>
          <w:u w:val="single"/>
        </w:rPr>
        <w:t xml:space="preserve"> the</w:t>
      </w:r>
      <w:r w:rsidRPr="00D26003">
        <w:rPr>
          <w:u w:val="single"/>
        </w:rPr>
        <w:t xml:space="preserve"> implications?</w:t>
      </w:r>
    </w:p>
    <w:p w14:paraId="657FA927" w14:textId="5E79C17E" w:rsidR="00511F98" w:rsidRPr="00D26003" w:rsidRDefault="005C2009" w:rsidP="00D14DCD">
      <w:pPr>
        <w:pStyle w:val="1GAPara"/>
        <w:numPr>
          <w:ilvl w:val="0"/>
          <w:numId w:val="3"/>
        </w:numPr>
        <w:spacing w:before="120"/>
        <w:ind w:left="567" w:hanging="567"/>
        <w:jc w:val="both"/>
      </w:pPr>
      <w:r w:rsidRPr="00D26003">
        <w:t xml:space="preserve">Some </w:t>
      </w:r>
      <w:r w:rsidR="0042789D" w:rsidRPr="00D26003">
        <w:t>States P</w:t>
      </w:r>
      <w:r w:rsidRPr="00D26003">
        <w:t xml:space="preserve">arties have </w:t>
      </w:r>
      <w:r w:rsidR="00DF581A" w:rsidRPr="00D26003">
        <w:t>propos</w:t>
      </w:r>
      <w:r w:rsidR="0042789D" w:rsidRPr="00D26003">
        <w:t>ed</w:t>
      </w:r>
      <w:r w:rsidR="00DF581A" w:rsidRPr="00D26003">
        <w:t xml:space="preserve"> </w:t>
      </w:r>
      <w:r w:rsidR="00BA0352" w:rsidRPr="00D26003">
        <w:t>considerably or slightly</w:t>
      </w:r>
      <w:r w:rsidRPr="00D26003">
        <w:t xml:space="preserve"> increas</w:t>
      </w:r>
      <w:r w:rsidR="0042789D" w:rsidRPr="00D26003">
        <w:t>ing</w:t>
      </w:r>
      <w:r w:rsidRPr="00D26003">
        <w:t xml:space="preserve"> the number of files to be treated per cycle</w:t>
      </w:r>
      <w:r w:rsidR="0042789D" w:rsidRPr="00D26003">
        <w:t>,</w:t>
      </w:r>
      <w:r w:rsidRPr="00D26003">
        <w:t xml:space="preserve"> while others have cautioned against placing too much emphasis on the listing system at the expense of other safeguarding operations that the 2003 Convention should be focusing on.</w:t>
      </w:r>
      <w:r w:rsidR="00D14DCD" w:rsidRPr="00D26003">
        <w:t xml:space="preserve"> </w:t>
      </w:r>
      <w:r w:rsidR="009E111D" w:rsidRPr="00D26003">
        <w:t xml:space="preserve">In discussing this issue, the Convention </w:t>
      </w:r>
      <w:r w:rsidR="00BE2BBF" w:rsidRPr="00D26003">
        <w:t xml:space="preserve">finds </w:t>
      </w:r>
      <w:r w:rsidR="009E111D" w:rsidRPr="00D26003">
        <w:t xml:space="preserve">itself at an important </w:t>
      </w:r>
      <w:r w:rsidR="00074E49" w:rsidRPr="00D26003">
        <w:t>crossroad</w:t>
      </w:r>
      <w:r w:rsidR="0042789D" w:rsidRPr="00D26003">
        <w:t>s</w:t>
      </w:r>
      <w:r w:rsidR="009E111D" w:rsidRPr="00D26003">
        <w:t xml:space="preserve"> which will determine its future </w:t>
      </w:r>
      <w:r w:rsidR="00311786" w:rsidRPr="00D26003">
        <w:t>direction,</w:t>
      </w:r>
      <w:r w:rsidR="009E111D" w:rsidRPr="00D26003">
        <w:t xml:space="preserve"> in the sense of </w:t>
      </w:r>
      <w:r w:rsidR="00D14DCD" w:rsidRPr="00D26003">
        <w:t>the 2021 IOS evaluation (see paragraph</w:t>
      </w:r>
      <w:r w:rsidR="00922CCE" w:rsidRPr="00D26003">
        <w:t xml:space="preserve"> 13</w:t>
      </w:r>
      <w:r w:rsidR="009E111D" w:rsidRPr="00D26003">
        <w:t>) that pointed to the need for the governing bodies of the Convention to clarify the priority areas to be pursued.</w:t>
      </w:r>
    </w:p>
    <w:p w14:paraId="00B56AF6" w14:textId="229A8AAD" w:rsidR="0037642A" w:rsidRPr="00D26003" w:rsidRDefault="0037642A" w:rsidP="0037642A">
      <w:pPr>
        <w:pStyle w:val="1GAPara"/>
        <w:numPr>
          <w:ilvl w:val="0"/>
          <w:numId w:val="3"/>
        </w:numPr>
        <w:spacing w:before="120"/>
        <w:ind w:left="567" w:hanging="567"/>
        <w:jc w:val="both"/>
      </w:pPr>
      <w:r w:rsidRPr="00D26003">
        <w:t xml:space="preserve">The ceiling that has been applied for the listing system has been </w:t>
      </w:r>
      <w:r w:rsidR="0042789D" w:rsidRPr="00D26003">
        <w:t xml:space="preserve">steadily </w:t>
      </w:r>
      <w:r w:rsidRPr="00D26003">
        <w:t>increasing</w:t>
      </w:r>
      <w:r w:rsidR="0042789D" w:rsidRPr="00D26003">
        <w:t>,</w:t>
      </w:r>
      <w:r w:rsidRPr="00D26003">
        <w:t xml:space="preserve"> from fifty files per cycle to ‘at least fifty-five’ files, </w:t>
      </w:r>
      <w:r w:rsidR="0042789D" w:rsidRPr="00D26003">
        <w:t xml:space="preserve">to, more recently, </w:t>
      </w:r>
      <w:r w:rsidRPr="00D26003">
        <w:rPr>
          <w:i/>
          <w:iCs/>
        </w:rPr>
        <w:t>de facto</w:t>
      </w:r>
      <w:r w:rsidRPr="00D26003">
        <w:t xml:space="preserve"> sixty files. It should be </w:t>
      </w:r>
      <w:r w:rsidR="00056868" w:rsidRPr="00D26003">
        <w:t>considered</w:t>
      </w:r>
      <w:r w:rsidRPr="00D26003">
        <w:t xml:space="preserve"> that the proportion of multinational files is on the rise and that such files usually significantly exceed national files</w:t>
      </w:r>
      <w:r w:rsidR="008072D8" w:rsidRPr="00D26003">
        <w:t xml:space="preserve"> in terms of workload</w:t>
      </w:r>
      <w:r w:rsidRPr="00D26003">
        <w:t xml:space="preserve">. In other words, sixty files per cycle </w:t>
      </w:r>
      <w:r w:rsidR="00056868" w:rsidRPr="00D26003">
        <w:t>re</w:t>
      </w:r>
      <w:r w:rsidRPr="00D26003">
        <w:t xml:space="preserve">presents a </w:t>
      </w:r>
      <w:r w:rsidR="008072D8" w:rsidRPr="00D26003">
        <w:t xml:space="preserve">hard </w:t>
      </w:r>
      <w:r w:rsidR="00BE2BBF" w:rsidRPr="00D26003">
        <w:t>cut-off</w:t>
      </w:r>
      <w:r w:rsidR="008072D8" w:rsidRPr="00D26003">
        <w:t xml:space="preserve"> </w:t>
      </w:r>
      <w:r w:rsidRPr="00D26003">
        <w:t xml:space="preserve">line; if a higher ceiling were to be adopted, radical changes to the </w:t>
      </w:r>
      <w:r w:rsidR="00666BE7" w:rsidRPr="00D26003">
        <w:t xml:space="preserve">current </w:t>
      </w:r>
      <w:r w:rsidRPr="00D26003">
        <w:t>system would have to be foreseen.</w:t>
      </w:r>
    </w:p>
    <w:p w14:paraId="76DF230E" w14:textId="6DDAA374" w:rsidR="00B25C8D" w:rsidRPr="00D26003" w:rsidRDefault="008072D8" w:rsidP="00B25C8D">
      <w:pPr>
        <w:pStyle w:val="1GAPara"/>
        <w:numPr>
          <w:ilvl w:val="0"/>
          <w:numId w:val="3"/>
        </w:numPr>
        <w:spacing w:before="120"/>
        <w:ind w:left="567" w:hanging="567"/>
        <w:jc w:val="both"/>
      </w:pPr>
      <w:r w:rsidRPr="00D26003">
        <w:t xml:space="preserve">If the </w:t>
      </w:r>
      <w:r w:rsidR="00666BE7" w:rsidRPr="00D26003">
        <w:t xml:space="preserve">current </w:t>
      </w:r>
      <w:r w:rsidRPr="00D26003">
        <w:t>mechanism remains unchanged, i</w:t>
      </w:r>
      <w:r w:rsidR="00B25C8D" w:rsidRPr="00D26003">
        <w:t>ncreasing the number of files to be treated would also proportionally raise expenditures (</w:t>
      </w:r>
      <w:r w:rsidRPr="00D26003">
        <w:t xml:space="preserve">from </w:t>
      </w:r>
      <w:r w:rsidR="00B25C8D" w:rsidRPr="00D26003">
        <w:t>appr</w:t>
      </w:r>
      <w:r w:rsidRPr="00D26003">
        <w:t>oximately</w:t>
      </w:r>
      <w:r w:rsidR="00B25C8D" w:rsidRPr="00D26003">
        <w:t xml:space="preserve"> 1 to 1.2 million</w:t>
      </w:r>
      <w:r w:rsidRPr="00D26003">
        <w:t xml:space="preserve"> </w:t>
      </w:r>
      <w:r w:rsidR="00353992" w:rsidRPr="00D26003">
        <w:t xml:space="preserve">US dollars </w:t>
      </w:r>
      <w:r w:rsidR="00B25C8D" w:rsidRPr="00D26003">
        <w:t>for sixty files, to appr</w:t>
      </w:r>
      <w:r w:rsidRPr="00D26003">
        <w:t>oximately</w:t>
      </w:r>
      <w:r w:rsidR="00B25C8D" w:rsidRPr="00D26003">
        <w:t xml:space="preserve"> 1.25 </w:t>
      </w:r>
      <w:r w:rsidRPr="00D26003">
        <w:t>to</w:t>
      </w:r>
      <w:r w:rsidR="00B25C8D" w:rsidRPr="00D26003">
        <w:t xml:space="preserve"> 1.56 million</w:t>
      </w:r>
      <w:r w:rsidRPr="00D26003">
        <w:t xml:space="preserve"> </w:t>
      </w:r>
      <w:r w:rsidR="00353992" w:rsidRPr="00D26003">
        <w:t xml:space="preserve">US dollars </w:t>
      </w:r>
      <w:r w:rsidR="00B25C8D" w:rsidRPr="00D26003">
        <w:t>for seventy-five files, and to appr</w:t>
      </w:r>
      <w:r w:rsidRPr="00D26003">
        <w:t>oximately</w:t>
      </w:r>
      <w:r w:rsidR="00B25C8D" w:rsidRPr="00D26003">
        <w:t xml:space="preserve"> 1.5 </w:t>
      </w:r>
      <w:r w:rsidRPr="00D26003">
        <w:t>to</w:t>
      </w:r>
      <w:r w:rsidR="00B25C8D" w:rsidRPr="00D26003">
        <w:t xml:space="preserve"> 1.8 million </w:t>
      </w:r>
      <w:r w:rsidR="00353992" w:rsidRPr="00D26003">
        <w:t xml:space="preserve">US dollars </w:t>
      </w:r>
      <w:r w:rsidR="00B25C8D" w:rsidRPr="00D26003">
        <w:t xml:space="preserve">for ninety files; see paragraph </w:t>
      </w:r>
      <w:r w:rsidR="00F150C6" w:rsidRPr="00D26003">
        <w:t>9.c</w:t>
      </w:r>
      <w:r w:rsidR="009358F1" w:rsidRPr="00D26003">
        <w:t xml:space="preserve"> above</w:t>
      </w:r>
      <w:r w:rsidR="00B25C8D" w:rsidRPr="00D26003">
        <w:t xml:space="preserve">). </w:t>
      </w:r>
      <w:r w:rsidRPr="00D26003">
        <w:t xml:space="preserve">This </w:t>
      </w:r>
      <w:r w:rsidR="00B25C8D" w:rsidRPr="00D26003">
        <w:t xml:space="preserve">upsurge of expenditure may be difficult to justify, and a </w:t>
      </w:r>
      <w:r w:rsidR="00A0489A" w:rsidRPr="00D26003">
        <w:t xml:space="preserve">difficult issue </w:t>
      </w:r>
      <w:r w:rsidR="00B25C8D" w:rsidRPr="00D26003">
        <w:t xml:space="preserve">to </w:t>
      </w:r>
      <w:r w:rsidR="00A0489A" w:rsidRPr="00D26003">
        <w:t xml:space="preserve">address </w:t>
      </w:r>
      <w:r w:rsidR="00B25C8D" w:rsidRPr="00D26003">
        <w:t xml:space="preserve">would be </w:t>
      </w:r>
      <w:r w:rsidR="00A0489A" w:rsidRPr="00D26003">
        <w:t>to identify the resources of activities that would have to be cut in order</w:t>
      </w:r>
      <w:r w:rsidR="00B25C8D" w:rsidRPr="00D26003">
        <w:t xml:space="preserve"> </w:t>
      </w:r>
      <w:r w:rsidR="00A0489A" w:rsidRPr="00D26003">
        <w:t xml:space="preserve">to </w:t>
      </w:r>
      <w:r w:rsidR="004E01B5" w:rsidRPr="00D26003">
        <w:t xml:space="preserve">finance </w:t>
      </w:r>
      <w:r w:rsidR="00B25C8D" w:rsidRPr="00D26003">
        <w:t>the increase.</w:t>
      </w:r>
    </w:p>
    <w:p w14:paraId="2D32D164" w14:textId="7F81D445" w:rsidR="002F0CE5" w:rsidRDefault="00B25C8D" w:rsidP="00B25C8D">
      <w:pPr>
        <w:pStyle w:val="1GAPara"/>
        <w:numPr>
          <w:ilvl w:val="0"/>
          <w:numId w:val="3"/>
        </w:numPr>
        <w:spacing w:before="120"/>
        <w:ind w:left="567" w:hanging="567"/>
        <w:jc w:val="both"/>
      </w:pPr>
      <w:r w:rsidRPr="00D26003">
        <w:t>Moreover, if the annual ceiling of files is to be set higher than at sixty file</w:t>
      </w:r>
      <w:r w:rsidR="00056868" w:rsidRPr="00D26003">
        <w:t>s</w:t>
      </w:r>
      <w:r w:rsidRPr="00D26003">
        <w:t xml:space="preserve"> per year, it would no longer be possible to rely on the current working methodology of the Evaluation Body. Increasing the number of members of the </w:t>
      </w:r>
      <w:r w:rsidR="00056868" w:rsidRPr="00D26003">
        <w:t xml:space="preserve">Evaluation </w:t>
      </w:r>
      <w:r w:rsidRPr="00D26003">
        <w:t xml:space="preserve">Body </w:t>
      </w:r>
      <w:r w:rsidR="00F150C6" w:rsidRPr="00D26003">
        <w:t xml:space="preserve">or splitting it </w:t>
      </w:r>
      <w:r w:rsidRPr="00D26003">
        <w:t xml:space="preserve">to allow </w:t>
      </w:r>
      <w:r w:rsidR="00F150C6" w:rsidRPr="00D26003">
        <w:t>the Body</w:t>
      </w:r>
      <w:r w:rsidRPr="00D26003">
        <w:t xml:space="preserve"> to work in parallel groups would </w:t>
      </w:r>
      <w:r w:rsidR="00837293" w:rsidRPr="00D26003">
        <w:t>increase</w:t>
      </w:r>
      <w:r w:rsidRPr="00D26003">
        <w:t xml:space="preserve"> the risk of </w:t>
      </w:r>
      <w:r w:rsidR="00837293" w:rsidRPr="00D26003">
        <w:t>in</w:t>
      </w:r>
      <w:r w:rsidRPr="00D26003">
        <w:t>consistent evaluation</w:t>
      </w:r>
      <w:r w:rsidR="00837293" w:rsidRPr="00D26003">
        <w:t>s</w:t>
      </w:r>
      <w:r w:rsidRPr="00D26003">
        <w:t xml:space="preserve"> within a cycle. The time constraints related to the evaluation</w:t>
      </w:r>
      <w:r w:rsidR="00837293" w:rsidRPr="00D26003">
        <w:t xml:space="preserve"> calendar</w:t>
      </w:r>
      <w:r w:rsidRPr="00D26003">
        <w:t xml:space="preserve"> and the </w:t>
      </w:r>
      <w:r w:rsidR="00704B66" w:rsidRPr="00D26003">
        <w:t xml:space="preserve">current </w:t>
      </w:r>
      <w:r w:rsidRPr="00D26003">
        <w:t xml:space="preserve">capacity of the Secretariat mean that the Secretariat would not be able to </w:t>
      </w:r>
      <w:r w:rsidR="00837293" w:rsidRPr="00D26003">
        <w:t xml:space="preserve">support </w:t>
      </w:r>
      <w:r w:rsidRPr="00D26003">
        <w:rPr>
          <w:rFonts w:asciiTheme="minorBidi" w:hAnsiTheme="minorBidi" w:cstheme="minorBidi"/>
        </w:rPr>
        <w:t xml:space="preserve">two </w:t>
      </w:r>
      <w:r w:rsidRPr="00D26003">
        <w:t xml:space="preserve">groups of the Evaluation Body </w:t>
      </w:r>
      <w:r w:rsidR="00837293" w:rsidRPr="00D26003">
        <w:t>at the same time</w:t>
      </w:r>
      <w:r w:rsidRPr="00D26003">
        <w:t xml:space="preserve">. It would then be necessary to </w:t>
      </w:r>
      <w:r w:rsidRPr="00D26003">
        <w:rPr>
          <w:u w:val="single"/>
        </w:rPr>
        <w:t>outsource</w:t>
      </w:r>
      <w:r w:rsidR="00837293" w:rsidRPr="00D26003">
        <w:t xml:space="preserve"> the work</w:t>
      </w:r>
      <w:r w:rsidR="00BE2456" w:rsidRPr="00D26003">
        <w:t xml:space="preserve"> (see paragraph 9.c)</w:t>
      </w:r>
      <w:r w:rsidR="00837293" w:rsidRPr="00D26003">
        <w:t>, through</w:t>
      </w:r>
      <w:r w:rsidRPr="00D26003">
        <w:t xml:space="preserve"> a coordinating platform</w:t>
      </w:r>
      <w:r w:rsidR="00837293" w:rsidRPr="00D26003">
        <w:t xml:space="preserve"> and</w:t>
      </w:r>
      <w:r w:rsidRPr="00D26003">
        <w:t xml:space="preserve"> with</w:t>
      </w:r>
      <w:r w:rsidR="00B56891" w:rsidRPr="00D26003">
        <w:t>out</w:t>
      </w:r>
      <w:r w:rsidRPr="00D26003">
        <w:t xml:space="preserve"> the </w:t>
      </w:r>
      <w:r w:rsidR="00FA31AE" w:rsidRPr="00D26003">
        <w:t xml:space="preserve">administrative and substantive </w:t>
      </w:r>
      <w:r w:rsidRPr="00D26003">
        <w:t>support that is normally given to the Evaluation Body by the Secretariat, including the</w:t>
      </w:r>
      <w:r w:rsidR="00BE2BBF" w:rsidRPr="00D26003">
        <w:t xml:space="preserve"> assistance with the</w:t>
      </w:r>
      <w:r w:rsidRPr="00D26003">
        <w:t xml:space="preserve"> preparation of the recommendations of the </w:t>
      </w:r>
      <w:r w:rsidR="00056868" w:rsidRPr="00D26003">
        <w:t xml:space="preserve">Evaluation </w:t>
      </w:r>
      <w:r w:rsidRPr="00D26003">
        <w:t>Body.</w:t>
      </w:r>
    </w:p>
    <w:p w14:paraId="6CC5E8D3" w14:textId="0A73C8E3" w:rsidR="00B25C8D" w:rsidRPr="002F0CE5" w:rsidRDefault="002F0CE5" w:rsidP="002F0CE5">
      <w:pPr>
        <w:spacing w:after="0"/>
        <w:rPr>
          <w:rFonts w:ascii="Arial" w:hAnsi="Arial" w:cs="Arial"/>
          <w:snapToGrid w:val="0"/>
          <w:szCs w:val="22"/>
          <w:lang w:eastAsia="en-US"/>
        </w:rPr>
      </w:pPr>
      <w:r>
        <w:br w:type="page"/>
      </w:r>
    </w:p>
    <w:p w14:paraId="4FD36111" w14:textId="418995B2" w:rsidR="009526F1" w:rsidRPr="00D26003" w:rsidRDefault="00A53EE6" w:rsidP="00556D44">
      <w:pPr>
        <w:pStyle w:val="1GAPara"/>
        <w:numPr>
          <w:ilvl w:val="0"/>
          <w:numId w:val="3"/>
        </w:numPr>
        <w:spacing w:before="120"/>
        <w:ind w:left="567" w:hanging="567"/>
        <w:jc w:val="both"/>
        <w:rPr>
          <w:rFonts w:asciiTheme="minorBidi" w:hAnsiTheme="minorBidi" w:cstheme="minorBidi"/>
        </w:rPr>
      </w:pPr>
      <w:r w:rsidRPr="00D26003">
        <w:lastRenderedPageBreak/>
        <w:t xml:space="preserve">Under this scenario, </w:t>
      </w:r>
      <w:r w:rsidR="00BE2456" w:rsidRPr="00D26003">
        <w:t>t</w:t>
      </w:r>
      <w:r w:rsidR="001709F0" w:rsidRPr="00D26003">
        <w:rPr>
          <w:rFonts w:asciiTheme="minorBidi" w:hAnsiTheme="minorBidi" w:cstheme="minorBidi"/>
        </w:rPr>
        <w:t xml:space="preserve">he current funding priorities (Decision </w:t>
      </w:r>
      <w:hyperlink r:id="rId17" w:history="1">
        <w:r w:rsidR="001709F0" w:rsidRPr="00D26003">
          <w:rPr>
            <w:rStyle w:val="Lienhypertexte"/>
            <w:rFonts w:asciiTheme="minorBidi" w:hAnsiTheme="minorBidi" w:cstheme="minorBidi"/>
          </w:rPr>
          <w:t>16.COM</w:t>
        </w:r>
        <w:r w:rsidR="00023BD2" w:rsidRPr="00D26003">
          <w:rPr>
            <w:rStyle w:val="Lienhypertexte"/>
            <w:rFonts w:asciiTheme="minorBidi" w:hAnsiTheme="minorBidi" w:cstheme="minorBidi"/>
          </w:rPr>
          <w:t> </w:t>
        </w:r>
        <w:r w:rsidR="001709F0" w:rsidRPr="00D26003">
          <w:rPr>
            <w:rStyle w:val="Lienhypertexte"/>
            <w:rFonts w:asciiTheme="minorBidi" w:hAnsiTheme="minorBidi" w:cstheme="minorBidi"/>
          </w:rPr>
          <w:t>12</w:t>
        </w:r>
      </w:hyperlink>
      <w:r w:rsidR="001709F0" w:rsidRPr="00D26003">
        <w:rPr>
          <w:rFonts w:asciiTheme="minorBidi" w:hAnsiTheme="minorBidi" w:cstheme="minorBidi"/>
        </w:rPr>
        <w:t xml:space="preserve">) of the Convention would </w:t>
      </w:r>
      <w:r w:rsidRPr="00D26003">
        <w:rPr>
          <w:rFonts w:asciiTheme="minorBidi" w:hAnsiTheme="minorBidi" w:cstheme="minorBidi"/>
        </w:rPr>
        <w:t xml:space="preserve">certainly </w:t>
      </w:r>
      <w:r w:rsidR="001709F0" w:rsidRPr="00D26003">
        <w:rPr>
          <w:rFonts w:asciiTheme="minorBidi" w:hAnsiTheme="minorBidi" w:cstheme="minorBidi"/>
        </w:rPr>
        <w:t>need to be re-defined.</w:t>
      </w:r>
      <w:r w:rsidRPr="00D26003">
        <w:rPr>
          <w:rFonts w:asciiTheme="minorBidi" w:hAnsiTheme="minorBidi" w:cstheme="minorBidi"/>
        </w:rPr>
        <w:t xml:space="preserve"> Alternatively, it would be necessary to </w:t>
      </w:r>
      <w:r w:rsidR="00AA05DB" w:rsidRPr="00D26003">
        <w:rPr>
          <w:rFonts w:asciiTheme="minorBidi" w:hAnsiTheme="minorBidi" w:cstheme="minorBidi"/>
        </w:rPr>
        <w:t xml:space="preserve">significantly </w:t>
      </w:r>
      <w:r w:rsidRPr="00D26003">
        <w:rPr>
          <w:rFonts w:asciiTheme="minorBidi" w:hAnsiTheme="minorBidi" w:cstheme="minorBidi"/>
        </w:rPr>
        <w:t xml:space="preserve">increase the </w:t>
      </w:r>
      <w:r w:rsidR="00AA05DB" w:rsidRPr="00D26003">
        <w:rPr>
          <w:rFonts w:asciiTheme="minorBidi" w:hAnsiTheme="minorBidi" w:cstheme="minorBidi"/>
        </w:rPr>
        <w:t xml:space="preserve">human resources </w:t>
      </w:r>
      <w:r w:rsidRPr="00D26003">
        <w:rPr>
          <w:rFonts w:asciiTheme="minorBidi" w:hAnsiTheme="minorBidi" w:cstheme="minorBidi"/>
        </w:rPr>
        <w:t>capacity of the Secretariat</w:t>
      </w:r>
      <w:r w:rsidR="004A32D6" w:rsidRPr="00D26003">
        <w:rPr>
          <w:rFonts w:asciiTheme="minorBidi" w:hAnsiTheme="minorBidi" w:cstheme="minorBidi"/>
        </w:rPr>
        <w:t xml:space="preserve"> if all the current operations are to be maintained</w:t>
      </w:r>
      <w:r w:rsidRPr="00D26003">
        <w:rPr>
          <w:rFonts w:asciiTheme="minorBidi" w:hAnsiTheme="minorBidi" w:cstheme="minorBidi"/>
        </w:rPr>
        <w:t>.</w:t>
      </w:r>
    </w:p>
    <w:p w14:paraId="0F390D40" w14:textId="3028AB13" w:rsidR="005A6868" w:rsidRPr="00D26003" w:rsidRDefault="00620DF8" w:rsidP="00C61D37">
      <w:pPr>
        <w:pStyle w:val="1GAPara"/>
        <w:keepNext/>
        <w:numPr>
          <w:ilvl w:val="0"/>
          <w:numId w:val="0"/>
        </w:numPr>
        <w:spacing w:before="120"/>
        <w:ind w:left="720" w:hanging="153"/>
        <w:jc w:val="both"/>
        <w:rPr>
          <w:u w:val="single"/>
        </w:rPr>
      </w:pPr>
      <w:r w:rsidRPr="00D26003">
        <w:rPr>
          <w:u w:val="single"/>
        </w:rPr>
        <w:t>The order of priority</w:t>
      </w:r>
    </w:p>
    <w:p w14:paraId="4935889B" w14:textId="7679AEF9" w:rsidR="00F62896" w:rsidRPr="00D26003" w:rsidRDefault="00A40446" w:rsidP="000363B8">
      <w:pPr>
        <w:pStyle w:val="1GAPara"/>
        <w:keepNext/>
        <w:numPr>
          <w:ilvl w:val="0"/>
          <w:numId w:val="3"/>
        </w:numPr>
        <w:spacing w:before="120" w:after="360"/>
        <w:ind w:left="567" w:hanging="567"/>
        <w:jc w:val="both"/>
        <w:rPr>
          <w:u w:val="single"/>
        </w:rPr>
      </w:pPr>
      <w:r w:rsidRPr="00D26003">
        <w:t xml:space="preserve">Under this scenario, the ceiling and the order of priorities would need to be considered depending on whether </w:t>
      </w:r>
      <w:r w:rsidR="00311786" w:rsidRPr="00D26003">
        <w:t>the</w:t>
      </w:r>
      <w:r w:rsidRPr="00D26003">
        <w:t xml:space="preserve"> increase </w:t>
      </w:r>
      <w:r w:rsidR="001C1380" w:rsidRPr="00D26003">
        <w:t xml:space="preserve">proposed </w:t>
      </w:r>
      <w:r w:rsidRPr="00D26003">
        <w:t>is of a slight or considerable nature</w:t>
      </w:r>
      <w:r w:rsidR="001C1380" w:rsidRPr="00D26003">
        <w:t>.</w:t>
      </w:r>
      <w:r w:rsidR="00EF3800" w:rsidRPr="00D26003">
        <w:t xml:space="preserve"> Theoretically speaking, the current </w:t>
      </w:r>
      <w:r w:rsidR="00E56B35" w:rsidRPr="00D26003">
        <w:t xml:space="preserve">prioritisation </w:t>
      </w:r>
      <w:r w:rsidR="00EF3800" w:rsidRPr="00D26003">
        <w:t>system c</w:t>
      </w:r>
      <w:r w:rsidR="00E56B35" w:rsidRPr="00D26003">
        <w:t>ould continue</w:t>
      </w:r>
      <w:r w:rsidR="00EF3800" w:rsidRPr="00D26003">
        <w:t xml:space="preserve"> </w:t>
      </w:r>
      <w:r w:rsidR="00E56B35" w:rsidRPr="00D26003">
        <w:t>if the ceiling is raised considerably</w:t>
      </w:r>
      <w:r w:rsidR="00837293" w:rsidRPr="00D26003">
        <w:t>,</w:t>
      </w:r>
      <w:r w:rsidR="00E56B35" w:rsidRPr="00D26003">
        <w:t xml:space="preserve"> </w:t>
      </w:r>
      <w:r w:rsidR="00B452F7" w:rsidRPr="00D26003">
        <w:t xml:space="preserve">as </w:t>
      </w:r>
      <w:r w:rsidR="00837293" w:rsidRPr="00D26003">
        <w:t xml:space="preserve">the new </w:t>
      </w:r>
      <w:r w:rsidR="00B452F7" w:rsidRPr="00D26003">
        <w:t xml:space="preserve">‘spots’ would </w:t>
      </w:r>
      <w:r w:rsidR="00E56B35" w:rsidRPr="00D26003">
        <w:t xml:space="preserve">absorb </w:t>
      </w:r>
      <w:r w:rsidR="00B452F7" w:rsidRPr="00D26003">
        <w:t xml:space="preserve">the </w:t>
      </w:r>
      <w:r w:rsidR="00E56B35" w:rsidRPr="00D26003">
        <w:t xml:space="preserve">increasing number of national and multinational submissions. </w:t>
      </w:r>
      <w:r w:rsidR="00FA31AE" w:rsidRPr="00D26003">
        <w:t xml:space="preserve">It would be possible to envisage the adjustment to the order of priority in the sense of Topic 2 of the reflection (increasing the interval of the priority (0) from two to three years, while alternating between a nomination to the Representative List and the Urgent Safeguarding List or the Register of Good Safeguarding Practices). </w:t>
      </w:r>
      <w:r w:rsidR="00837293" w:rsidRPr="00D26003">
        <w:t>However, i</w:t>
      </w:r>
      <w:r w:rsidR="00E56B35" w:rsidRPr="00D26003">
        <w:t>f the increase is modest</w:t>
      </w:r>
      <w:r w:rsidR="00837293" w:rsidRPr="00D26003">
        <w:t>,</w:t>
      </w:r>
      <w:r w:rsidR="00E56B35" w:rsidRPr="00D26003">
        <w:t xml:space="preserve"> it </w:t>
      </w:r>
      <w:r w:rsidR="00837293" w:rsidRPr="00D26003">
        <w:t>may</w:t>
      </w:r>
      <w:r w:rsidR="00E56B35" w:rsidRPr="00D26003">
        <w:t xml:space="preserve"> be necessary to </w:t>
      </w:r>
      <w:r w:rsidR="007E70C3" w:rsidRPr="00D26003">
        <w:t>make</w:t>
      </w:r>
      <w:r w:rsidR="00E56B35" w:rsidRPr="00D26003">
        <w:t xml:space="preserve"> adjustments </w:t>
      </w:r>
      <w:r w:rsidR="00B452F7" w:rsidRPr="00D26003">
        <w:t xml:space="preserve">by choosing one of the </w:t>
      </w:r>
      <w:r w:rsidR="00735D39" w:rsidRPr="00D26003">
        <w:t xml:space="preserve">two </w:t>
      </w:r>
      <w:r w:rsidR="00B452F7" w:rsidRPr="00D26003">
        <w:t xml:space="preserve">measures </w:t>
      </w:r>
      <w:r w:rsidR="00E56B35" w:rsidRPr="00D26003">
        <w:t xml:space="preserve">proposed for Option A (see paragraph </w:t>
      </w:r>
      <w:r w:rsidR="00735D39" w:rsidRPr="00D26003">
        <w:t>16</w:t>
      </w:r>
      <w:r w:rsidR="00E56B35" w:rsidRPr="00D26003">
        <w:t>).</w:t>
      </w:r>
    </w:p>
    <w:p w14:paraId="31666DDC" w14:textId="41915F39" w:rsidR="00CE5596" w:rsidRPr="00D26003" w:rsidRDefault="00CE5596" w:rsidP="00C61D37">
      <w:pPr>
        <w:pStyle w:val="1GAPara"/>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before="240"/>
        <w:ind w:left="567"/>
        <w:jc w:val="both"/>
      </w:pPr>
      <w:r w:rsidRPr="00D26003">
        <w:t>Considerations common to Option A and Option B</w:t>
      </w:r>
    </w:p>
    <w:p w14:paraId="58B55A28" w14:textId="16B64CAF" w:rsidR="00F618BE" w:rsidRPr="00D26003" w:rsidRDefault="00F618BE" w:rsidP="00A741F9">
      <w:pPr>
        <w:pStyle w:val="1GAPara"/>
        <w:keepNext/>
        <w:numPr>
          <w:ilvl w:val="0"/>
          <w:numId w:val="3"/>
        </w:numPr>
        <w:spacing w:before="120"/>
        <w:ind w:left="567" w:hanging="567"/>
        <w:jc w:val="both"/>
      </w:pPr>
      <w:r w:rsidRPr="00D26003">
        <w:t xml:space="preserve">Regardless of whether </w:t>
      </w:r>
      <w:r w:rsidR="007E70C3" w:rsidRPr="00D26003">
        <w:t xml:space="preserve">the limit per cycle remains </w:t>
      </w:r>
      <w:r w:rsidRPr="00D26003">
        <w:t xml:space="preserve">at sixty files </w:t>
      </w:r>
      <w:r w:rsidR="007E70C3" w:rsidRPr="00D26003">
        <w:t>or is increased</w:t>
      </w:r>
      <w:r w:rsidRPr="00D26003">
        <w:t xml:space="preserve">, </w:t>
      </w:r>
      <w:r w:rsidRPr="00D26003">
        <w:rPr>
          <w:rFonts w:asciiTheme="minorBidi" w:hAnsiTheme="minorBidi" w:cstheme="minorBidi"/>
        </w:rPr>
        <w:t xml:space="preserve">the idea to </w:t>
      </w:r>
      <w:r w:rsidRPr="00D26003">
        <w:rPr>
          <w:rFonts w:asciiTheme="minorBidi" w:hAnsiTheme="minorBidi" w:cstheme="minorBidi"/>
          <w:u w:val="single"/>
        </w:rPr>
        <w:t>move all International Assistance requests to the Bureau of the Committee</w:t>
      </w:r>
      <w:r w:rsidRPr="00D26003">
        <w:rPr>
          <w:rFonts w:asciiTheme="minorBidi" w:hAnsiTheme="minorBidi" w:cstheme="minorBidi"/>
        </w:rPr>
        <w:t xml:space="preserve"> (Topic 3) would not be problematic. However, the impact of this measure for the overall prioritisation system is expected to be minimal, since in recent years </w:t>
      </w:r>
      <w:r w:rsidR="007E70C3" w:rsidRPr="00D26003">
        <w:rPr>
          <w:rFonts w:asciiTheme="minorBidi" w:hAnsiTheme="minorBidi" w:cstheme="minorBidi"/>
        </w:rPr>
        <w:t>a</w:t>
      </w:r>
      <w:r w:rsidRPr="00D26003">
        <w:rPr>
          <w:rFonts w:asciiTheme="minorBidi" w:hAnsiTheme="minorBidi" w:cstheme="minorBidi"/>
        </w:rPr>
        <w:t xml:space="preserve">n average </w:t>
      </w:r>
      <w:r w:rsidR="007E70C3" w:rsidRPr="00D26003">
        <w:rPr>
          <w:rFonts w:asciiTheme="minorBidi" w:hAnsiTheme="minorBidi" w:cstheme="minorBidi"/>
        </w:rPr>
        <w:t xml:space="preserve">of </w:t>
      </w:r>
      <w:r w:rsidRPr="00D26003">
        <w:rPr>
          <w:rFonts w:asciiTheme="minorBidi" w:hAnsiTheme="minorBidi" w:cstheme="minorBidi"/>
        </w:rPr>
        <w:t xml:space="preserve">three such requests have been received. </w:t>
      </w:r>
      <w:r w:rsidR="007E70C3" w:rsidRPr="00D26003">
        <w:rPr>
          <w:rFonts w:asciiTheme="minorBidi" w:hAnsiTheme="minorBidi" w:cstheme="minorBidi"/>
        </w:rPr>
        <w:t>Nevertheless, t</w:t>
      </w:r>
      <w:r w:rsidRPr="00D26003">
        <w:rPr>
          <w:rFonts w:asciiTheme="minorBidi" w:hAnsiTheme="minorBidi" w:cstheme="minorBidi"/>
        </w:rPr>
        <w:t xml:space="preserve">he working group is encouraged to suggest capping each request </w:t>
      </w:r>
      <w:r w:rsidR="007E70C3" w:rsidRPr="00D26003">
        <w:rPr>
          <w:rFonts w:asciiTheme="minorBidi" w:hAnsiTheme="minorBidi" w:cstheme="minorBidi"/>
        </w:rPr>
        <w:t xml:space="preserve">at </w:t>
      </w:r>
      <w:r w:rsidRPr="00D26003">
        <w:rPr>
          <w:rFonts w:asciiTheme="minorBidi" w:hAnsiTheme="minorBidi" w:cstheme="minorBidi"/>
        </w:rPr>
        <w:t xml:space="preserve">US$100,000 (in line with the </w:t>
      </w:r>
      <w:r w:rsidR="00774782" w:rsidRPr="00D26003">
        <w:rPr>
          <w:rFonts w:asciiTheme="minorBidi" w:hAnsiTheme="minorBidi" w:cstheme="minorBidi"/>
        </w:rPr>
        <w:t>number</w:t>
      </w:r>
      <w:r w:rsidRPr="00D26003">
        <w:rPr>
          <w:rFonts w:asciiTheme="minorBidi" w:hAnsiTheme="minorBidi" w:cstheme="minorBidi"/>
        </w:rPr>
        <w:t xml:space="preserve"> of request</w:t>
      </w:r>
      <w:r w:rsidR="007E70C3" w:rsidRPr="00D26003">
        <w:rPr>
          <w:rFonts w:asciiTheme="minorBidi" w:hAnsiTheme="minorBidi" w:cstheme="minorBidi"/>
        </w:rPr>
        <w:t>s</w:t>
      </w:r>
      <w:r w:rsidRPr="00D26003">
        <w:rPr>
          <w:rFonts w:asciiTheme="minorBidi" w:hAnsiTheme="minorBidi" w:cstheme="minorBidi"/>
        </w:rPr>
        <w:t xml:space="preserve"> that the Bureau is authorised to examine) so as not to exhaust the Intangible Cultural Heritage Fund with a few </w:t>
      </w:r>
      <w:r w:rsidR="007E70C3" w:rsidRPr="00D26003">
        <w:rPr>
          <w:rFonts w:asciiTheme="minorBidi" w:hAnsiTheme="minorBidi" w:cstheme="minorBidi"/>
        </w:rPr>
        <w:t xml:space="preserve">steep </w:t>
      </w:r>
      <w:r w:rsidRPr="00D26003">
        <w:rPr>
          <w:rFonts w:asciiTheme="minorBidi" w:hAnsiTheme="minorBidi" w:cstheme="minorBidi"/>
        </w:rPr>
        <w:t>requests</w:t>
      </w:r>
      <w:r w:rsidR="00DE1C28" w:rsidRPr="00D26003">
        <w:rPr>
          <w:rFonts w:asciiTheme="minorBidi" w:hAnsiTheme="minorBidi" w:cstheme="minorBidi"/>
        </w:rPr>
        <w:t>, except for emergency situations as is currently the case</w:t>
      </w:r>
      <w:r w:rsidRPr="00D26003">
        <w:rPr>
          <w:rFonts w:asciiTheme="minorBidi" w:hAnsiTheme="minorBidi" w:cstheme="minorBidi"/>
        </w:rPr>
        <w:t>.</w:t>
      </w:r>
    </w:p>
    <w:p w14:paraId="4050A053" w14:textId="4633F08C" w:rsidR="00F618BE" w:rsidRPr="00D26003" w:rsidRDefault="00F618BE" w:rsidP="00F618BE">
      <w:pPr>
        <w:pStyle w:val="1GAPara"/>
        <w:numPr>
          <w:ilvl w:val="0"/>
          <w:numId w:val="3"/>
        </w:numPr>
        <w:spacing w:before="120"/>
        <w:ind w:left="567" w:hanging="567"/>
        <w:jc w:val="both"/>
        <w:rPr>
          <w:rFonts w:asciiTheme="minorBidi" w:hAnsiTheme="minorBidi" w:cstheme="minorBidi"/>
        </w:rPr>
      </w:pPr>
      <w:r w:rsidRPr="00D26003">
        <w:rPr>
          <w:rFonts w:asciiTheme="minorBidi" w:hAnsiTheme="minorBidi" w:cstheme="minorBidi"/>
        </w:rPr>
        <w:t xml:space="preserve">As regards Topic 4 and Topic 5 of the reflection, </w:t>
      </w:r>
      <w:r w:rsidR="00CD3094" w:rsidRPr="00D26003">
        <w:rPr>
          <w:rFonts w:asciiTheme="minorBidi" w:hAnsiTheme="minorBidi" w:cstheme="minorBidi"/>
        </w:rPr>
        <w:t>i</w:t>
      </w:r>
      <w:r w:rsidR="00DE1C28" w:rsidRPr="00D26003">
        <w:rPr>
          <w:rFonts w:asciiTheme="minorBidi" w:hAnsiTheme="minorBidi" w:cstheme="minorBidi"/>
        </w:rPr>
        <w:t xml:space="preserve">t is </w:t>
      </w:r>
      <w:r w:rsidRPr="00D26003">
        <w:rPr>
          <w:rFonts w:asciiTheme="minorBidi" w:hAnsiTheme="minorBidi" w:cstheme="minorBidi"/>
        </w:rPr>
        <w:t>difficult to estimate</w:t>
      </w:r>
      <w:r w:rsidR="00DE1C28" w:rsidRPr="00D26003">
        <w:rPr>
          <w:rFonts w:asciiTheme="minorBidi" w:hAnsiTheme="minorBidi" w:cstheme="minorBidi"/>
        </w:rPr>
        <w:t xml:space="preserve"> at this stage </w:t>
      </w:r>
      <w:r w:rsidRPr="00D26003">
        <w:rPr>
          <w:rFonts w:asciiTheme="minorBidi" w:hAnsiTheme="minorBidi" w:cstheme="minorBidi"/>
        </w:rPr>
        <w:t xml:space="preserve">the </w:t>
      </w:r>
      <w:r w:rsidR="00921FF3" w:rsidRPr="00D26003">
        <w:rPr>
          <w:rFonts w:asciiTheme="minorBidi" w:hAnsiTheme="minorBidi" w:cstheme="minorBidi"/>
        </w:rPr>
        <w:t xml:space="preserve">number of requests that </w:t>
      </w:r>
      <w:r w:rsidR="00DE1C28" w:rsidRPr="00D26003">
        <w:rPr>
          <w:rFonts w:asciiTheme="minorBidi" w:hAnsiTheme="minorBidi" w:cstheme="minorBidi"/>
        </w:rPr>
        <w:t xml:space="preserve">might </w:t>
      </w:r>
      <w:r w:rsidR="00921FF3" w:rsidRPr="00D26003">
        <w:rPr>
          <w:rFonts w:asciiTheme="minorBidi" w:hAnsiTheme="minorBidi" w:cstheme="minorBidi"/>
        </w:rPr>
        <w:t>be received for</w:t>
      </w:r>
      <w:r w:rsidRPr="00D26003">
        <w:rPr>
          <w:rFonts w:asciiTheme="minorBidi" w:hAnsiTheme="minorBidi" w:cstheme="minorBidi"/>
        </w:rPr>
        <w:t xml:space="preserve"> </w:t>
      </w:r>
      <w:r w:rsidRPr="00D26003">
        <w:rPr>
          <w:rFonts w:asciiTheme="minorBidi" w:hAnsiTheme="minorBidi" w:cstheme="minorBidi"/>
          <w:u w:val="single"/>
        </w:rPr>
        <w:t xml:space="preserve">transfer and removal </w:t>
      </w:r>
      <w:r w:rsidR="00921FF3" w:rsidRPr="00D26003">
        <w:rPr>
          <w:rFonts w:asciiTheme="minorBidi" w:hAnsiTheme="minorBidi" w:cstheme="minorBidi"/>
          <w:u w:val="single"/>
        </w:rPr>
        <w:t>of elements</w:t>
      </w:r>
      <w:r w:rsidRPr="00D26003">
        <w:rPr>
          <w:rFonts w:asciiTheme="minorBidi" w:hAnsiTheme="minorBidi" w:cstheme="minorBidi"/>
          <w:u w:val="single"/>
        </w:rPr>
        <w:t xml:space="preserve"> </w:t>
      </w:r>
      <w:r w:rsidR="007E70C3" w:rsidRPr="00D26003">
        <w:rPr>
          <w:rFonts w:asciiTheme="minorBidi" w:hAnsiTheme="minorBidi" w:cstheme="minorBidi"/>
          <w:u w:val="single"/>
        </w:rPr>
        <w:t>and the</w:t>
      </w:r>
      <w:r w:rsidRPr="00D26003">
        <w:rPr>
          <w:rFonts w:asciiTheme="minorBidi" w:hAnsiTheme="minorBidi" w:cstheme="minorBidi"/>
          <w:u w:val="single"/>
        </w:rPr>
        <w:t xml:space="preserve"> inscription on an extended or reduced basis</w:t>
      </w:r>
      <w:r w:rsidR="00921FF3" w:rsidRPr="00D26003">
        <w:rPr>
          <w:rFonts w:asciiTheme="minorBidi" w:hAnsiTheme="minorBidi" w:cstheme="minorBidi"/>
          <w:u w:val="single"/>
        </w:rPr>
        <w:t xml:space="preserve">. </w:t>
      </w:r>
      <w:r w:rsidR="00921FF3" w:rsidRPr="00D26003">
        <w:rPr>
          <w:rFonts w:asciiTheme="minorBidi" w:hAnsiTheme="minorBidi" w:cstheme="minorBidi"/>
        </w:rPr>
        <w:t>A</w:t>
      </w:r>
      <w:r w:rsidR="00A621A9" w:rsidRPr="00D26003">
        <w:rPr>
          <w:rFonts w:asciiTheme="minorBidi" w:hAnsiTheme="minorBidi" w:cstheme="minorBidi"/>
        </w:rPr>
        <w:t xml:space="preserve"> preliminary estimation </w:t>
      </w:r>
      <w:r w:rsidR="00DE1C28" w:rsidRPr="00D26003">
        <w:rPr>
          <w:rFonts w:asciiTheme="minorBidi" w:hAnsiTheme="minorBidi" w:cstheme="minorBidi"/>
        </w:rPr>
        <w:t xml:space="preserve">of the costs involved </w:t>
      </w:r>
      <w:r w:rsidR="00A621A9" w:rsidRPr="00D26003">
        <w:rPr>
          <w:rFonts w:asciiTheme="minorBidi" w:hAnsiTheme="minorBidi" w:cstheme="minorBidi"/>
        </w:rPr>
        <w:t xml:space="preserve">is between US$18,000 to US$20,000 per request for </w:t>
      </w:r>
      <w:r w:rsidR="00C43F4E" w:rsidRPr="00D26003">
        <w:rPr>
          <w:rFonts w:asciiTheme="minorBidi" w:hAnsiTheme="minorBidi" w:cstheme="minorBidi"/>
        </w:rPr>
        <w:t xml:space="preserve">each of </w:t>
      </w:r>
      <w:r w:rsidR="00A621A9" w:rsidRPr="00D26003">
        <w:rPr>
          <w:rFonts w:asciiTheme="minorBidi" w:hAnsiTheme="minorBidi" w:cstheme="minorBidi"/>
        </w:rPr>
        <w:t>these new procedures</w:t>
      </w:r>
      <w:r w:rsidR="00921FF3" w:rsidRPr="00D26003">
        <w:rPr>
          <w:rFonts w:asciiTheme="minorBidi" w:hAnsiTheme="minorBidi" w:cstheme="minorBidi"/>
        </w:rPr>
        <w:t>, which includes multiple steps</w:t>
      </w:r>
      <w:r w:rsidR="00A621A9" w:rsidRPr="00D26003">
        <w:rPr>
          <w:rFonts w:asciiTheme="minorBidi" w:hAnsiTheme="minorBidi" w:cstheme="minorBidi"/>
        </w:rPr>
        <w:t xml:space="preserve">. </w:t>
      </w:r>
      <w:r w:rsidRPr="00D26003">
        <w:rPr>
          <w:rFonts w:asciiTheme="minorBidi" w:hAnsiTheme="minorBidi" w:cstheme="minorBidi"/>
        </w:rPr>
        <w:t>An experimental approach</w:t>
      </w:r>
      <w:r w:rsidR="009358F1" w:rsidRPr="00D26003">
        <w:rPr>
          <w:rFonts w:asciiTheme="minorBidi" w:hAnsiTheme="minorBidi" w:cstheme="minorBidi"/>
        </w:rPr>
        <w:t xml:space="preserve"> for both Option A and Option B</w:t>
      </w:r>
      <w:r w:rsidRPr="00D26003">
        <w:rPr>
          <w:rFonts w:asciiTheme="minorBidi" w:hAnsiTheme="minorBidi" w:cstheme="minorBidi"/>
        </w:rPr>
        <w:t xml:space="preserve"> could be to include these requests as part of the annual number of files to be treated and to re-evaluate the situation in a few years, after having gained practical experience with the new procedures.</w:t>
      </w:r>
    </w:p>
    <w:p w14:paraId="6FBAD89D" w14:textId="25F98C53" w:rsidR="00A51CF4" w:rsidRPr="00D26003" w:rsidRDefault="00961C85" w:rsidP="00961C85">
      <w:pPr>
        <w:pStyle w:val="1GAPara"/>
        <w:numPr>
          <w:ilvl w:val="0"/>
          <w:numId w:val="3"/>
        </w:numPr>
        <w:spacing w:before="120"/>
        <w:ind w:left="567" w:hanging="567"/>
        <w:jc w:val="both"/>
      </w:pPr>
      <w:r w:rsidRPr="00D26003">
        <w:t xml:space="preserve">The </w:t>
      </w:r>
      <w:r w:rsidRPr="00D26003">
        <w:rPr>
          <w:rFonts w:asciiTheme="minorBidi" w:hAnsiTheme="minorBidi" w:cstheme="minorBidi"/>
        </w:rPr>
        <w:t>working</w:t>
      </w:r>
      <w:r w:rsidRPr="00D26003">
        <w:t xml:space="preserve"> group may consider recommending adjusting the backlog system so as to send </w:t>
      </w:r>
      <w:r w:rsidR="009358F1" w:rsidRPr="00D26003">
        <w:t>any existing or future</w:t>
      </w:r>
      <w:r w:rsidRPr="00D26003">
        <w:t xml:space="preserve"> </w:t>
      </w:r>
      <w:r w:rsidRPr="00D26003">
        <w:rPr>
          <w:u w:val="single"/>
        </w:rPr>
        <w:t>backlog files</w:t>
      </w:r>
      <w:r w:rsidRPr="00D26003">
        <w:t xml:space="preserve"> </w:t>
      </w:r>
      <w:r w:rsidR="009358F1" w:rsidRPr="00D26003">
        <w:t xml:space="preserve">back to submitting States </w:t>
      </w:r>
      <w:r w:rsidRPr="00D26003">
        <w:t>if they were submitted four</w:t>
      </w:r>
      <w:r w:rsidR="009358F1" w:rsidRPr="00D26003">
        <w:t xml:space="preserve"> or more</w:t>
      </w:r>
      <w:r w:rsidRPr="00D26003">
        <w:t xml:space="preserve"> years ago</w:t>
      </w:r>
      <w:r w:rsidR="009358F1" w:rsidRPr="00D26003">
        <w:t>. T</w:t>
      </w:r>
      <w:r w:rsidRPr="00D26003">
        <w:t xml:space="preserve">he submitting States may </w:t>
      </w:r>
      <w:r w:rsidR="009358F1" w:rsidRPr="00D26003">
        <w:t xml:space="preserve">then </w:t>
      </w:r>
      <w:r w:rsidRPr="00D26003">
        <w:t>resubmit the</w:t>
      </w:r>
      <w:r w:rsidR="009358F1" w:rsidRPr="00D26003">
        <w:t xml:space="preserve"> updated files</w:t>
      </w:r>
      <w:r w:rsidRPr="00D26003">
        <w:t xml:space="preserve"> under a future cycle</w:t>
      </w:r>
      <w:r w:rsidR="00A51CF4" w:rsidRPr="00D26003">
        <w:rPr>
          <w:rFonts w:asciiTheme="minorBidi" w:hAnsiTheme="minorBidi" w:cstheme="minorBidi"/>
        </w:rPr>
        <w:t>.</w:t>
      </w:r>
    </w:p>
    <w:p w14:paraId="19255132" w14:textId="5640B4C4" w:rsidR="005A6868" w:rsidRPr="00D26003" w:rsidRDefault="005A6868" w:rsidP="00C61D37">
      <w:pPr>
        <w:pStyle w:val="1GAPara"/>
        <w:numPr>
          <w:ilvl w:val="0"/>
          <w:numId w:val="0"/>
        </w:numPr>
        <w:spacing w:before="240"/>
        <w:ind w:left="567" w:hanging="567"/>
        <w:rPr>
          <w:b/>
          <w:bCs/>
        </w:rPr>
      </w:pPr>
      <w:r w:rsidRPr="00D26003">
        <w:rPr>
          <w:b/>
          <w:bCs/>
        </w:rPr>
        <w:t>E.</w:t>
      </w:r>
      <w:r w:rsidR="005C6FB9" w:rsidRPr="00D26003">
        <w:rPr>
          <w:b/>
          <w:bCs/>
        </w:rPr>
        <w:tab/>
      </w:r>
      <w:r w:rsidRPr="00D26003">
        <w:rPr>
          <w:b/>
          <w:bCs/>
        </w:rPr>
        <w:t>Conclusion</w:t>
      </w:r>
    </w:p>
    <w:p w14:paraId="1D1FD736" w14:textId="38DDD887" w:rsidR="002F0CE5" w:rsidRDefault="00ED73CC" w:rsidP="00725260">
      <w:pPr>
        <w:pStyle w:val="1GAPara"/>
        <w:keepNext/>
        <w:numPr>
          <w:ilvl w:val="0"/>
          <w:numId w:val="3"/>
        </w:numPr>
        <w:spacing w:before="120" w:after="0"/>
        <w:ind w:left="567" w:hanging="567"/>
        <w:jc w:val="both"/>
      </w:pPr>
      <w:r w:rsidRPr="00D26003">
        <w:t xml:space="preserve">For the ease of comparison and to facilitate the </w:t>
      </w:r>
      <w:r w:rsidR="009358F1" w:rsidRPr="00D26003">
        <w:t xml:space="preserve">working group’s </w:t>
      </w:r>
      <w:r w:rsidRPr="00D26003">
        <w:t>discussion, the following tables summari</w:t>
      </w:r>
      <w:r w:rsidR="009358F1" w:rsidRPr="00D26003">
        <w:t>z</w:t>
      </w:r>
      <w:r w:rsidRPr="00D26003">
        <w:t xml:space="preserve">e the two options for setting the </w:t>
      </w:r>
      <w:r w:rsidR="009358F1" w:rsidRPr="00D26003">
        <w:t>annual</w:t>
      </w:r>
      <w:r w:rsidRPr="00D26003">
        <w:t xml:space="preserve"> ceiling:</w:t>
      </w:r>
    </w:p>
    <w:p w14:paraId="53E5FB13" w14:textId="72A13080" w:rsidR="00CE5596" w:rsidRPr="002F0CE5" w:rsidRDefault="002F0CE5" w:rsidP="002F0CE5">
      <w:pPr>
        <w:spacing w:after="0"/>
        <w:rPr>
          <w:rFonts w:ascii="Arial" w:hAnsi="Arial" w:cs="Arial"/>
          <w:snapToGrid w:val="0"/>
          <w:szCs w:val="22"/>
          <w:lang w:eastAsia="en-US"/>
        </w:rPr>
      </w:pPr>
      <w:r>
        <w:br w:type="page"/>
      </w:r>
    </w:p>
    <w:p w14:paraId="0037A8EA" w14:textId="3E389E5B" w:rsidR="008C3E6E" w:rsidRPr="00D26003" w:rsidRDefault="008C3E6E" w:rsidP="004A0A80">
      <w:pPr>
        <w:pStyle w:val="1GAPara"/>
        <w:widowControl w:val="0"/>
        <w:numPr>
          <w:ilvl w:val="0"/>
          <w:numId w:val="0"/>
        </w:numPr>
        <w:spacing w:before="240"/>
        <w:jc w:val="both"/>
        <w:rPr>
          <w:b/>
          <w:bCs/>
        </w:rPr>
      </w:pPr>
      <w:r w:rsidRPr="00D26003">
        <w:rPr>
          <w:b/>
          <w:bCs/>
        </w:rPr>
        <w:lastRenderedPageBreak/>
        <w:t>Option A</w:t>
      </w:r>
    </w:p>
    <w:tbl>
      <w:tblPr>
        <w:tblStyle w:val="Grilledutableau"/>
        <w:tblW w:w="0" w:type="auto"/>
        <w:tblLook w:val="04A0" w:firstRow="1" w:lastRow="0" w:firstColumn="1" w:lastColumn="0" w:noHBand="0" w:noVBand="1"/>
      </w:tblPr>
      <w:tblGrid>
        <w:gridCol w:w="9628"/>
      </w:tblGrid>
      <w:tr w:rsidR="004964DC" w:rsidRPr="00D26003" w14:paraId="174059E7" w14:textId="77777777" w:rsidTr="00C61D37">
        <w:tc>
          <w:tcPr>
            <w:tcW w:w="9628" w:type="dxa"/>
            <w:shd w:val="clear" w:color="auto" w:fill="B6DDE8" w:themeFill="accent5" w:themeFillTint="66"/>
          </w:tcPr>
          <w:p w14:paraId="3851052D" w14:textId="09F6A5AA" w:rsidR="004964DC" w:rsidRPr="00D26003" w:rsidRDefault="00AE47B7" w:rsidP="004A0A80">
            <w:pPr>
              <w:pStyle w:val="1GAPara"/>
              <w:widowControl w:val="0"/>
              <w:numPr>
                <w:ilvl w:val="0"/>
                <w:numId w:val="0"/>
              </w:numPr>
              <w:spacing w:after="0"/>
              <w:jc w:val="both"/>
              <w:rPr>
                <w:rFonts w:asciiTheme="minorBidi" w:hAnsiTheme="minorBidi" w:cstheme="minorBidi"/>
                <w:b/>
                <w:bCs/>
              </w:rPr>
            </w:pPr>
            <w:r w:rsidRPr="00D26003">
              <w:rPr>
                <w:rFonts w:asciiTheme="minorBidi" w:hAnsiTheme="minorBidi" w:cstheme="minorBidi"/>
                <w:b/>
                <w:bCs/>
              </w:rPr>
              <w:t xml:space="preserve">Continue the current </w:t>
            </w:r>
            <w:r w:rsidRPr="00D26003">
              <w:rPr>
                <w:rFonts w:asciiTheme="minorBidi" w:hAnsiTheme="minorBidi" w:cstheme="minorBidi"/>
                <w:b/>
                <w:bCs/>
                <w:i/>
                <w:iCs/>
              </w:rPr>
              <w:t>de facto</w:t>
            </w:r>
            <w:r w:rsidRPr="00D26003">
              <w:rPr>
                <w:rFonts w:asciiTheme="minorBidi" w:hAnsiTheme="minorBidi" w:cstheme="minorBidi"/>
                <w:b/>
                <w:bCs/>
              </w:rPr>
              <w:t xml:space="preserve"> system</w:t>
            </w:r>
            <w:r w:rsidR="004964DC" w:rsidRPr="00D26003">
              <w:rPr>
                <w:rFonts w:asciiTheme="minorBidi" w:hAnsiTheme="minorBidi" w:cstheme="minorBidi"/>
                <w:b/>
                <w:bCs/>
              </w:rPr>
              <w:t xml:space="preserve"> </w:t>
            </w:r>
            <w:r w:rsidRPr="00D26003">
              <w:rPr>
                <w:rFonts w:asciiTheme="minorBidi" w:hAnsiTheme="minorBidi" w:cstheme="minorBidi"/>
                <w:b/>
                <w:bCs/>
              </w:rPr>
              <w:t xml:space="preserve">(at least fifty-five and no more than sixty files per year) </w:t>
            </w:r>
            <w:r w:rsidR="004964DC" w:rsidRPr="00D26003">
              <w:rPr>
                <w:rFonts w:asciiTheme="minorBidi" w:hAnsiTheme="minorBidi" w:cstheme="minorBidi"/>
                <w:b/>
                <w:bCs/>
              </w:rPr>
              <w:t>with a revised priority system</w:t>
            </w:r>
          </w:p>
        </w:tc>
      </w:tr>
      <w:tr w:rsidR="008C0F27" w:rsidRPr="00D26003" w14:paraId="1D3149A7" w14:textId="77777777" w:rsidTr="00A74EF8">
        <w:tc>
          <w:tcPr>
            <w:tcW w:w="9628" w:type="dxa"/>
            <w:shd w:val="clear" w:color="auto" w:fill="EEECE1" w:themeFill="background2"/>
          </w:tcPr>
          <w:p w14:paraId="3F72497F" w14:textId="563E1431" w:rsidR="008C0F27" w:rsidRPr="00D26003" w:rsidRDefault="00550631" w:rsidP="004A0A80">
            <w:pPr>
              <w:pStyle w:val="1GAPara"/>
              <w:widowControl w:val="0"/>
              <w:numPr>
                <w:ilvl w:val="0"/>
                <w:numId w:val="0"/>
              </w:numPr>
              <w:spacing w:after="0"/>
              <w:jc w:val="both"/>
              <w:rPr>
                <w:rFonts w:asciiTheme="minorBidi" w:hAnsiTheme="minorBidi" w:cstheme="minorBidi"/>
              </w:rPr>
            </w:pPr>
            <w:r w:rsidRPr="00D26003">
              <w:rPr>
                <w:rFonts w:asciiTheme="minorBidi" w:hAnsiTheme="minorBidi" w:cstheme="minorBidi"/>
              </w:rPr>
              <w:t>T</w:t>
            </w:r>
            <w:r w:rsidR="008C0F27" w:rsidRPr="00D26003">
              <w:rPr>
                <w:rFonts w:asciiTheme="minorBidi" w:hAnsiTheme="minorBidi" w:cstheme="minorBidi"/>
              </w:rPr>
              <w:t>he order of priority:</w:t>
            </w:r>
          </w:p>
          <w:p w14:paraId="06E35C38" w14:textId="47108248" w:rsidR="008C0F27" w:rsidRPr="00D26003" w:rsidRDefault="008C0F27" w:rsidP="00C61D37">
            <w:pPr>
              <w:pStyle w:val="1GAPara"/>
              <w:widowControl w:val="0"/>
              <w:numPr>
                <w:ilvl w:val="0"/>
                <w:numId w:val="8"/>
              </w:numPr>
              <w:spacing w:before="120" w:after="0"/>
              <w:ind w:left="1134" w:hanging="567"/>
              <w:jc w:val="both"/>
              <w:rPr>
                <w:rFonts w:asciiTheme="minorBidi" w:hAnsiTheme="minorBidi" w:cstheme="minorBidi"/>
              </w:rPr>
            </w:pPr>
            <w:r w:rsidRPr="00D26003">
              <w:rPr>
                <w:rFonts w:asciiTheme="minorBidi" w:hAnsiTheme="minorBidi" w:cstheme="minorBidi"/>
              </w:rPr>
              <w:t xml:space="preserve">Choose one of the </w:t>
            </w:r>
            <w:r w:rsidR="00CC5B95" w:rsidRPr="00D26003">
              <w:rPr>
                <w:rFonts w:asciiTheme="minorBidi" w:hAnsiTheme="minorBidi" w:cstheme="minorBidi"/>
              </w:rPr>
              <w:t>two</w:t>
            </w:r>
            <w:r w:rsidR="009C1313" w:rsidRPr="00D26003">
              <w:rPr>
                <w:rFonts w:asciiTheme="minorBidi" w:hAnsiTheme="minorBidi" w:cstheme="minorBidi"/>
              </w:rPr>
              <w:t xml:space="preserve"> </w:t>
            </w:r>
            <w:r w:rsidRPr="00D26003">
              <w:rPr>
                <w:rFonts w:asciiTheme="minorBidi" w:hAnsiTheme="minorBidi" w:cstheme="minorBidi"/>
              </w:rPr>
              <w:t xml:space="preserve">options under paragraph </w:t>
            </w:r>
            <w:r w:rsidR="00022D89" w:rsidRPr="00D26003">
              <w:rPr>
                <w:rFonts w:asciiTheme="minorBidi" w:hAnsiTheme="minorBidi" w:cstheme="minorBidi"/>
              </w:rPr>
              <w:t>16</w:t>
            </w:r>
            <w:r w:rsidRPr="00D26003">
              <w:rPr>
                <w:rFonts w:asciiTheme="minorBidi" w:hAnsiTheme="minorBidi" w:cstheme="minorBidi"/>
              </w:rPr>
              <w:t>, while</w:t>
            </w:r>
            <w:r w:rsidR="00901EEB" w:rsidRPr="00D26003">
              <w:rPr>
                <w:rFonts w:asciiTheme="minorBidi" w:hAnsiTheme="minorBidi" w:cstheme="minorBidi"/>
              </w:rPr>
              <w:t xml:space="preserve"> also</w:t>
            </w:r>
            <w:r w:rsidRPr="00D26003">
              <w:rPr>
                <w:rFonts w:asciiTheme="minorBidi" w:hAnsiTheme="minorBidi" w:cstheme="minorBidi"/>
              </w:rPr>
              <w:t xml:space="preserve"> </w:t>
            </w:r>
            <w:r w:rsidR="00901EEB" w:rsidRPr="00D26003">
              <w:rPr>
                <w:rFonts w:asciiTheme="minorBidi" w:hAnsiTheme="minorBidi" w:cstheme="minorBidi"/>
              </w:rPr>
              <w:t xml:space="preserve">moving all International Assistance requests for examination by the Bureau </w:t>
            </w:r>
            <w:r w:rsidR="00EC57AF" w:rsidRPr="00D26003">
              <w:rPr>
                <w:rFonts w:asciiTheme="minorBidi" w:hAnsiTheme="minorBidi" w:cstheme="minorBidi"/>
              </w:rPr>
              <w:t>(Topic 3); the suggestion made</w:t>
            </w:r>
            <w:r w:rsidR="008C60E2" w:rsidRPr="00D26003">
              <w:rPr>
                <w:rFonts w:asciiTheme="minorBidi" w:hAnsiTheme="minorBidi" w:cstheme="minorBidi"/>
              </w:rPr>
              <w:t xml:space="preserve"> in the sense of Topic 2 is not to be pursued.</w:t>
            </w:r>
          </w:p>
          <w:p w14:paraId="73018AA8" w14:textId="2DE6479C" w:rsidR="008C0F27" w:rsidRPr="00D26003" w:rsidRDefault="004B6535" w:rsidP="00C61D37">
            <w:pPr>
              <w:pStyle w:val="1GAPara"/>
              <w:widowControl w:val="0"/>
              <w:numPr>
                <w:ilvl w:val="0"/>
                <w:numId w:val="8"/>
              </w:numPr>
              <w:spacing w:before="120" w:after="0"/>
              <w:ind w:left="1134" w:hanging="567"/>
              <w:jc w:val="both"/>
              <w:rPr>
                <w:rFonts w:asciiTheme="minorBidi" w:hAnsiTheme="minorBidi" w:cstheme="minorBidi"/>
              </w:rPr>
            </w:pPr>
            <w:r w:rsidRPr="00D26003">
              <w:rPr>
                <w:rFonts w:asciiTheme="minorBidi" w:hAnsiTheme="minorBidi" w:cstheme="minorBidi"/>
              </w:rPr>
              <w:t>Consider the new procedures (regarding transfer, removal and inscription on an extended or reduced basis) within the annual ceiling, on an experimental basis (Topic 4 and Topic 5).</w:t>
            </w:r>
          </w:p>
        </w:tc>
      </w:tr>
      <w:tr w:rsidR="004964DC" w:rsidRPr="00D26003" w14:paraId="2FC331DE" w14:textId="77777777" w:rsidTr="00946FB7">
        <w:tc>
          <w:tcPr>
            <w:tcW w:w="9628" w:type="dxa"/>
            <w:shd w:val="clear" w:color="auto" w:fill="F2F2F2" w:themeFill="background1" w:themeFillShade="F2"/>
          </w:tcPr>
          <w:p w14:paraId="1AC5C27F" w14:textId="7FC687A0" w:rsidR="004964DC" w:rsidRPr="00D26003" w:rsidRDefault="00E96448"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 The budget requirement</w:t>
            </w:r>
            <w:r w:rsidR="006C1B63" w:rsidRPr="00D26003">
              <w:rPr>
                <w:rFonts w:asciiTheme="minorBidi" w:hAnsiTheme="minorBidi" w:cstheme="minorBidi"/>
              </w:rPr>
              <w:t>s</w:t>
            </w:r>
            <w:r w:rsidRPr="00D26003">
              <w:rPr>
                <w:rFonts w:asciiTheme="minorBidi" w:hAnsiTheme="minorBidi" w:cstheme="minorBidi"/>
              </w:rPr>
              <w:t xml:space="preserve"> estimated to remain stable, allowing for a reasonable distribution of the already limited resources to develop different aspects of the Convention beyond the listing system</w:t>
            </w:r>
            <w:r w:rsidR="00C345A0" w:rsidRPr="00D26003">
              <w:rPr>
                <w:rFonts w:asciiTheme="minorBidi" w:hAnsiTheme="minorBidi" w:cstheme="minorBidi"/>
              </w:rPr>
              <w:t xml:space="preserve"> (i.e. capacity-building efforts, response to emergency situations, contribution to sustainable development, thematic initiatives as well as other operational activities)</w:t>
            </w:r>
            <w:r w:rsidRPr="00D26003">
              <w:rPr>
                <w:rFonts w:asciiTheme="minorBidi" w:hAnsiTheme="minorBidi" w:cstheme="minorBidi"/>
              </w:rPr>
              <w:t>.</w:t>
            </w:r>
          </w:p>
        </w:tc>
      </w:tr>
      <w:tr w:rsidR="005F6F27" w:rsidRPr="00D26003" w14:paraId="40008CE7" w14:textId="77777777" w:rsidTr="00946FB7">
        <w:tc>
          <w:tcPr>
            <w:tcW w:w="9628" w:type="dxa"/>
            <w:shd w:val="clear" w:color="auto" w:fill="F2F2F2" w:themeFill="background1" w:themeFillShade="F2"/>
          </w:tcPr>
          <w:p w14:paraId="32213BD1" w14:textId="65D7219D" w:rsidR="005F6F27" w:rsidRPr="00D26003" w:rsidDel="00E96448" w:rsidRDefault="005F6F27"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 Additional resources are required (US$18,000 to US$20,000 per request under the new procedures for transfer, removal, extension and reduction).</w:t>
            </w:r>
          </w:p>
        </w:tc>
      </w:tr>
      <w:tr w:rsidR="004964DC" w:rsidRPr="00D26003" w14:paraId="7C10DF9B" w14:textId="77777777" w:rsidTr="00946FB7">
        <w:tc>
          <w:tcPr>
            <w:tcW w:w="9628" w:type="dxa"/>
            <w:shd w:val="clear" w:color="auto" w:fill="F2F2F2" w:themeFill="background1" w:themeFillShade="F2"/>
          </w:tcPr>
          <w:p w14:paraId="6E5CE02C" w14:textId="3FA3EB6B" w:rsidR="00DE1C28" w:rsidRPr="00D26003" w:rsidRDefault="00A1341C" w:rsidP="00DA49D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 xml:space="preserve">→ </w:t>
            </w:r>
            <w:r w:rsidR="004964DC" w:rsidRPr="00D26003">
              <w:rPr>
                <w:rFonts w:asciiTheme="minorBidi" w:hAnsiTheme="minorBidi" w:cstheme="minorBidi"/>
              </w:rPr>
              <w:t>The Evaluation Body composition remains unchanged</w:t>
            </w:r>
            <w:r w:rsidR="00901EEB" w:rsidRPr="00D26003">
              <w:rPr>
                <w:rFonts w:asciiTheme="minorBidi" w:hAnsiTheme="minorBidi" w:cstheme="minorBidi"/>
              </w:rPr>
              <w:t>, keeping</w:t>
            </w:r>
            <w:r w:rsidR="004964DC" w:rsidRPr="00D26003">
              <w:rPr>
                <w:rFonts w:asciiTheme="minorBidi" w:hAnsiTheme="minorBidi" w:cstheme="minorBidi"/>
              </w:rPr>
              <w:t xml:space="preserve"> the </w:t>
            </w:r>
            <w:r w:rsidR="003B3F48" w:rsidRPr="00D26003">
              <w:rPr>
                <w:rFonts w:asciiTheme="minorBidi" w:hAnsiTheme="minorBidi" w:cstheme="minorBidi"/>
              </w:rPr>
              <w:t xml:space="preserve">global and </w:t>
            </w:r>
            <w:r w:rsidR="004964DC" w:rsidRPr="00D26003">
              <w:rPr>
                <w:rFonts w:asciiTheme="minorBidi" w:hAnsiTheme="minorBidi" w:cstheme="minorBidi"/>
              </w:rPr>
              <w:t>consensus-based methodology</w:t>
            </w:r>
            <w:r w:rsidR="009234A2" w:rsidRPr="00D26003">
              <w:rPr>
                <w:rFonts w:asciiTheme="minorBidi" w:hAnsiTheme="minorBidi" w:cstheme="minorBidi"/>
              </w:rPr>
              <w:t xml:space="preserve"> </w:t>
            </w:r>
            <w:r w:rsidR="00FE5338" w:rsidRPr="00D26003">
              <w:rPr>
                <w:rFonts w:asciiTheme="minorBidi" w:hAnsiTheme="minorBidi" w:cstheme="minorBidi"/>
              </w:rPr>
              <w:t xml:space="preserve">applied </w:t>
            </w:r>
            <w:r w:rsidR="00FE5338" w:rsidRPr="00D26003">
              <w:t xml:space="preserve">to each criterion </w:t>
            </w:r>
            <w:r w:rsidR="00AA6E27" w:rsidRPr="00D26003">
              <w:t>of</w:t>
            </w:r>
            <w:r w:rsidR="00FE5338" w:rsidRPr="00D26003">
              <w:t xml:space="preserve"> every </w:t>
            </w:r>
            <w:r w:rsidR="00AA6E27" w:rsidRPr="00D26003">
              <w:t xml:space="preserve">nomination </w:t>
            </w:r>
            <w:r w:rsidR="00FE5338" w:rsidRPr="00D26003">
              <w:t>file</w:t>
            </w:r>
            <w:r w:rsidR="00772CE1" w:rsidRPr="00D26003">
              <w:rPr>
                <w:rFonts w:asciiTheme="minorBidi" w:hAnsiTheme="minorBidi" w:cstheme="minorBidi"/>
              </w:rPr>
              <w:t>.</w:t>
            </w:r>
          </w:p>
        </w:tc>
      </w:tr>
      <w:tr w:rsidR="004964DC" w:rsidRPr="00D26003" w14:paraId="56DC67B3" w14:textId="77777777" w:rsidTr="00946FB7">
        <w:tc>
          <w:tcPr>
            <w:tcW w:w="9628" w:type="dxa"/>
            <w:shd w:val="clear" w:color="auto" w:fill="F2F2F2" w:themeFill="background1" w:themeFillShade="F2"/>
          </w:tcPr>
          <w:p w14:paraId="4F8906F3" w14:textId="0C9956D4" w:rsidR="004964DC" w:rsidRPr="00D26003" w:rsidRDefault="00132A37"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 xml:space="preserve">→ </w:t>
            </w:r>
            <w:r w:rsidR="00772CE1" w:rsidRPr="00D26003">
              <w:rPr>
                <w:rFonts w:asciiTheme="minorBidi" w:hAnsiTheme="minorBidi" w:cstheme="minorBidi"/>
              </w:rPr>
              <w:t>B</w:t>
            </w:r>
            <w:r w:rsidR="00C716F3" w:rsidRPr="00D26003">
              <w:rPr>
                <w:rFonts w:asciiTheme="minorBidi" w:hAnsiTheme="minorBidi" w:cstheme="minorBidi"/>
              </w:rPr>
              <w:t xml:space="preserve">acklog </w:t>
            </w:r>
            <w:r w:rsidR="003604BE" w:rsidRPr="00D26003">
              <w:rPr>
                <w:rFonts w:asciiTheme="minorBidi" w:hAnsiTheme="minorBidi" w:cstheme="minorBidi"/>
              </w:rPr>
              <w:t>files older than four years w</w:t>
            </w:r>
            <w:r w:rsidR="00C716F3" w:rsidRPr="00D26003">
              <w:rPr>
                <w:rFonts w:asciiTheme="minorBidi" w:hAnsiTheme="minorBidi" w:cstheme="minorBidi"/>
              </w:rPr>
              <w:t xml:space="preserve">ill be </w:t>
            </w:r>
            <w:r w:rsidR="003604BE" w:rsidRPr="00D26003">
              <w:rPr>
                <w:rFonts w:asciiTheme="minorBidi" w:hAnsiTheme="minorBidi" w:cstheme="minorBidi"/>
              </w:rPr>
              <w:t>automatically returned to the submitting States</w:t>
            </w:r>
            <w:r w:rsidR="00772CE1" w:rsidRPr="00D26003">
              <w:rPr>
                <w:rFonts w:asciiTheme="minorBidi" w:hAnsiTheme="minorBidi" w:cstheme="minorBidi"/>
              </w:rPr>
              <w:t>.</w:t>
            </w:r>
          </w:p>
        </w:tc>
      </w:tr>
    </w:tbl>
    <w:p w14:paraId="26933434" w14:textId="534ED67E" w:rsidR="00EB6263" w:rsidRPr="00D26003" w:rsidRDefault="008C3E6E" w:rsidP="00946FB7">
      <w:pPr>
        <w:pStyle w:val="1GAPara"/>
        <w:keepNext/>
        <w:numPr>
          <w:ilvl w:val="0"/>
          <w:numId w:val="0"/>
        </w:numPr>
        <w:spacing w:before="360"/>
        <w:jc w:val="both"/>
        <w:rPr>
          <w:b/>
          <w:bCs/>
        </w:rPr>
      </w:pPr>
      <w:r w:rsidRPr="00D26003">
        <w:rPr>
          <w:b/>
          <w:bCs/>
        </w:rPr>
        <w:t>Option B</w:t>
      </w:r>
    </w:p>
    <w:tbl>
      <w:tblPr>
        <w:tblStyle w:val="Grilledutableau"/>
        <w:tblW w:w="0" w:type="auto"/>
        <w:tblLook w:val="04A0" w:firstRow="1" w:lastRow="0" w:firstColumn="1" w:lastColumn="0" w:noHBand="0" w:noVBand="1"/>
      </w:tblPr>
      <w:tblGrid>
        <w:gridCol w:w="9628"/>
      </w:tblGrid>
      <w:tr w:rsidR="00EB6263" w:rsidRPr="00D26003" w14:paraId="1BD7EA5F" w14:textId="77777777" w:rsidTr="00C61D37">
        <w:tc>
          <w:tcPr>
            <w:tcW w:w="9628" w:type="dxa"/>
            <w:shd w:val="clear" w:color="auto" w:fill="B6DDE8" w:themeFill="accent5" w:themeFillTint="66"/>
          </w:tcPr>
          <w:p w14:paraId="475ED32B" w14:textId="5F3DFD40" w:rsidR="00EB6263" w:rsidRPr="00D26003" w:rsidRDefault="00D46C86" w:rsidP="008A6CCE">
            <w:pPr>
              <w:pStyle w:val="1GAPara"/>
              <w:keepNext/>
              <w:numPr>
                <w:ilvl w:val="0"/>
                <w:numId w:val="0"/>
              </w:numPr>
              <w:spacing w:after="0"/>
              <w:jc w:val="both"/>
              <w:rPr>
                <w:rFonts w:asciiTheme="minorBidi" w:hAnsiTheme="minorBidi" w:cstheme="minorBidi"/>
                <w:b/>
                <w:bCs/>
              </w:rPr>
            </w:pPr>
            <w:r w:rsidRPr="00D26003">
              <w:rPr>
                <w:rFonts w:asciiTheme="minorBidi" w:hAnsiTheme="minorBidi" w:cstheme="minorBidi"/>
                <w:b/>
                <w:bCs/>
              </w:rPr>
              <w:t xml:space="preserve">The </w:t>
            </w:r>
            <w:r w:rsidR="007F7F90" w:rsidRPr="00D26003">
              <w:rPr>
                <w:rFonts w:asciiTheme="minorBidi" w:hAnsiTheme="minorBidi" w:cstheme="minorBidi"/>
                <w:b/>
                <w:bCs/>
              </w:rPr>
              <w:t>a</w:t>
            </w:r>
            <w:r w:rsidR="00EB6263" w:rsidRPr="00D26003">
              <w:rPr>
                <w:rFonts w:asciiTheme="minorBidi" w:hAnsiTheme="minorBidi" w:cstheme="minorBidi"/>
                <w:b/>
                <w:bCs/>
              </w:rPr>
              <w:t xml:space="preserve">nnual ceiling is to be set at </w:t>
            </w:r>
            <w:r w:rsidR="00772CE1" w:rsidRPr="00D26003">
              <w:rPr>
                <w:rFonts w:asciiTheme="minorBidi" w:hAnsiTheme="minorBidi" w:cstheme="minorBidi"/>
                <w:b/>
                <w:bCs/>
              </w:rPr>
              <w:t xml:space="preserve">a </w:t>
            </w:r>
            <w:r w:rsidR="005D019C" w:rsidRPr="00D26003">
              <w:rPr>
                <w:rFonts w:asciiTheme="minorBidi" w:hAnsiTheme="minorBidi" w:cstheme="minorBidi"/>
                <w:b/>
                <w:bCs/>
              </w:rPr>
              <w:t xml:space="preserve">number higher than </w:t>
            </w:r>
            <w:r w:rsidR="00EB6263" w:rsidRPr="00D26003">
              <w:rPr>
                <w:rFonts w:asciiTheme="minorBidi" w:hAnsiTheme="minorBidi" w:cstheme="minorBidi"/>
                <w:b/>
                <w:bCs/>
              </w:rPr>
              <w:t>sixty files</w:t>
            </w:r>
          </w:p>
        </w:tc>
      </w:tr>
      <w:tr w:rsidR="00EB6263" w:rsidRPr="00D26003" w14:paraId="7165DA59" w14:textId="77777777" w:rsidTr="00842C4E">
        <w:tc>
          <w:tcPr>
            <w:tcW w:w="9628" w:type="dxa"/>
            <w:shd w:val="clear" w:color="auto" w:fill="EEECE1" w:themeFill="background2"/>
          </w:tcPr>
          <w:p w14:paraId="4546F882" w14:textId="58839FBA" w:rsidR="00EB6263" w:rsidRPr="00D26003" w:rsidRDefault="004B6535" w:rsidP="004A0A80">
            <w:pPr>
              <w:pStyle w:val="1GAPara"/>
              <w:widowControl w:val="0"/>
              <w:numPr>
                <w:ilvl w:val="0"/>
                <w:numId w:val="0"/>
              </w:numPr>
              <w:spacing w:after="0"/>
              <w:jc w:val="both"/>
              <w:rPr>
                <w:rFonts w:asciiTheme="minorBidi" w:hAnsiTheme="minorBidi" w:cstheme="minorBidi"/>
              </w:rPr>
            </w:pPr>
            <w:r w:rsidRPr="00D26003">
              <w:rPr>
                <w:rFonts w:asciiTheme="minorBidi" w:hAnsiTheme="minorBidi" w:cstheme="minorBidi"/>
              </w:rPr>
              <w:t>T</w:t>
            </w:r>
            <w:r w:rsidR="00EB6263" w:rsidRPr="00D26003">
              <w:rPr>
                <w:rFonts w:asciiTheme="minorBidi" w:hAnsiTheme="minorBidi" w:cstheme="minorBidi"/>
              </w:rPr>
              <w:t>he order of priority:</w:t>
            </w:r>
          </w:p>
          <w:p w14:paraId="1FD6606B" w14:textId="6CA0EBB0" w:rsidR="006B349F" w:rsidRPr="00D26003" w:rsidRDefault="006B349F" w:rsidP="00C61D37">
            <w:pPr>
              <w:pStyle w:val="1GAPara"/>
              <w:widowControl w:val="0"/>
              <w:numPr>
                <w:ilvl w:val="0"/>
                <w:numId w:val="8"/>
              </w:numPr>
              <w:spacing w:before="120" w:after="0"/>
              <w:ind w:left="1134" w:hanging="567"/>
              <w:jc w:val="both"/>
              <w:rPr>
                <w:rFonts w:asciiTheme="minorBidi" w:hAnsiTheme="minorBidi" w:cstheme="minorBidi"/>
              </w:rPr>
            </w:pPr>
            <w:r w:rsidRPr="00D26003">
              <w:rPr>
                <w:rFonts w:asciiTheme="minorBidi" w:hAnsiTheme="minorBidi" w:cstheme="minorBidi"/>
              </w:rPr>
              <w:t xml:space="preserve">Choose one of the </w:t>
            </w:r>
            <w:r w:rsidR="00CC5B95" w:rsidRPr="00D26003">
              <w:rPr>
                <w:rFonts w:asciiTheme="minorBidi" w:hAnsiTheme="minorBidi" w:cstheme="minorBidi"/>
              </w:rPr>
              <w:t xml:space="preserve">two </w:t>
            </w:r>
            <w:r w:rsidRPr="00D26003">
              <w:rPr>
                <w:rFonts w:asciiTheme="minorBidi" w:hAnsiTheme="minorBidi" w:cstheme="minorBidi"/>
              </w:rPr>
              <w:t xml:space="preserve">options under paragraph </w:t>
            </w:r>
            <w:r w:rsidR="004B6535" w:rsidRPr="00D26003">
              <w:rPr>
                <w:rFonts w:asciiTheme="minorBidi" w:hAnsiTheme="minorBidi" w:cstheme="minorBidi"/>
              </w:rPr>
              <w:t>16 or envisage the adjustment proposed under Topic 2</w:t>
            </w:r>
            <w:r w:rsidRPr="00D26003">
              <w:rPr>
                <w:rFonts w:asciiTheme="minorBidi" w:hAnsiTheme="minorBidi" w:cstheme="minorBidi"/>
              </w:rPr>
              <w:t xml:space="preserve">, </w:t>
            </w:r>
            <w:r w:rsidR="00913EEF" w:rsidRPr="00D26003">
              <w:rPr>
                <w:rFonts w:asciiTheme="minorBidi" w:hAnsiTheme="minorBidi" w:cstheme="minorBidi"/>
              </w:rPr>
              <w:t>while m</w:t>
            </w:r>
            <w:r w:rsidRPr="00D26003">
              <w:rPr>
                <w:rFonts w:asciiTheme="minorBidi" w:hAnsiTheme="minorBidi" w:cstheme="minorBidi"/>
              </w:rPr>
              <w:t>oving all International Assistance requests for examination by the Bureau (Topic 3).</w:t>
            </w:r>
          </w:p>
          <w:p w14:paraId="0C13DF30" w14:textId="16522BF1" w:rsidR="00EB6263" w:rsidRPr="00D26003" w:rsidRDefault="006B349F" w:rsidP="00C61D37">
            <w:pPr>
              <w:pStyle w:val="1GAPara"/>
              <w:widowControl w:val="0"/>
              <w:numPr>
                <w:ilvl w:val="0"/>
                <w:numId w:val="8"/>
              </w:numPr>
              <w:spacing w:before="120" w:after="0"/>
              <w:ind w:left="1134" w:hanging="567"/>
              <w:jc w:val="both"/>
              <w:rPr>
                <w:rFonts w:asciiTheme="minorBidi" w:hAnsiTheme="minorBidi" w:cstheme="minorBidi"/>
              </w:rPr>
            </w:pPr>
            <w:r w:rsidRPr="00D26003">
              <w:rPr>
                <w:rFonts w:asciiTheme="minorBidi" w:hAnsiTheme="minorBidi" w:cstheme="minorBidi"/>
              </w:rPr>
              <w:t xml:space="preserve">Consider the new procedures (regarding transfer, removal and inscription on an extended or reduced basis) </w:t>
            </w:r>
            <w:r w:rsidR="00772CE1" w:rsidRPr="00D26003">
              <w:rPr>
                <w:rFonts w:asciiTheme="minorBidi" w:hAnsiTheme="minorBidi" w:cstheme="minorBidi"/>
              </w:rPr>
              <w:t xml:space="preserve">within </w:t>
            </w:r>
            <w:r w:rsidRPr="00D26003">
              <w:rPr>
                <w:rFonts w:asciiTheme="minorBidi" w:hAnsiTheme="minorBidi" w:cstheme="minorBidi"/>
              </w:rPr>
              <w:t>the annual ceiling</w:t>
            </w:r>
            <w:r w:rsidR="00774782" w:rsidRPr="00D26003">
              <w:rPr>
                <w:rFonts w:asciiTheme="minorBidi" w:hAnsiTheme="minorBidi" w:cstheme="minorBidi"/>
              </w:rPr>
              <w:t>,</w:t>
            </w:r>
            <w:r w:rsidRPr="00D26003">
              <w:rPr>
                <w:rFonts w:asciiTheme="minorBidi" w:hAnsiTheme="minorBidi" w:cstheme="minorBidi"/>
              </w:rPr>
              <w:t xml:space="preserve"> on an experimental basis (Topic 4 and Topic 5).</w:t>
            </w:r>
          </w:p>
        </w:tc>
      </w:tr>
      <w:tr w:rsidR="00EB6263" w:rsidRPr="00D26003" w14:paraId="3CDC8777" w14:textId="77777777" w:rsidTr="00946FB7">
        <w:tc>
          <w:tcPr>
            <w:tcW w:w="9628" w:type="dxa"/>
            <w:shd w:val="clear" w:color="auto" w:fill="F2F2F2" w:themeFill="background1" w:themeFillShade="F2"/>
          </w:tcPr>
          <w:p w14:paraId="6B768516" w14:textId="4B17DE53" w:rsidR="00EB6263" w:rsidRPr="00D26003" w:rsidRDefault="00EB6263"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 xml:space="preserve">→ </w:t>
            </w:r>
            <w:r w:rsidR="00B0442F" w:rsidRPr="00D26003">
              <w:rPr>
                <w:rFonts w:asciiTheme="minorBidi" w:hAnsiTheme="minorBidi" w:cstheme="minorBidi"/>
              </w:rPr>
              <w:t>Significant</w:t>
            </w:r>
            <w:r w:rsidRPr="00D26003">
              <w:rPr>
                <w:rFonts w:asciiTheme="minorBidi" w:hAnsiTheme="minorBidi" w:cstheme="minorBidi"/>
              </w:rPr>
              <w:t xml:space="preserve"> increase of resources required</w:t>
            </w:r>
            <w:r w:rsidR="00AD537C" w:rsidRPr="00D26003">
              <w:rPr>
                <w:rFonts w:asciiTheme="minorBidi" w:hAnsiTheme="minorBidi" w:cstheme="minorBidi"/>
              </w:rPr>
              <w:t xml:space="preserve"> depending on the level of increase (</w:t>
            </w:r>
            <w:r w:rsidR="00AD537C" w:rsidRPr="00D26003">
              <w:t xml:space="preserve">from approximately 1 to 1.2 million </w:t>
            </w:r>
            <w:r w:rsidR="00E34215" w:rsidRPr="00D26003">
              <w:t xml:space="preserve">US dollars </w:t>
            </w:r>
            <w:r w:rsidR="00AD537C" w:rsidRPr="00D26003">
              <w:t xml:space="preserve">for sixty files, to approximately 1.25 to 1.56 million </w:t>
            </w:r>
            <w:r w:rsidR="00E34215" w:rsidRPr="00D26003">
              <w:t xml:space="preserve">US dollars </w:t>
            </w:r>
            <w:r w:rsidR="00AD537C" w:rsidRPr="00D26003">
              <w:t xml:space="preserve">for seventy-five files, and to approximately 1.5 to 1.8 million </w:t>
            </w:r>
            <w:r w:rsidR="00E34215" w:rsidRPr="00D26003">
              <w:t>US dollars</w:t>
            </w:r>
            <w:r w:rsidR="00AD537C" w:rsidRPr="00D26003">
              <w:t xml:space="preserve"> for ninety files</w:t>
            </w:r>
            <w:r w:rsidR="00AD537C" w:rsidRPr="00D26003">
              <w:rPr>
                <w:rFonts w:asciiTheme="minorBidi" w:hAnsiTheme="minorBidi" w:cstheme="minorBidi"/>
              </w:rPr>
              <w:t>)</w:t>
            </w:r>
            <w:r w:rsidR="00772CE1" w:rsidRPr="00D26003">
              <w:rPr>
                <w:rFonts w:asciiTheme="minorBidi" w:hAnsiTheme="minorBidi" w:cstheme="minorBidi"/>
              </w:rPr>
              <w:t>.</w:t>
            </w:r>
            <w:r w:rsidRPr="00D26003">
              <w:rPr>
                <w:rFonts w:asciiTheme="minorBidi" w:hAnsiTheme="minorBidi" w:cstheme="minorBidi"/>
              </w:rPr>
              <w:t xml:space="preserve"> </w:t>
            </w:r>
          </w:p>
        </w:tc>
      </w:tr>
      <w:tr w:rsidR="0009139E" w:rsidRPr="00D26003" w14:paraId="2ED0BB9D" w14:textId="77777777" w:rsidTr="00946FB7">
        <w:tc>
          <w:tcPr>
            <w:tcW w:w="9628" w:type="dxa"/>
            <w:shd w:val="clear" w:color="auto" w:fill="F2F2F2" w:themeFill="background1" w:themeFillShade="F2"/>
          </w:tcPr>
          <w:p w14:paraId="667B9A06" w14:textId="37805A41" w:rsidR="0009139E" w:rsidRPr="00D26003" w:rsidRDefault="0009139E"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 Additional resources are required (US$18,000 to US$20,000 per request under the new procedures for transfer, removal, extension and reduction).</w:t>
            </w:r>
          </w:p>
        </w:tc>
      </w:tr>
      <w:tr w:rsidR="00EB6263" w:rsidRPr="00D26003" w14:paraId="55A6CEB6" w14:textId="77777777" w:rsidTr="00946FB7">
        <w:tc>
          <w:tcPr>
            <w:tcW w:w="9628" w:type="dxa"/>
            <w:shd w:val="clear" w:color="auto" w:fill="F2F2F2" w:themeFill="background1" w:themeFillShade="F2"/>
          </w:tcPr>
          <w:p w14:paraId="7345BE6A" w14:textId="52134628" w:rsidR="00EB6263" w:rsidRPr="00D26003" w:rsidRDefault="007F7F90"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w:t>
            </w:r>
            <w:r w:rsidR="00EB6263" w:rsidRPr="00D26003">
              <w:rPr>
                <w:rFonts w:asciiTheme="minorBidi" w:hAnsiTheme="minorBidi" w:cstheme="minorBidi"/>
              </w:rPr>
              <w:t xml:space="preserve"> </w:t>
            </w:r>
            <w:r w:rsidR="00267AED" w:rsidRPr="00D26003">
              <w:rPr>
                <w:rFonts w:asciiTheme="minorBidi" w:hAnsiTheme="minorBidi" w:cstheme="minorBidi"/>
              </w:rPr>
              <w:t xml:space="preserve">The </w:t>
            </w:r>
            <w:r w:rsidR="00830C67" w:rsidRPr="00D26003">
              <w:t xml:space="preserve">current working methodology of the </w:t>
            </w:r>
            <w:r w:rsidR="00267AED" w:rsidRPr="00D26003">
              <w:rPr>
                <w:rFonts w:asciiTheme="minorBidi" w:hAnsiTheme="minorBidi" w:cstheme="minorBidi"/>
              </w:rPr>
              <w:t>Evaluation Body would be dis</w:t>
            </w:r>
            <w:r w:rsidR="00AA6E27" w:rsidRPr="00D26003">
              <w:rPr>
                <w:rFonts w:asciiTheme="minorBidi" w:hAnsiTheme="minorBidi" w:cstheme="minorBidi"/>
              </w:rPr>
              <w:t>continued</w:t>
            </w:r>
            <w:r w:rsidR="00D55570" w:rsidRPr="00D26003">
              <w:rPr>
                <w:rFonts w:asciiTheme="minorBidi" w:hAnsiTheme="minorBidi" w:cstheme="minorBidi"/>
              </w:rPr>
              <w:t>,</w:t>
            </w:r>
            <w:r w:rsidR="00267AED" w:rsidRPr="00D26003">
              <w:rPr>
                <w:rFonts w:asciiTheme="minorBidi" w:hAnsiTheme="minorBidi" w:cstheme="minorBidi"/>
              </w:rPr>
              <w:t xml:space="preserve"> and t</w:t>
            </w:r>
            <w:r w:rsidR="005D019C" w:rsidRPr="00D26003">
              <w:rPr>
                <w:rFonts w:asciiTheme="minorBidi" w:hAnsiTheme="minorBidi" w:cstheme="minorBidi"/>
              </w:rPr>
              <w:t>he evaluation of nominations</w:t>
            </w:r>
            <w:r w:rsidR="000B76F9" w:rsidRPr="00D26003">
              <w:rPr>
                <w:rFonts w:asciiTheme="minorBidi" w:hAnsiTheme="minorBidi" w:cstheme="minorBidi"/>
              </w:rPr>
              <w:t xml:space="preserve"> would need to </w:t>
            </w:r>
            <w:r w:rsidR="005D019C" w:rsidRPr="00D26003">
              <w:rPr>
                <w:rFonts w:asciiTheme="minorBidi" w:hAnsiTheme="minorBidi" w:cstheme="minorBidi"/>
              </w:rPr>
              <w:t>be outsourced</w:t>
            </w:r>
            <w:r w:rsidR="000B631B" w:rsidRPr="00D26003">
              <w:rPr>
                <w:rFonts w:asciiTheme="minorBidi" w:hAnsiTheme="minorBidi" w:cstheme="minorBidi"/>
              </w:rPr>
              <w:t xml:space="preserve"> to an external body</w:t>
            </w:r>
            <w:r w:rsidR="005D019C" w:rsidRPr="00D26003">
              <w:rPr>
                <w:rFonts w:asciiTheme="minorBidi" w:hAnsiTheme="minorBidi" w:cstheme="minorBidi"/>
              </w:rPr>
              <w:t xml:space="preserve"> </w:t>
            </w:r>
            <w:r w:rsidR="00B0442F" w:rsidRPr="00D26003">
              <w:rPr>
                <w:rFonts w:asciiTheme="minorBidi" w:hAnsiTheme="minorBidi" w:cstheme="minorBidi"/>
              </w:rPr>
              <w:t>whose operation</w:t>
            </w:r>
            <w:r w:rsidR="005D019C" w:rsidRPr="00D26003">
              <w:rPr>
                <w:rFonts w:asciiTheme="minorBidi" w:hAnsiTheme="minorBidi" w:cstheme="minorBidi"/>
              </w:rPr>
              <w:t xml:space="preserve"> would need to be supported financially</w:t>
            </w:r>
            <w:r w:rsidR="00772CE1" w:rsidRPr="00D26003">
              <w:rPr>
                <w:rFonts w:asciiTheme="minorBidi" w:hAnsiTheme="minorBidi" w:cstheme="minorBidi"/>
              </w:rPr>
              <w:t>.</w:t>
            </w:r>
          </w:p>
        </w:tc>
      </w:tr>
      <w:tr w:rsidR="007F7F90" w:rsidRPr="00D26003" w14:paraId="3A18D23A" w14:textId="77777777" w:rsidTr="00946FB7">
        <w:tc>
          <w:tcPr>
            <w:tcW w:w="9628" w:type="dxa"/>
            <w:shd w:val="clear" w:color="auto" w:fill="F2F2F2" w:themeFill="background1" w:themeFillShade="F2"/>
          </w:tcPr>
          <w:p w14:paraId="15E2D52D" w14:textId="21A5A9C4" w:rsidR="0060646A" w:rsidRPr="00D26003" w:rsidRDefault="007F7F90"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w:t>
            </w:r>
            <w:r w:rsidR="00CD2CC5" w:rsidRPr="00D26003">
              <w:rPr>
                <w:rFonts w:asciiTheme="minorBidi" w:hAnsiTheme="minorBidi" w:cstheme="minorBidi"/>
              </w:rPr>
              <w:t xml:space="preserve"> </w:t>
            </w:r>
            <w:r w:rsidR="00201129" w:rsidRPr="00D26003">
              <w:rPr>
                <w:rFonts w:asciiTheme="minorBidi" w:hAnsiTheme="minorBidi" w:cstheme="minorBidi"/>
              </w:rPr>
              <w:t>Without a significant increase of the resources, t</w:t>
            </w:r>
            <w:r w:rsidR="00020199" w:rsidRPr="00D26003">
              <w:rPr>
                <w:rFonts w:asciiTheme="minorBidi" w:hAnsiTheme="minorBidi" w:cstheme="minorBidi"/>
              </w:rPr>
              <w:t xml:space="preserve">he Secretariat would not be able to undertake operations other than </w:t>
            </w:r>
            <w:r w:rsidR="00AA6C3C" w:rsidRPr="00D26003">
              <w:rPr>
                <w:rFonts w:asciiTheme="minorBidi" w:hAnsiTheme="minorBidi" w:cstheme="minorBidi"/>
              </w:rPr>
              <w:t xml:space="preserve">administering the </w:t>
            </w:r>
            <w:r w:rsidR="00020199" w:rsidRPr="00D26003">
              <w:rPr>
                <w:rFonts w:asciiTheme="minorBidi" w:hAnsiTheme="minorBidi" w:cstheme="minorBidi"/>
              </w:rPr>
              <w:t xml:space="preserve">listing </w:t>
            </w:r>
            <w:r w:rsidR="00AA6C3C" w:rsidRPr="00D26003">
              <w:rPr>
                <w:rFonts w:asciiTheme="minorBidi" w:hAnsiTheme="minorBidi" w:cstheme="minorBidi"/>
              </w:rPr>
              <w:t xml:space="preserve">mechanisms </w:t>
            </w:r>
            <w:r w:rsidR="00020199" w:rsidRPr="00D26003">
              <w:rPr>
                <w:rFonts w:asciiTheme="minorBidi" w:hAnsiTheme="minorBidi" w:cstheme="minorBidi"/>
              </w:rPr>
              <w:t>(i.e. capacity-</w:t>
            </w:r>
            <w:r w:rsidR="00AA6C3C" w:rsidRPr="00D26003">
              <w:rPr>
                <w:rFonts w:asciiTheme="minorBidi" w:hAnsiTheme="minorBidi" w:cstheme="minorBidi"/>
              </w:rPr>
              <w:t>building</w:t>
            </w:r>
            <w:r w:rsidR="00AA05DB" w:rsidRPr="00D26003">
              <w:rPr>
                <w:rFonts w:asciiTheme="minorBidi" w:hAnsiTheme="minorBidi" w:cstheme="minorBidi"/>
              </w:rPr>
              <w:t xml:space="preserve"> efforts</w:t>
            </w:r>
            <w:r w:rsidR="00020199" w:rsidRPr="00D26003">
              <w:rPr>
                <w:rFonts w:asciiTheme="minorBidi" w:hAnsiTheme="minorBidi" w:cstheme="minorBidi"/>
              </w:rPr>
              <w:t>, response to emergency situations, contribution to sustainable development</w:t>
            </w:r>
            <w:r w:rsidR="0060646A" w:rsidRPr="00D26003">
              <w:rPr>
                <w:rFonts w:asciiTheme="minorBidi" w:hAnsiTheme="minorBidi" w:cstheme="minorBidi"/>
              </w:rPr>
              <w:t>, thematic initiatives as well as other operational activities</w:t>
            </w:r>
            <w:r w:rsidR="00020199" w:rsidRPr="00D26003">
              <w:rPr>
                <w:rFonts w:asciiTheme="minorBidi" w:hAnsiTheme="minorBidi" w:cstheme="minorBidi"/>
              </w:rPr>
              <w:t>) and t</w:t>
            </w:r>
            <w:r w:rsidR="00772CE1" w:rsidRPr="00D26003">
              <w:rPr>
                <w:rFonts w:asciiTheme="minorBidi" w:hAnsiTheme="minorBidi" w:cstheme="minorBidi"/>
              </w:rPr>
              <w:t xml:space="preserve">he </w:t>
            </w:r>
            <w:r w:rsidR="00114ADB" w:rsidRPr="00D26003">
              <w:rPr>
                <w:rFonts w:asciiTheme="minorBidi" w:hAnsiTheme="minorBidi" w:cstheme="minorBidi"/>
              </w:rPr>
              <w:t xml:space="preserve">funding priorities of the Convention </w:t>
            </w:r>
            <w:r w:rsidRPr="00D26003">
              <w:rPr>
                <w:rFonts w:asciiTheme="minorBidi" w:hAnsiTheme="minorBidi" w:cstheme="minorBidi"/>
              </w:rPr>
              <w:t>would need to be re-defined.</w:t>
            </w:r>
          </w:p>
        </w:tc>
      </w:tr>
      <w:tr w:rsidR="00EB6263" w:rsidRPr="00D26003" w14:paraId="3AFB57FC" w14:textId="77777777" w:rsidTr="00946FB7">
        <w:tc>
          <w:tcPr>
            <w:tcW w:w="9628" w:type="dxa"/>
            <w:shd w:val="clear" w:color="auto" w:fill="F2F2F2" w:themeFill="background1" w:themeFillShade="F2"/>
          </w:tcPr>
          <w:p w14:paraId="45CF40F2" w14:textId="097BEE2B" w:rsidR="00EB6263" w:rsidRPr="00D26003" w:rsidRDefault="00EB6263" w:rsidP="00946FB7">
            <w:pPr>
              <w:pStyle w:val="1GAPara"/>
              <w:widowControl w:val="0"/>
              <w:numPr>
                <w:ilvl w:val="0"/>
                <w:numId w:val="0"/>
              </w:numPr>
              <w:spacing w:before="120"/>
              <w:jc w:val="both"/>
              <w:rPr>
                <w:rFonts w:asciiTheme="minorBidi" w:hAnsiTheme="minorBidi" w:cstheme="minorBidi"/>
              </w:rPr>
            </w:pPr>
            <w:r w:rsidRPr="00D26003">
              <w:rPr>
                <w:rFonts w:asciiTheme="minorBidi" w:hAnsiTheme="minorBidi" w:cstheme="minorBidi"/>
              </w:rPr>
              <w:t>→</w:t>
            </w:r>
            <w:r w:rsidR="00CD2CC5" w:rsidRPr="00D26003">
              <w:rPr>
                <w:rFonts w:asciiTheme="minorBidi" w:hAnsiTheme="minorBidi" w:cstheme="minorBidi"/>
              </w:rPr>
              <w:t xml:space="preserve"> </w:t>
            </w:r>
            <w:r w:rsidR="00772CE1" w:rsidRPr="00D26003">
              <w:rPr>
                <w:rFonts w:asciiTheme="minorBidi" w:hAnsiTheme="minorBidi" w:cstheme="minorBidi"/>
              </w:rPr>
              <w:t>B</w:t>
            </w:r>
            <w:r w:rsidR="00203C30" w:rsidRPr="00D26003">
              <w:rPr>
                <w:rFonts w:asciiTheme="minorBidi" w:hAnsiTheme="minorBidi" w:cstheme="minorBidi"/>
              </w:rPr>
              <w:t>acklog files older than four years will be automatically returned to the submitting States</w:t>
            </w:r>
            <w:r w:rsidR="00772CE1" w:rsidRPr="00D26003">
              <w:rPr>
                <w:rFonts w:asciiTheme="minorBidi" w:hAnsiTheme="minorBidi" w:cstheme="minorBidi"/>
              </w:rPr>
              <w:t>.</w:t>
            </w:r>
          </w:p>
        </w:tc>
      </w:tr>
    </w:tbl>
    <w:p w14:paraId="0FDAFE50" w14:textId="5C98C537" w:rsidR="00812564" w:rsidRPr="00D26003" w:rsidRDefault="0099564A" w:rsidP="00563DDD">
      <w:pPr>
        <w:spacing w:after="0"/>
        <w:rPr>
          <w:rFonts w:ascii="Arial" w:hAnsi="Arial" w:cs="Arial"/>
          <w:snapToGrid w:val="0"/>
          <w:szCs w:val="22"/>
          <w:lang w:eastAsia="en-US"/>
        </w:rPr>
      </w:pPr>
      <w:r w:rsidRPr="00D26003">
        <w:br w:type="page"/>
      </w:r>
    </w:p>
    <w:p w14:paraId="4F5346F1" w14:textId="25F3AA5A" w:rsidR="00FC5F1B" w:rsidRPr="00D26003" w:rsidRDefault="00FC5F1B" w:rsidP="00563DDD">
      <w:pPr>
        <w:spacing w:after="0"/>
        <w:rPr>
          <w:rFonts w:ascii="Arial" w:hAnsi="Arial" w:cs="Arial"/>
          <w:snapToGrid w:val="0"/>
          <w:szCs w:val="22"/>
          <w:lang w:eastAsia="en-US"/>
        </w:rPr>
        <w:sectPr w:rsidR="00FC5F1B" w:rsidRPr="00D26003" w:rsidSect="002938F2">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p>
    <w:p w14:paraId="6B287976" w14:textId="7748938E" w:rsidR="00AE31B9" w:rsidRPr="00D26003" w:rsidRDefault="00AE31B9" w:rsidP="00C61D37">
      <w:pPr>
        <w:pStyle w:val="Titre1"/>
        <w:spacing w:after="240"/>
        <w:rPr>
          <w:rFonts w:ascii="Arial" w:eastAsia="Times New Roman" w:hAnsi="Arial" w:cs="Arial"/>
          <w:b/>
          <w:bCs/>
          <w:snapToGrid w:val="0"/>
          <w:color w:val="auto"/>
          <w:sz w:val="22"/>
          <w:szCs w:val="22"/>
          <w:lang w:eastAsia="en-US"/>
        </w:rPr>
      </w:pPr>
      <w:bookmarkStart w:id="0" w:name="_Annex_I:_Number"/>
      <w:bookmarkStart w:id="1" w:name="_MailOriginal"/>
      <w:bookmarkEnd w:id="0"/>
      <w:r w:rsidRPr="00D26003">
        <w:rPr>
          <w:rFonts w:ascii="Arial" w:eastAsia="Times New Roman" w:hAnsi="Arial" w:cs="Arial"/>
          <w:b/>
          <w:bCs/>
          <w:snapToGrid w:val="0"/>
          <w:color w:val="auto"/>
          <w:sz w:val="22"/>
          <w:szCs w:val="22"/>
          <w:lang w:eastAsia="en-US"/>
        </w:rPr>
        <w:lastRenderedPageBreak/>
        <w:t>Annex I: Number of files by priority since the 2015 cycle</w:t>
      </w:r>
    </w:p>
    <w:p w14:paraId="0AC8A605" w14:textId="140246FE" w:rsidR="00AE31B9" w:rsidRPr="00D26003" w:rsidRDefault="00AE31B9" w:rsidP="00AE31B9">
      <w:pPr>
        <w:keepNext/>
        <w:rPr>
          <w:rFonts w:ascii="Arial" w:hAnsi="Arial" w:cs="Arial"/>
        </w:rPr>
      </w:pPr>
      <w:r w:rsidRPr="00D26003">
        <w:rPr>
          <w:rFonts w:ascii="Arial" w:hAnsi="Arial" w:cs="Arial"/>
        </w:rPr>
        <w:t>The table below summarizes the number of files treated by order</w:t>
      </w:r>
      <w:r w:rsidR="00F95258" w:rsidRPr="00D26003">
        <w:rPr>
          <w:rFonts w:ascii="Arial" w:hAnsi="Arial" w:cs="Arial"/>
        </w:rPr>
        <w:t xml:space="preserve"> of priority</w:t>
      </w:r>
      <w:r w:rsidRPr="00D26003">
        <w:rPr>
          <w:rFonts w:ascii="Arial" w:hAnsi="Arial" w:cs="Arial"/>
        </w:rPr>
        <w:t>.</w:t>
      </w:r>
    </w:p>
    <w:tbl>
      <w:tblPr>
        <w:tblStyle w:val="Grilledutableau"/>
        <w:tblW w:w="9980" w:type="dxa"/>
        <w:tblLook w:val="04A0" w:firstRow="1" w:lastRow="0" w:firstColumn="1" w:lastColumn="0" w:noHBand="0" w:noVBand="1"/>
      </w:tblPr>
      <w:tblGrid>
        <w:gridCol w:w="833"/>
        <w:gridCol w:w="1989"/>
        <w:gridCol w:w="1509"/>
        <w:gridCol w:w="1263"/>
        <w:gridCol w:w="1365"/>
        <w:gridCol w:w="996"/>
        <w:gridCol w:w="1108"/>
        <w:gridCol w:w="917"/>
      </w:tblGrid>
      <w:tr w:rsidR="001F1F3C" w:rsidRPr="00D26003" w14:paraId="245E96B6" w14:textId="77777777" w:rsidTr="009764F5">
        <w:trPr>
          <w:trHeight w:val="386"/>
        </w:trPr>
        <w:tc>
          <w:tcPr>
            <w:tcW w:w="833" w:type="dxa"/>
            <w:vMerge w:val="restart"/>
            <w:shd w:val="clear" w:color="auto" w:fill="B8CCE4"/>
          </w:tcPr>
          <w:bookmarkEnd w:id="1"/>
          <w:p w14:paraId="57FDD771" w14:textId="77777777" w:rsidR="001F1F3C" w:rsidRPr="00D26003" w:rsidRDefault="001F1F3C" w:rsidP="00C734E7">
            <w:pPr>
              <w:jc w:val="center"/>
              <w:rPr>
                <w:rFonts w:ascii="Arial" w:hAnsi="Arial" w:cs="Arial"/>
                <w:b/>
              </w:rPr>
            </w:pPr>
            <w:r w:rsidRPr="00D26003">
              <w:rPr>
                <w:rFonts w:ascii="Arial" w:hAnsi="Arial" w:cs="Arial"/>
                <w:b/>
              </w:rPr>
              <w:t>Cycle</w:t>
            </w:r>
          </w:p>
        </w:tc>
        <w:tc>
          <w:tcPr>
            <w:tcW w:w="6150" w:type="dxa"/>
            <w:gridSpan w:val="4"/>
            <w:shd w:val="clear" w:color="auto" w:fill="B8CCE4"/>
          </w:tcPr>
          <w:p w14:paraId="403EF520" w14:textId="77777777" w:rsidR="001F1F3C" w:rsidRPr="00D26003" w:rsidRDefault="001F1F3C" w:rsidP="00C734E7">
            <w:pPr>
              <w:jc w:val="center"/>
              <w:rPr>
                <w:rFonts w:ascii="Arial" w:hAnsi="Arial" w:cs="Arial"/>
                <w:b/>
              </w:rPr>
            </w:pPr>
            <w:r w:rsidRPr="00D26003">
              <w:rPr>
                <w:rFonts w:ascii="Arial" w:hAnsi="Arial" w:cs="Arial"/>
                <w:b/>
              </w:rPr>
              <w:t>Number of files by level of priority</w:t>
            </w:r>
          </w:p>
        </w:tc>
        <w:tc>
          <w:tcPr>
            <w:tcW w:w="997" w:type="dxa"/>
            <w:vMerge w:val="restart"/>
            <w:shd w:val="clear" w:color="auto" w:fill="B8CCE4"/>
          </w:tcPr>
          <w:p w14:paraId="4A4E95C1" w14:textId="77777777" w:rsidR="001F1F3C" w:rsidRPr="00D26003" w:rsidRDefault="001F1F3C" w:rsidP="00C734E7">
            <w:pPr>
              <w:rPr>
                <w:rFonts w:ascii="Arial" w:hAnsi="Arial" w:cs="Arial"/>
                <w:sz w:val="20"/>
                <w:szCs w:val="20"/>
              </w:rPr>
            </w:pPr>
            <w:r w:rsidRPr="00D26003">
              <w:rPr>
                <w:rFonts w:ascii="Arial" w:hAnsi="Arial" w:cs="Arial"/>
                <w:sz w:val="20"/>
                <w:szCs w:val="20"/>
              </w:rPr>
              <w:t>Total number of files treated</w:t>
            </w:r>
          </w:p>
        </w:tc>
        <w:tc>
          <w:tcPr>
            <w:tcW w:w="1111" w:type="dxa"/>
            <w:vMerge w:val="restart"/>
            <w:shd w:val="clear" w:color="auto" w:fill="B8CCE4"/>
          </w:tcPr>
          <w:p w14:paraId="43D3F1BE" w14:textId="77777777" w:rsidR="001F1F3C" w:rsidRPr="00D26003" w:rsidRDefault="001F1F3C" w:rsidP="00C734E7">
            <w:pPr>
              <w:rPr>
                <w:rFonts w:ascii="Arial" w:hAnsi="Arial" w:cs="Arial"/>
                <w:sz w:val="20"/>
                <w:szCs w:val="20"/>
              </w:rPr>
            </w:pPr>
            <w:r w:rsidRPr="00D26003">
              <w:rPr>
                <w:rFonts w:ascii="Arial" w:hAnsi="Arial" w:cs="Arial"/>
                <w:sz w:val="20"/>
                <w:szCs w:val="20"/>
              </w:rPr>
              <w:t>No. of States for which no national file could be treated</w:t>
            </w:r>
          </w:p>
        </w:tc>
        <w:tc>
          <w:tcPr>
            <w:tcW w:w="889" w:type="dxa"/>
            <w:vMerge w:val="restart"/>
            <w:shd w:val="clear" w:color="auto" w:fill="B8CCE4"/>
          </w:tcPr>
          <w:p w14:paraId="34EDDDB1" w14:textId="77777777" w:rsidR="001F1F3C" w:rsidRPr="00D26003" w:rsidRDefault="001F1F3C" w:rsidP="00C734E7">
            <w:pPr>
              <w:rPr>
                <w:rFonts w:ascii="Arial" w:hAnsi="Arial" w:cs="Arial"/>
                <w:sz w:val="20"/>
                <w:szCs w:val="20"/>
              </w:rPr>
            </w:pPr>
            <w:r w:rsidRPr="00D26003">
              <w:rPr>
                <w:rFonts w:ascii="Arial" w:hAnsi="Arial" w:cs="Arial"/>
                <w:sz w:val="20"/>
                <w:szCs w:val="20"/>
              </w:rPr>
              <w:t>No. of multi-national files that could not be treated</w:t>
            </w:r>
          </w:p>
        </w:tc>
      </w:tr>
      <w:tr w:rsidR="001F1F3C" w:rsidRPr="00D26003" w14:paraId="59BD858B" w14:textId="77777777" w:rsidTr="009764F5">
        <w:tc>
          <w:tcPr>
            <w:tcW w:w="833" w:type="dxa"/>
            <w:vMerge/>
            <w:shd w:val="clear" w:color="auto" w:fill="95B3D7" w:themeFill="accent1" w:themeFillTint="99"/>
          </w:tcPr>
          <w:p w14:paraId="5BC87B90" w14:textId="77777777" w:rsidR="001F1F3C" w:rsidRPr="00D26003" w:rsidRDefault="001F1F3C" w:rsidP="00C734E7">
            <w:pPr>
              <w:ind w:left="-113"/>
              <w:jc w:val="center"/>
              <w:rPr>
                <w:rFonts w:ascii="Arial" w:hAnsi="Arial" w:cs="Arial"/>
                <w:b/>
              </w:rPr>
            </w:pPr>
          </w:p>
        </w:tc>
        <w:tc>
          <w:tcPr>
            <w:tcW w:w="2002" w:type="dxa"/>
            <w:shd w:val="clear" w:color="auto" w:fill="B8CCE4"/>
          </w:tcPr>
          <w:p w14:paraId="35392D0A" w14:textId="77777777" w:rsidR="001F1F3C" w:rsidRPr="00D26003" w:rsidRDefault="001F1F3C" w:rsidP="00C734E7">
            <w:pPr>
              <w:rPr>
                <w:rFonts w:ascii="Arial" w:hAnsi="Arial" w:cs="Arial"/>
                <w:sz w:val="20"/>
                <w:szCs w:val="20"/>
              </w:rPr>
            </w:pPr>
            <w:r w:rsidRPr="00D26003">
              <w:rPr>
                <w:rFonts w:ascii="Arial" w:hAnsi="Arial" w:cs="Arial"/>
                <w:sz w:val="20"/>
                <w:szCs w:val="20"/>
              </w:rPr>
              <w:t>(0) no national file treated during the preceding cycle</w:t>
            </w:r>
          </w:p>
        </w:tc>
        <w:tc>
          <w:tcPr>
            <w:tcW w:w="1511" w:type="dxa"/>
            <w:shd w:val="clear" w:color="auto" w:fill="B8CCE4"/>
          </w:tcPr>
          <w:p w14:paraId="6D81976C" w14:textId="43DFF7DC" w:rsidR="001F1F3C" w:rsidRPr="00D26003" w:rsidRDefault="001F1F3C" w:rsidP="00C734E7">
            <w:pPr>
              <w:rPr>
                <w:rFonts w:ascii="Arial" w:hAnsi="Arial" w:cs="Arial"/>
                <w:sz w:val="20"/>
                <w:szCs w:val="20"/>
              </w:rPr>
            </w:pPr>
            <w:r w:rsidRPr="00D26003">
              <w:rPr>
                <w:rFonts w:ascii="Arial" w:hAnsi="Arial" w:cs="Arial"/>
                <w:sz w:val="20"/>
                <w:szCs w:val="20"/>
              </w:rPr>
              <w:t>(</w:t>
            </w:r>
            <w:proofErr w:type="spellStart"/>
            <w:r w:rsidRPr="00D26003">
              <w:rPr>
                <w:rFonts w:ascii="Arial" w:hAnsi="Arial" w:cs="Arial"/>
                <w:sz w:val="20"/>
                <w:szCs w:val="20"/>
              </w:rPr>
              <w:t>i</w:t>
            </w:r>
            <w:proofErr w:type="spellEnd"/>
            <w:r w:rsidRPr="00D26003">
              <w:rPr>
                <w:rFonts w:ascii="Arial" w:hAnsi="Arial" w:cs="Arial"/>
                <w:sz w:val="20"/>
                <w:szCs w:val="20"/>
              </w:rPr>
              <w:t>) no national element inscribed and U</w:t>
            </w:r>
            <w:r w:rsidR="00A74ADC" w:rsidRPr="00D26003">
              <w:rPr>
                <w:rFonts w:ascii="Arial" w:hAnsi="Arial" w:cs="Arial"/>
                <w:sz w:val="20"/>
                <w:szCs w:val="20"/>
              </w:rPr>
              <w:t xml:space="preserve">rgent </w:t>
            </w:r>
            <w:r w:rsidRPr="00D26003">
              <w:rPr>
                <w:rFonts w:ascii="Arial" w:hAnsi="Arial" w:cs="Arial"/>
                <w:sz w:val="20"/>
                <w:szCs w:val="20"/>
              </w:rPr>
              <w:t>S</w:t>
            </w:r>
            <w:r w:rsidR="00A74ADC" w:rsidRPr="00D26003">
              <w:rPr>
                <w:rFonts w:ascii="Arial" w:hAnsi="Arial" w:cs="Arial"/>
                <w:sz w:val="20"/>
                <w:szCs w:val="20"/>
              </w:rPr>
              <w:t xml:space="preserve">afeguarding </w:t>
            </w:r>
            <w:r w:rsidRPr="00D26003">
              <w:rPr>
                <w:rFonts w:ascii="Arial" w:hAnsi="Arial" w:cs="Arial"/>
                <w:sz w:val="20"/>
                <w:szCs w:val="20"/>
              </w:rPr>
              <w:t>L</w:t>
            </w:r>
            <w:r w:rsidR="00A74ADC" w:rsidRPr="00D26003">
              <w:rPr>
                <w:rFonts w:ascii="Arial" w:hAnsi="Arial" w:cs="Arial"/>
                <w:sz w:val="20"/>
                <w:szCs w:val="20"/>
              </w:rPr>
              <w:t>ist (USL)</w:t>
            </w:r>
            <w:r w:rsidRPr="00D26003">
              <w:rPr>
                <w:rFonts w:ascii="Arial" w:hAnsi="Arial" w:cs="Arial"/>
                <w:sz w:val="20"/>
                <w:szCs w:val="20"/>
              </w:rPr>
              <w:t xml:space="preserve"> files</w:t>
            </w:r>
          </w:p>
        </w:tc>
        <w:tc>
          <w:tcPr>
            <w:tcW w:w="1268" w:type="dxa"/>
            <w:shd w:val="clear" w:color="auto" w:fill="B8CCE4"/>
          </w:tcPr>
          <w:p w14:paraId="1F9AEC51" w14:textId="77777777" w:rsidR="001F1F3C" w:rsidRPr="00D26003" w:rsidRDefault="001F1F3C" w:rsidP="00C734E7">
            <w:pPr>
              <w:rPr>
                <w:rFonts w:ascii="Arial" w:hAnsi="Arial" w:cs="Arial"/>
                <w:sz w:val="20"/>
                <w:szCs w:val="20"/>
              </w:rPr>
            </w:pPr>
            <w:r w:rsidRPr="00D26003">
              <w:rPr>
                <w:rFonts w:ascii="Arial" w:hAnsi="Arial" w:cs="Arial"/>
                <w:sz w:val="20"/>
                <w:szCs w:val="20"/>
              </w:rPr>
              <w:t>(ii) multi-national files</w:t>
            </w:r>
          </w:p>
        </w:tc>
        <w:tc>
          <w:tcPr>
            <w:tcW w:w="1369" w:type="dxa"/>
            <w:shd w:val="clear" w:color="auto" w:fill="B8CCE4"/>
          </w:tcPr>
          <w:p w14:paraId="1568B06D" w14:textId="77777777" w:rsidR="001F1F3C" w:rsidRPr="00D26003" w:rsidRDefault="001F1F3C" w:rsidP="00C734E7">
            <w:pPr>
              <w:rPr>
                <w:rFonts w:ascii="Arial" w:hAnsi="Arial" w:cs="Arial"/>
                <w:sz w:val="20"/>
                <w:szCs w:val="20"/>
              </w:rPr>
            </w:pPr>
            <w:r w:rsidRPr="00D26003">
              <w:rPr>
                <w:rFonts w:ascii="Arial" w:hAnsi="Arial" w:cs="Arial"/>
                <w:sz w:val="20"/>
                <w:szCs w:val="20"/>
              </w:rPr>
              <w:t>(iii) fewest national elements inscribed</w:t>
            </w:r>
          </w:p>
        </w:tc>
        <w:tc>
          <w:tcPr>
            <w:tcW w:w="997" w:type="dxa"/>
            <w:vMerge/>
            <w:shd w:val="clear" w:color="auto" w:fill="95B3D7" w:themeFill="accent1" w:themeFillTint="99"/>
          </w:tcPr>
          <w:p w14:paraId="6C4506A2" w14:textId="77777777" w:rsidR="001F1F3C" w:rsidRPr="00D26003" w:rsidRDefault="001F1F3C" w:rsidP="00C734E7">
            <w:pPr>
              <w:rPr>
                <w:rFonts w:ascii="Arial" w:hAnsi="Arial" w:cs="Arial"/>
                <w:b/>
                <w:sz w:val="20"/>
                <w:szCs w:val="20"/>
              </w:rPr>
            </w:pPr>
          </w:p>
        </w:tc>
        <w:tc>
          <w:tcPr>
            <w:tcW w:w="1111" w:type="dxa"/>
            <w:vMerge/>
            <w:shd w:val="clear" w:color="auto" w:fill="95B3D7" w:themeFill="accent1" w:themeFillTint="99"/>
          </w:tcPr>
          <w:p w14:paraId="2F1C682B" w14:textId="77777777" w:rsidR="001F1F3C" w:rsidRPr="00D26003" w:rsidRDefault="001F1F3C" w:rsidP="00C734E7">
            <w:pPr>
              <w:rPr>
                <w:rFonts w:ascii="Arial" w:hAnsi="Arial" w:cs="Arial"/>
                <w:b/>
                <w:sz w:val="20"/>
                <w:szCs w:val="20"/>
              </w:rPr>
            </w:pPr>
          </w:p>
        </w:tc>
        <w:tc>
          <w:tcPr>
            <w:tcW w:w="889" w:type="dxa"/>
            <w:vMerge/>
            <w:shd w:val="clear" w:color="auto" w:fill="95B3D7" w:themeFill="accent1" w:themeFillTint="99"/>
          </w:tcPr>
          <w:p w14:paraId="6FD50213" w14:textId="77777777" w:rsidR="001F1F3C" w:rsidRPr="00D26003" w:rsidRDefault="001F1F3C" w:rsidP="00C734E7">
            <w:pPr>
              <w:rPr>
                <w:rFonts w:ascii="Arial" w:hAnsi="Arial" w:cs="Arial"/>
                <w:b/>
                <w:sz w:val="20"/>
                <w:szCs w:val="20"/>
              </w:rPr>
            </w:pPr>
          </w:p>
        </w:tc>
      </w:tr>
      <w:tr w:rsidR="001F1F3C" w:rsidRPr="00D26003" w14:paraId="1E64A80B" w14:textId="77777777" w:rsidTr="009764F5">
        <w:tc>
          <w:tcPr>
            <w:tcW w:w="833" w:type="dxa"/>
            <w:shd w:val="clear" w:color="auto" w:fill="D9D9D9"/>
          </w:tcPr>
          <w:p w14:paraId="56B8FC0A" w14:textId="77777777" w:rsidR="001F1F3C" w:rsidRPr="00D26003" w:rsidRDefault="001F1F3C" w:rsidP="00C734E7">
            <w:pPr>
              <w:ind w:left="-113"/>
              <w:jc w:val="center"/>
              <w:rPr>
                <w:rFonts w:ascii="Arial" w:hAnsi="Arial" w:cs="Arial"/>
                <w:b/>
              </w:rPr>
            </w:pPr>
            <w:r w:rsidRPr="00D26003">
              <w:rPr>
                <w:rFonts w:ascii="Arial" w:hAnsi="Arial" w:cs="Arial"/>
                <w:b/>
              </w:rPr>
              <w:t>2015</w:t>
            </w:r>
          </w:p>
        </w:tc>
        <w:tc>
          <w:tcPr>
            <w:tcW w:w="2002" w:type="dxa"/>
          </w:tcPr>
          <w:p w14:paraId="11A9DD9C" w14:textId="77777777" w:rsidR="001F1F3C" w:rsidRPr="00D26003" w:rsidRDefault="001F1F3C" w:rsidP="00C734E7">
            <w:pPr>
              <w:rPr>
                <w:rFonts w:ascii="Arial" w:hAnsi="Arial" w:cs="Arial"/>
                <w:sz w:val="20"/>
                <w:szCs w:val="20"/>
              </w:rPr>
            </w:pPr>
            <w:r w:rsidRPr="00D26003">
              <w:rPr>
                <w:rFonts w:ascii="Arial" w:hAnsi="Arial" w:cs="Arial"/>
                <w:sz w:val="20"/>
                <w:szCs w:val="20"/>
              </w:rPr>
              <w:t>Not applicable</w:t>
            </w:r>
          </w:p>
        </w:tc>
        <w:tc>
          <w:tcPr>
            <w:tcW w:w="1511" w:type="dxa"/>
          </w:tcPr>
          <w:p w14:paraId="3CA75235" w14:textId="77777777" w:rsidR="001F1F3C" w:rsidRPr="00D26003" w:rsidRDefault="001F1F3C" w:rsidP="00C734E7">
            <w:pPr>
              <w:rPr>
                <w:rFonts w:ascii="Arial" w:hAnsi="Arial" w:cs="Arial"/>
                <w:sz w:val="20"/>
                <w:szCs w:val="20"/>
              </w:rPr>
            </w:pPr>
            <w:r w:rsidRPr="00D26003">
              <w:rPr>
                <w:rFonts w:ascii="Arial" w:hAnsi="Arial" w:cs="Arial"/>
                <w:sz w:val="20"/>
                <w:szCs w:val="20"/>
              </w:rPr>
              <w:t>14 (no element)</w:t>
            </w:r>
          </w:p>
          <w:p w14:paraId="7A099F5B" w14:textId="77777777" w:rsidR="001F1F3C" w:rsidRPr="00D26003" w:rsidRDefault="001F1F3C" w:rsidP="00C734E7">
            <w:pPr>
              <w:rPr>
                <w:rFonts w:ascii="Arial" w:hAnsi="Arial" w:cs="Arial"/>
                <w:sz w:val="20"/>
                <w:szCs w:val="20"/>
              </w:rPr>
            </w:pPr>
            <w:r w:rsidRPr="00D26003">
              <w:rPr>
                <w:rFonts w:ascii="Arial" w:hAnsi="Arial" w:cs="Arial"/>
                <w:sz w:val="20"/>
                <w:szCs w:val="20"/>
              </w:rPr>
              <w:t>9 (USL)</w:t>
            </w:r>
          </w:p>
        </w:tc>
        <w:tc>
          <w:tcPr>
            <w:tcW w:w="1268" w:type="dxa"/>
          </w:tcPr>
          <w:p w14:paraId="5E3359AC" w14:textId="77777777" w:rsidR="001F1F3C" w:rsidRPr="00D26003" w:rsidRDefault="001F1F3C" w:rsidP="00C734E7">
            <w:pPr>
              <w:rPr>
                <w:rFonts w:ascii="Arial" w:hAnsi="Arial" w:cs="Arial"/>
                <w:sz w:val="20"/>
                <w:szCs w:val="20"/>
              </w:rPr>
            </w:pPr>
            <w:r w:rsidRPr="00D26003">
              <w:rPr>
                <w:rFonts w:ascii="Arial" w:hAnsi="Arial" w:cs="Arial"/>
                <w:sz w:val="20"/>
                <w:szCs w:val="20"/>
              </w:rPr>
              <w:t>7</w:t>
            </w:r>
          </w:p>
        </w:tc>
        <w:tc>
          <w:tcPr>
            <w:tcW w:w="1369" w:type="dxa"/>
          </w:tcPr>
          <w:p w14:paraId="7303FFD0" w14:textId="77777777" w:rsidR="001F1F3C" w:rsidRPr="00D26003" w:rsidRDefault="001F1F3C" w:rsidP="00C734E7">
            <w:pPr>
              <w:rPr>
                <w:rFonts w:ascii="Arial" w:hAnsi="Arial" w:cs="Arial"/>
                <w:sz w:val="20"/>
                <w:szCs w:val="20"/>
              </w:rPr>
            </w:pPr>
            <w:r w:rsidRPr="00D26003">
              <w:rPr>
                <w:rFonts w:ascii="Arial" w:hAnsi="Arial" w:cs="Arial"/>
                <w:sz w:val="20"/>
                <w:szCs w:val="20"/>
              </w:rPr>
              <w:t>20</w:t>
            </w:r>
          </w:p>
          <w:p w14:paraId="7B79B0B7" w14:textId="77777777" w:rsidR="001F1F3C" w:rsidRPr="00D26003" w:rsidRDefault="001F1F3C" w:rsidP="00C734E7">
            <w:pPr>
              <w:rPr>
                <w:rFonts w:ascii="Arial" w:hAnsi="Arial" w:cs="Arial"/>
                <w:sz w:val="20"/>
                <w:szCs w:val="20"/>
              </w:rPr>
            </w:pPr>
            <w:r w:rsidRPr="00D26003">
              <w:rPr>
                <w:rFonts w:ascii="Arial" w:hAnsi="Arial" w:cs="Arial"/>
                <w:sz w:val="20"/>
                <w:szCs w:val="20"/>
              </w:rPr>
              <w:t>(up to 7 elements)</w:t>
            </w:r>
          </w:p>
        </w:tc>
        <w:tc>
          <w:tcPr>
            <w:tcW w:w="997" w:type="dxa"/>
          </w:tcPr>
          <w:p w14:paraId="067D5AE3" w14:textId="77777777" w:rsidR="001F1F3C" w:rsidRPr="00D26003" w:rsidRDefault="001F1F3C" w:rsidP="00C734E7">
            <w:pPr>
              <w:rPr>
                <w:rFonts w:ascii="Arial" w:hAnsi="Arial" w:cs="Arial"/>
                <w:sz w:val="20"/>
                <w:szCs w:val="20"/>
              </w:rPr>
            </w:pPr>
            <w:r w:rsidRPr="00D26003">
              <w:rPr>
                <w:rFonts w:ascii="Arial" w:hAnsi="Arial" w:cs="Arial"/>
                <w:sz w:val="20"/>
                <w:szCs w:val="20"/>
              </w:rPr>
              <w:t>50</w:t>
            </w:r>
          </w:p>
        </w:tc>
        <w:tc>
          <w:tcPr>
            <w:tcW w:w="1111" w:type="dxa"/>
          </w:tcPr>
          <w:p w14:paraId="12147A6E" w14:textId="77777777" w:rsidR="001F1F3C" w:rsidRPr="00D26003" w:rsidRDefault="001F1F3C" w:rsidP="00C734E7">
            <w:pPr>
              <w:rPr>
                <w:rFonts w:ascii="Arial" w:hAnsi="Arial" w:cs="Arial"/>
                <w:sz w:val="20"/>
                <w:szCs w:val="20"/>
              </w:rPr>
            </w:pPr>
            <w:r w:rsidRPr="00D26003">
              <w:rPr>
                <w:rFonts w:ascii="Arial" w:hAnsi="Arial" w:cs="Arial"/>
                <w:sz w:val="20"/>
                <w:szCs w:val="20"/>
              </w:rPr>
              <w:t>11 States</w:t>
            </w:r>
            <w:r w:rsidRPr="00D26003">
              <w:rPr>
                <w:rStyle w:val="Appelnotedebasdep"/>
                <w:rFonts w:ascii="Arial" w:hAnsi="Arial" w:cs="Arial"/>
                <w:sz w:val="20"/>
                <w:szCs w:val="20"/>
              </w:rPr>
              <w:footnoteReference w:id="6"/>
            </w:r>
          </w:p>
        </w:tc>
        <w:tc>
          <w:tcPr>
            <w:tcW w:w="889" w:type="dxa"/>
          </w:tcPr>
          <w:p w14:paraId="36A977C6"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r>
      <w:tr w:rsidR="001F1F3C" w:rsidRPr="00D26003" w14:paraId="3998389B" w14:textId="77777777" w:rsidTr="009764F5">
        <w:tc>
          <w:tcPr>
            <w:tcW w:w="833" w:type="dxa"/>
            <w:shd w:val="clear" w:color="auto" w:fill="D9D9D9"/>
          </w:tcPr>
          <w:p w14:paraId="168F81EB" w14:textId="77777777" w:rsidR="001F1F3C" w:rsidRPr="00D26003" w:rsidRDefault="001F1F3C" w:rsidP="00C734E7">
            <w:pPr>
              <w:ind w:left="-113"/>
              <w:jc w:val="center"/>
              <w:rPr>
                <w:rFonts w:ascii="Arial" w:hAnsi="Arial" w:cs="Arial"/>
                <w:b/>
              </w:rPr>
            </w:pPr>
            <w:r w:rsidRPr="00D26003">
              <w:rPr>
                <w:rFonts w:ascii="Arial" w:hAnsi="Arial" w:cs="Arial"/>
                <w:b/>
              </w:rPr>
              <w:t>2016</w:t>
            </w:r>
          </w:p>
        </w:tc>
        <w:tc>
          <w:tcPr>
            <w:tcW w:w="2002" w:type="dxa"/>
          </w:tcPr>
          <w:p w14:paraId="1A77D8A2" w14:textId="77777777" w:rsidR="001F1F3C" w:rsidRPr="00D26003" w:rsidRDefault="001F1F3C" w:rsidP="00C734E7">
            <w:pPr>
              <w:rPr>
                <w:rFonts w:ascii="Arial" w:hAnsi="Arial" w:cs="Arial"/>
                <w:sz w:val="20"/>
                <w:szCs w:val="20"/>
              </w:rPr>
            </w:pPr>
            <w:r w:rsidRPr="00D26003">
              <w:rPr>
                <w:rFonts w:ascii="Arial" w:hAnsi="Arial" w:cs="Arial"/>
                <w:sz w:val="20"/>
                <w:szCs w:val="20"/>
              </w:rPr>
              <w:t>11 States having submitted a national file which could not be treated in 2015</w:t>
            </w:r>
          </w:p>
        </w:tc>
        <w:tc>
          <w:tcPr>
            <w:tcW w:w="1511" w:type="dxa"/>
          </w:tcPr>
          <w:p w14:paraId="02BE848A" w14:textId="77777777" w:rsidR="001F1F3C" w:rsidRPr="00D26003" w:rsidRDefault="001F1F3C" w:rsidP="00C734E7">
            <w:pPr>
              <w:rPr>
                <w:rFonts w:ascii="Arial" w:hAnsi="Arial" w:cs="Arial"/>
                <w:sz w:val="20"/>
                <w:szCs w:val="20"/>
              </w:rPr>
            </w:pPr>
            <w:r w:rsidRPr="00D26003">
              <w:rPr>
                <w:rFonts w:ascii="Arial" w:hAnsi="Arial" w:cs="Arial"/>
                <w:sz w:val="20"/>
                <w:szCs w:val="20"/>
              </w:rPr>
              <w:t>12 (no element)</w:t>
            </w:r>
          </w:p>
          <w:p w14:paraId="61EF52C2" w14:textId="77777777" w:rsidR="001F1F3C" w:rsidRPr="00D26003" w:rsidRDefault="001F1F3C" w:rsidP="00C734E7">
            <w:pPr>
              <w:rPr>
                <w:rFonts w:ascii="Arial" w:hAnsi="Arial" w:cs="Arial"/>
                <w:sz w:val="20"/>
                <w:szCs w:val="20"/>
              </w:rPr>
            </w:pPr>
            <w:r w:rsidRPr="00D26003">
              <w:rPr>
                <w:rFonts w:ascii="Arial" w:hAnsi="Arial" w:cs="Arial"/>
                <w:sz w:val="20"/>
                <w:szCs w:val="20"/>
              </w:rPr>
              <w:t>6 (USL)</w:t>
            </w:r>
          </w:p>
        </w:tc>
        <w:tc>
          <w:tcPr>
            <w:tcW w:w="1268" w:type="dxa"/>
          </w:tcPr>
          <w:p w14:paraId="3546D843" w14:textId="77777777" w:rsidR="001F1F3C" w:rsidRPr="00D26003" w:rsidRDefault="001F1F3C" w:rsidP="00C734E7">
            <w:pPr>
              <w:rPr>
                <w:rFonts w:ascii="Arial" w:hAnsi="Arial" w:cs="Arial"/>
                <w:sz w:val="20"/>
                <w:szCs w:val="20"/>
              </w:rPr>
            </w:pPr>
            <w:r w:rsidRPr="00D26003">
              <w:rPr>
                <w:rFonts w:ascii="Arial" w:hAnsi="Arial" w:cs="Arial"/>
                <w:sz w:val="20"/>
                <w:szCs w:val="20"/>
              </w:rPr>
              <w:t>3</w:t>
            </w:r>
          </w:p>
        </w:tc>
        <w:tc>
          <w:tcPr>
            <w:tcW w:w="1369" w:type="dxa"/>
          </w:tcPr>
          <w:p w14:paraId="79E34F83" w14:textId="77777777" w:rsidR="001F1F3C" w:rsidRPr="00D26003" w:rsidRDefault="001F1F3C" w:rsidP="00C734E7">
            <w:pPr>
              <w:rPr>
                <w:rFonts w:ascii="Arial" w:hAnsi="Arial" w:cs="Arial"/>
                <w:sz w:val="20"/>
                <w:szCs w:val="20"/>
              </w:rPr>
            </w:pPr>
            <w:r w:rsidRPr="00D26003">
              <w:rPr>
                <w:rFonts w:ascii="Arial" w:hAnsi="Arial" w:cs="Arial"/>
                <w:sz w:val="20"/>
                <w:szCs w:val="20"/>
              </w:rPr>
              <w:t>19</w:t>
            </w:r>
          </w:p>
          <w:p w14:paraId="206E583E" w14:textId="77777777" w:rsidR="001F1F3C" w:rsidRPr="00D26003" w:rsidRDefault="001F1F3C" w:rsidP="00C734E7">
            <w:pPr>
              <w:rPr>
                <w:rFonts w:ascii="Arial" w:hAnsi="Arial" w:cs="Arial"/>
                <w:sz w:val="20"/>
                <w:szCs w:val="20"/>
              </w:rPr>
            </w:pPr>
            <w:r w:rsidRPr="00D26003">
              <w:rPr>
                <w:rFonts w:ascii="Arial" w:hAnsi="Arial" w:cs="Arial"/>
                <w:sz w:val="20"/>
                <w:szCs w:val="20"/>
              </w:rPr>
              <w:t>(up to 3 elements)</w:t>
            </w:r>
          </w:p>
        </w:tc>
        <w:tc>
          <w:tcPr>
            <w:tcW w:w="997" w:type="dxa"/>
          </w:tcPr>
          <w:p w14:paraId="443BFB8B" w14:textId="77777777" w:rsidR="001F1F3C" w:rsidRPr="00D26003" w:rsidRDefault="001F1F3C" w:rsidP="00C734E7">
            <w:pPr>
              <w:rPr>
                <w:rFonts w:ascii="Arial" w:hAnsi="Arial" w:cs="Arial"/>
                <w:sz w:val="20"/>
                <w:szCs w:val="20"/>
              </w:rPr>
            </w:pPr>
            <w:r w:rsidRPr="00D26003">
              <w:rPr>
                <w:rFonts w:ascii="Arial" w:hAnsi="Arial" w:cs="Arial"/>
                <w:sz w:val="20"/>
                <w:szCs w:val="20"/>
              </w:rPr>
              <w:t>51</w:t>
            </w:r>
          </w:p>
        </w:tc>
        <w:tc>
          <w:tcPr>
            <w:tcW w:w="1111" w:type="dxa"/>
          </w:tcPr>
          <w:p w14:paraId="4C2DE61A" w14:textId="77777777" w:rsidR="001F1F3C" w:rsidRPr="00D26003" w:rsidRDefault="001F1F3C" w:rsidP="00C734E7">
            <w:pPr>
              <w:rPr>
                <w:rFonts w:ascii="Arial" w:hAnsi="Arial" w:cs="Arial"/>
                <w:sz w:val="20"/>
                <w:szCs w:val="20"/>
              </w:rPr>
            </w:pPr>
            <w:r w:rsidRPr="00D26003">
              <w:rPr>
                <w:rFonts w:ascii="Arial" w:hAnsi="Arial" w:cs="Arial"/>
                <w:sz w:val="20"/>
                <w:szCs w:val="20"/>
              </w:rPr>
              <w:t>12 States</w:t>
            </w:r>
            <w:r w:rsidRPr="00D26003">
              <w:rPr>
                <w:rStyle w:val="Appelnotedebasdep"/>
                <w:rFonts w:ascii="Arial" w:hAnsi="Arial" w:cs="Arial"/>
                <w:sz w:val="20"/>
                <w:szCs w:val="20"/>
              </w:rPr>
              <w:footnoteReference w:id="7"/>
            </w:r>
          </w:p>
        </w:tc>
        <w:tc>
          <w:tcPr>
            <w:tcW w:w="889" w:type="dxa"/>
          </w:tcPr>
          <w:p w14:paraId="17E14EC9"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r>
      <w:tr w:rsidR="001F1F3C" w:rsidRPr="00D26003" w14:paraId="2AB7EDD6" w14:textId="77777777" w:rsidTr="009764F5">
        <w:tc>
          <w:tcPr>
            <w:tcW w:w="833" w:type="dxa"/>
            <w:shd w:val="clear" w:color="auto" w:fill="D9D9D9"/>
          </w:tcPr>
          <w:p w14:paraId="1FC06601" w14:textId="77777777" w:rsidR="001F1F3C" w:rsidRPr="00D26003" w:rsidRDefault="001F1F3C" w:rsidP="00C734E7">
            <w:pPr>
              <w:ind w:left="-113"/>
              <w:jc w:val="center"/>
              <w:rPr>
                <w:rFonts w:ascii="Arial" w:hAnsi="Arial" w:cs="Arial"/>
                <w:b/>
              </w:rPr>
            </w:pPr>
            <w:r w:rsidRPr="00D26003">
              <w:rPr>
                <w:rFonts w:ascii="Arial" w:hAnsi="Arial" w:cs="Arial"/>
                <w:b/>
              </w:rPr>
              <w:t>2017</w:t>
            </w:r>
          </w:p>
        </w:tc>
        <w:tc>
          <w:tcPr>
            <w:tcW w:w="2002" w:type="dxa"/>
          </w:tcPr>
          <w:p w14:paraId="33160A15" w14:textId="77777777" w:rsidR="001F1F3C" w:rsidRPr="00D26003" w:rsidRDefault="001F1F3C" w:rsidP="00C734E7">
            <w:pPr>
              <w:rPr>
                <w:rFonts w:ascii="Arial" w:hAnsi="Arial" w:cs="Arial"/>
                <w:sz w:val="20"/>
                <w:szCs w:val="20"/>
              </w:rPr>
            </w:pPr>
            <w:r w:rsidRPr="00D26003">
              <w:rPr>
                <w:rFonts w:ascii="Arial" w:hAnsi="Arial" w:cs="Arial"/>
                <w:sz w:val="20"/>
                <w:szCs w:val="20"/>
              </w:rPr>
              <w:t>11 States</w:t>
            </w:r>
            <w:r w:rsidRPr="00D26003">
              <w:rPr>
                <w:rStyle w:val="Appelnotedebasdep"/>
                <w:rFonts w:ascii="Arial" w:hAnsi="Arial" w:cs="Arial"/>
                <w:sz w:val="20"/>
                <w:szCs w:val="20"/>
              </w:rPr>
              <w:footnoteReference w:id="8"/>
            </w:r>
            <w:r w:rsidRPr="00D26003">
              <w:rPr>
                <w:rFonts w:ascii="Arial" w:hAnsi="Arial" w:cs="Arial"/>
                <w:sz w:val="20"/>
                <w:szCs w:val="20"/>
              </w:rPr>
              <w:t xml:space="preserve"> having submitted a national file which could not be treated in 2016;</w:t>
            </w:r>
          </w:p>
          <w:p w14:paraId="6F8D99AC" w14:textId="77777777" w:rsidR="001F1F3C" w:rsidRPr="00D26003" w:rsidRDefault="001F1F3C" w:rsidP="00C734E7">
            <w:pPr>
              <w:rPr>
                <w:rFonts w:ascii="Arial" w:hAnsi="Arial" w:cs="Arial"/>
                <w:sz w:val="20"/>
                <w:szCs w:val="20"/>
              </w:rPr>
            </w:pPr>
            <w:r w:rsidRPr="00D26003">
              <w:rPr>
                <w:rFonts w:ascii="Arial" w:hAnsi="Arial" w:cs="Arial"/>
                <w:sz w:val="20"/>
                <w:szCs w:val="20"/>
              </w:rPr>
              <w:t>11 States</w:t>
            </w:r>
            <w:r w:rsidRPr="00D26003">
              <w:rPr>
                <w:rStyle w:val="Appelnotedebasdep"/>
                <w:rFonts w:ascii="Arial" w:hAnsi="Arial" w:cs="Arial"/>
                <w:sz w:val="20"/>
                <w:szCs w:val="20"/>
              </w:rPr>
              <w:footnoteReference w:id="9"/>
            </w:r>
            <w:r w:rsidRPr="00D26003">
              <w:rPr>
                <w:rFonts w:ascii="Arial" w:hAnsi="Arial" w:cs="Arial"/>
                <w:sz w:val="20"/>
                <w:szCs w:val="20"/>
              </w:rPr>
              <w:t xml:space="preserve"> which did not submit a national file for the 2016 cycle</w:t>
            </w:r>
          </w:p>
        </w:tc>
        <w:tc>
          <w:tcPr>
            <w:tcW w:w="1511" w:type="dxa"/>
          </w:tcPr>
          <w:p w14:paraId="264D57B8" w14:textId="77777777" w:rsidR="001F1F3C" w:rsidRPr="00D26003" w:rsidRDefault="001F1F3C" w:rsidP="00C734E7">
            <w:pPr>
              <w:rPr>
                <w:rFonts w:ascii="Arial" w:hAnsi="Arial" w:cs="Arial"/>
                <w:sz w:val="20"/>
                <w:szCs w:val="20"/>
              </w:rPr>
            </w:pPr>
            <w:r w:rsidRPr="00D26003">
              <w:rPr>
                <w:rFonts w:ascii="Arial" w:hAnsi="Arial" w:cs="Arial"/>
                <w:sz w:val="20"/>
                <w:szCs w:val="20"/>
              </w:rPr>
              <w:t>5 (no element)</w:t>
            </w:r>
          </w:p>
          <w:p w14:paraId="002AE79E" w14:textId="77777777" w:rsidR="001F1F3C" w:rsidRPr="00D26003" w:rsidRDefault="001F1F3C" w:rsidP="00C734E7">
            <w:pPr>
              <w:rPr>
                <w:rFonts w:ascii="Arial" w:hAnsi="Arial" w:cs="Arial"/>
                <w:sz w:val="20"/>
                <w:szCs w:val="20"/>
              </w:rPr>
            </w:pPr>
            <w:r w:rsidRPr="00D26003">
              <w:rPr>
                <w:rFonts w:ascii="Arial" w:hAnsi="Arial" w:cs="Arial"/>
                <w:sz w:val="20"/>
                <w:szCs w:val="20"/>
              </w:rPr>
              <w:t>3 (USL)</w:t>
            </w:r>
          </w:p>
        </w:tc>
        <w:tc>
          <w:tcPr>
            <w:tcW w:w="1268" w:type="dxa"/>
          </w:tcPr>
          <w:p w14:paraId="09044D9A" w14:textId="77777777" w:rsidR="001F1F3C" w:rsidRPr="00D26003" w:rsidRDefault="001F1F3C" w:rsidP="00C734E7">
            <w:pPr>
              <w:rPr>
                <w:rFonts w:ascii="Arial" w:hAnsi="Arial" w:cs="Arial"/>
                <w:sz w:val="20"/>
                <w:szCs w:val="20"/>
              </w:rPr>
            </w:pPr>
            <w:r w:rsidRPr="00D26003">
              <w:rPr>
                <w:rFonts w:ascii="Arial" w:hAnsi="Arial" w:cs="Arial"/>
                <w:sz w:val="20"/>
                <w:szCs w:val="20"/>
              </w:rPr>
              <w:t>3</w:t>
            </w:r>
          </w:p>
        </w:tc>
        <w:tc>
          <w:tcPr>
            <w:tcW w:w="1369" w:type="dxa"/>
          </w:tcPr>
          <w:p w14:paraId="0521BF14" w14:textId="77777777" w:rsidR="001F1F3C" w:rsidRPr="00D26003" w:rsidRDefault="001F1F3C" w:rsidP="00C734E7">
            <w:pPr>
              <w:rPr>
                <w:rFonts w:ascii="Arial" w:hAnsi="Arial" w:cs="Arial"/>
                <w:sz w:val="20"/>
                <w:szCs w:val="20"/>
              </w:rPr>
            </w:pPr>
            <w:r w:rsidRPr="00D26003">
              <w:rPr>
                <w:rFonts w:ascii="Arial" w:hAnsi="Arial" w:cs="Arial"/>
                <w:sz w:val="20"/>
                <w:szCs w:val="20"/>
              </w:rPr>
              <w:t>17</w:t>
            </w:r>
          </w:p>
          <w:p w14:paraId="7AAC119C" w14:textId="77777777" w:rsidR="001F1F3C" w:rsidRPr="00D26003" w:rsidRDefault="001F1F3C" w:rsidP="00C734E7">
            <w:pPr>
              <w:rPr>
                <w:rFonts w:ascii="Arial" w:hAnsi="Arial" w:cs="Arial"/>
                <w:sz w:val="20"/>
                <w:szCs w:val="20"/>
              </w:rPr>
            </w:pPr>
            <w:r w:rsidRPr="00D26003">
              <w:rPr>
                <w:rFonts w:ascii="Arial" w:hAnsi="Arial" w:cs="Arial"/>
                <w:sz w:val="20"/>
                <w:szCs w:val="20"/>
              </w:rPr>
              <w:t>(up to 10 elements)</w:t>
            </w:r>
          </w:p>
        </w:tc>
        <w:tc>
          <w:tcPr>
            <w:tcW w:w="997" w:type="dxa"/>
          </w:tcPr>
          <w:p w14:paraId="362C76D3" w14:textId="77777777" w:rsidR="001F1F3C" w:rsidRPr="00D26003" w:rsidRDefault="001F1F3C" w:rsidP="00C734E7">
            <w:pPr>
              <w:rPr>
                <w:rFonts w:ascii="Arial" w:hAnsi="Arial" w:cs="Arial"/>
                <w:sz w:val="20"/>
                <w:szCs w:val="20"/>
              </w:rPr>
            </w:pPr>
            <w:r w:rsidRPr="00D26003">
              <w:rPr>
                <w:rFonts w:ascii="Arial" w:hAnsi="Arial" w:cs="Arial"/>
                <w:sz w:val="20"/>
                <w:szCs w:val="20"/>
              </w:rPr>
              <w:t>50</w:t>
            </w:r>
          </w:p>
        </w:tc>
        <w:tc>
          <w:tcPr>
            <w:tcW w:w="1111" w:type="dxa"/>
          </w:tcPr>
          <w:p w14:paraId="62D757D7" w14:textId="77777777" w:rsidR="001F1F3C" w:rsidRPr="00D26003" w:rsidRDefault="001F1F3C" w:rsidP="00C734E7">
            <w:pPr>
              <w:rPr>
                <w:rFonts w:ascii="Arial" w:hAnsi="Arial" w:cs="Arial"/>
                <w:sz w:val="20"/>
                <w:szCs w:val="20"/>
              </w:rPr>
            </w:pPr>
            <w:r w:rsidRPr="00D26003">
              <w:rPr>
                <w:rFonts w:ascii="Arial" w:hAnsi="Arial" w:cs="Arial"/>
                <w:sz w:val="20"/>
                <w:szCs w:val="20"/>
              </w:rPr>
              <w:t>5 States</w:t>
            </w:r>
            <w:r w:rsidRPr="00D26003">
              <w:rPr>
                <w:rStyle w:val="Appelnotedebasdep"/>
                <w:rFonts w:ascii="Arial" w:hAnsi="Arial" w:cs="Arial"/>
                <w:sz w:val="20"/>
                <w:szCs w:val="20"/>
              </w:rPr>
              <w:footnoteReference w:id="10"/>
            </w:r>
          </w:p>
        </w:tc>
        <w:tc>
          <w:tcPr>
            <w:tcW w:w="889" w:type="dxa"/>
          </w:tcPr>
          <w:p w14:paraId="7A51AF1D"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r>
      <w:tr w:rsidR="001F1F3C" w:rsidRPr="00D26003" w14:paraId="23E9CBC7" w14:textId="77777777" w:rsidTr="009764F5">
        <w:tc>
          <w:tcPr>
            <w:tcW w:w="833" w:type="dxa"/>
            <w:shd w:val="clear" w:color="auto" w:fill="D9D9D9"/>
          </w:tcPr>
          <w:p w14:paraId="6D2BFFC9" w14:textId="77777777" w:rsidR="001F1F3C" w:rsidRPr="00D26003" w:rsidRDefault="001F1F3C" w:rsidP="00C734E7">
            <w:pPr>
              <w:ind w:left="-113"/>
              <w:jc w:val="center"/>
              <w:rPr>
                <w:rFonts w:ascii="Arial" w:hAnsi="Arial" w:cs="Arial"/>
                <w:b/>
              </w:rPr>
            </w:pPr>
            <w:r w:rsidRPr="00D26003">
              <w:rPr>
                <w:rFonts w:ascii="Arial" w:hAnsi="Arial" w:cs="Arial"/>
                <w:b/>
              </w:rPr>
              <w:t>2018</w:t>
            </w:r>
          </w:p>
        </w:tc>
        <w:tc>
          <w:tcPr>
            <w:tcW w:w="2002" w:type="dxa"/>
          </w:tcPr>
          <w:p w14:paraId="4C00A214" w14:textId="77777777" w:rsidR="001F1F3C" w:rsidRPr="00D26003" w:rsidRDefault="001F1F3C" w:rsidP="00C734E7">
            <w:pPr>
              <w:rPr>
                <w:rFonts w:ascii="Arial" w:hAnsi="Arial" w:cs="Arial"/>
                <w:sz w:val="20"/>
                <w:szCs w:val="20"/>
              </w:rPr>
            </w:pPr>
            <w:r w:rsidRPr="00D26003">
              <w:rPr>
                <w:rFonts w:ascii="Arial" w:hAnsi="Arial" w:cs="Arial"/>
                <w:sz w:val="20"/>
                <w:szCs w:val="20"/>
              </w:rPr>
              <w:t>5 States having submitted a national file which could not be treated in 2017;</w:t>
            </w:r>
          </w:p>
          <w:p w14:paraId="4F56AE02" w14:textId="77777777" w:rsidR="001F1F3C" w:rsidRPr="00D26003" w:rsidRDefault="001F1F3C" w:rsidP="00C734E7">
            <w:pPr>
              <w:rPr>
                <w:rFonts w:ascii="Arial" w:hAnsi="Arial" w:cs="Arial"/>
                <w:sz w:val="20"/>
                <w:szCs w:val="20"/>
              </w:rPr>
            </w:pPr>
            <w:r w:rsidRPr="00D26003">
              <w:rPr>
                <w:rFonts w:ascii="Arial" w:hAnsi="Arial" w:cs="Arial"/>
                <w:sz w:val="20"/>
                <w:szCs w:val="20"/>
              </w:rPr>
              <w:t>20 States</w:t>
            </w:r>
            <w:r w:rsidRPr="00D26003">
              <w:rPr>
                <w:rStyle w:val="Appelnotedebasdep"/>
                <w:rFonts w:ascii="Arial" w:hAnsi="Arial" w:cs="Arial"/>
                <w:sz w:val="20"/>
                <w:szCs w:val="20"/>
              </w:rPr>
              <w:footnoteReference w:id="11"/>
            </w:r>
            <w:r w:rsidRPr="00D26003">
              <w:rPr>
                <w:rFonts w:ascii="Arial" w:hAnsi="Arial" w:cs="Arial"/>
                <w:sz w:val="20"/>
                <w:szCs w:val="20"/>
              </w:rPr>
              <w:t xml:space="preserve"> which did not submit a national file for the 2017 cycle</w:t>
            </w:r>
          </w:p>
        </w:tc>
        <w:tc>
          <w:tcPr>
            <w:tcW w:w="1511" w:type="dxa"/>
          </w:tcPr>
          <w:p w14:paraId="4B5E6D46" w14:textId="77777777" w:rsidR="001F1F3C" w:rsidRPr="00D26003" w:rsidRDefault="001F1F3C" w:rsidP="00C734E7">
            <w:pPr>
              <w:rPr>
                <w:rFonts w:ascii="Arial" w:hAnsi="Arial" w:cs="Arial"/>
                <w:sz w:val="20"/>
                <w:szCs w:val="20"/>
              </w:rPr>
            </w:pPr>
            <w:r w:rsidRPr="00D26003">
              <w:rPr>
                <w:rFonts w:ascii="Arial" w:hAnsi="Arial" w:cs="Arial"/>
                <w:sz w:val="20"/>
                <w:szCs w:val="20"/>
              </w:rPr>
              <w:t>3 (no element)</w:t>
            </w:r>
          </w:p>
          <w:p w14:paraId="0092FB83" w14:textId="77777777" w:rsidR="001F1F3C" w:rsidRPr="00D26003" w:rsidRDefault="001F1F3C" w:rsidP="00C734E7">
            <w:pPr>
              <w:rPr>
                <w:rFonts w:ascii="Arial" w:hAnsi="Arial" w:cs="Arial"/>
                <w:sz w:val="20"/>
                <w:szCs w:val="20"/>
              </w:rPr>
            </w:pPr>
            <w:r w:rsidRPr="00D26003">
              <w:rPr>
                <w:rFonts w:ascii="Arial" w:hAnsi="Arial" w:cs="Arial"/>
                <w:sz w:val="20"/>
                <w:szCs w:val="20"/>
              </w:rPr>
              <w:t>4 (USL)</w:t>
            </w:r>
          </w:p>
        </w:tc>
        <w:tc>
          <w:tcPr>
            <w:tcW w:w="1268" w:type="dxa"/>
          </w:tcPr>
          <w:p w14:paraId="21C78557" w14:textId="77777777" w:rsidR="001F1F3C" w:rsidRPr="00D26003" w:rsidRDefault="001F1F3C" w:rsidP="00C734E7">
            <w:pPr>
              <w:rPr>
                <w:rFonts w:ascii="Arial" w:hAnsi="Arial" w:cs="Arial"/>
                <w:sz w:val="20"/>
                <w:szCs w:val="20"/>
              </w:rPr>
            </w:pPr>
            <w:r w:rsidRPr="00D26003">
              <w:rPr>
                <w:rFonts w:ascii="Arial" w:hAnsi="Arial" w:cs="Arial"/>
                <w:sz w:val="20"/>
                <w:szCs w:val="20"/>
              </w:rPr>
              <w:t>6</w:t>
            </w:r>
          </w:p>
        </w:tc>
        <w:tc>
          <w:tcPr>
            <w:tcW w:w="1369" w:type="dxa"/>
          </w:tcPr>
          <w:p w14:paraId="7E532FA6" w14:textId="77777777" w:rsidR="001F1F3C" w:rsidRPr="00D26003" w:rsidRDefault="001F1F3C" w:rsidP="00C734E7">
            <w:pPr>
              <w:rPr>
                <w:rFonts w:ascii="Arial" w:hAnsi="Arial" w:cs="Arial"/>
                <w:sz w:val="20"/>
                <w:szCs w:val="20"/>
              </w:rPr>
            </w:pPr>
            <w:r w:rsidRPr="00D26003">
              <w:rPr>
                <w:rFonts w:ascii="Arial" w:hAnsi="Arial" w:cs="Arial"/>
                <w:sz w:val="20"/>
                <w:szCs w:val="20"/>
              </w:rPr>
              <w:t>12</w:t>
            </w:r>
          </w:p>
          <w:p w14:paraId="5857DEDD" w14:textId="77777777" w:rsidR="001F1F3C" w:rsidRPr="00D26003" w:rsidRDefault="001F1F3C" w:rsidP="00C734E7">
            <w:pPr>
              <w:rPr>
                <w:rFonts w:ascii="Arial" w:hAnsi="Arial" w:cs="Arial"/>
                <w:sz w:val="20"/>
                <w:szCs w:val="20"/>
              </w:rPr>
            </w:pPr>
            <w:r w:rsidRPr="00D26003">
              <w:rPr>
                <w:rFonts w:ascii="Arial" w:hAnsi="Arial" w:cs="Arial"/>
                <w:sz w:val="20"/>
                <w:szCs w:val="20"/>
              </w:rPr>
              <w:t>(up to 3 elements)</w:t>
            </w:r>
          </w:p>
        </w:tc>
        <w:tc>
          <w:tcPr>
            <w:tcW w:w="997" w:type="dxa"/>
          </w:tcPr>
          <w:p w14:paraId="3E0DA791" w14:textId="77777777" w:rsidR="001F1F3C" w:rsidRPr="00D26003" w:rsidRDefault="001F1F3C" w:rsidP="00C734E7">
            <w:pPr>
              <w:rPr>
                <w:rFonts w:ascii="Arial" w:hAnsi="Arial" w:cs="Arial"/>
                <w:sz w:val="20"/>
                <w:szCs w:val="20"/>
              </w:rPr>
            </w:pPr>
            <w:r w:rsidRPr="00D26003">
              <w:rPr>
                <w:rFonts w:ascii="Arial" w:hAnsi="Arial" w:cs="Arial"/>
                <w:sz w:val="20"/>
                <w:szCs w:val="20"/>
              </w:rPr>
              <w:t>50</w:t>
            </w:r>
          </w:p>
        </w:tc>
        <w:tc>
          <w:tcPr>
            <w:tcW w:w="1111" w:type="dxa"/>
          </w:tcPr>
          <w:p w14:paraId="2CE23301" w14:textId="77777777" w:rsidR="001F1F3C" w:rsidRPr="00D26003" w:rsidRDefault="001F1F3C" w:rsidP="00C734E7">
            <w:pPr>
              <w:rPr>
                <w:rFonts w:ascii="Arial" w:hAnsi="Arial" w:cs="Arial"/>
                <w:sz w:val="20"/>
                <w:szCs w:val="20"/>
              </w:rPr>
            </w:pPr>
            <w:r w:rsidRPr="00D26003">
              <w:rPr>
                <w:rFonts w:ascii="Arial" w:hAnsi="Arial" w:cs="Arial"/>
                <w:sz w:val="20"/>
                <w:szCs w:val="20"/>
              </w:rPr>
              <w:t>14 States</w:t>
            </w:r>
            <w:r w:rsidRPr="00D26003">
              <w:rPr>
                <w:rStyle w:val="Appelnotedebasdep"/>
                <w:rFonts w:ascii="Arial" w:hAnsi="Arial" w:cs="Arial"/>
                <w:sz w:val="20"/>
                <w:szCs w:val="20"/>
              </w:rPr>
              <w:footnoteReference w:id="12"/>
            </w:r>
          </w:p>
        </w:tc>
        <w:tc>
          <w:tcPr>
            <w:tcW w:w="889" w:type="dxa"/>
          </w:tcPr>
          <w:p w14:paraId="7CCB7238"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r>
      <w:tr w:rsidR="001F1F3C" w:rsidRPr="00D26003" w14:paraId="3EFC8DB6" w14:textId="77777777" w:rsidTr="009764F5">
        <w:tc>
          <w:tcPr>
            <w:tcW w:w="833" w:type="dxa"/>
            <w:shd w:val="clear" w:color="auto" w:fill="D9D9D9"/>
          </w:tcPr>
          <w:p w14:paraId="5B3B4777" w14:textId="77777777" w:rsidR="001F1F3C" w:rsidRPr="00D26003" w:rsidRDefault="001F1F3C" w:rsidP="00C734E7">
            <w:pPr>
              <w:ind w:left="-113"/>
              <w:jc w:val="center"/>
              <w:rPr>
                <w:rFonts w:ascii="Arial" w:hAnsi="Arial" w:cs="Arial"/>
                <w:b/>
              </w:rPr>
            </w:pPr>
            <w:r w:rsidRPr="00D26003">
              <w:rPr>
                <w:rFonts w:ascii="Arial" w:hAnsi="Arial" w:cs="Arial"/>
                <w:b/>
              </w:rPr>
              <w:lastRenderedPageBreak/>
              <w:t>2019</w:t>
            </w:r>
          </w:p>
        </w:tc>
        <w:tc>
          <w:tcPr>
            <w:tcW w:w="2002" w:type="dxa"/>
          </w:tcPr>
          <w:p w14:paraId="0C318696" w14:textId="77777777" w:rsidR="001F1F3C" w:rsidRPr="00D26003" w:rsidRDefault="001F1F3C" w:rsidP="00C734E7">
            <w:pPr>
              <w:rPr>
                <w:rFonts w:ascii="Arial" w:hAnsi="Arial" w:cs="Arial"/>
                <w:sz w:val="20"/>
                <w:szCs w:val="20"/>
              </w:rPr>
            </w:pPr>
            <w:r w:rsidRPr="00D26003">
              <w:rPr>
                <w:rFonts w:ascii="Arial" w:hAnsi="Arial" w:cs="Arial"/>
                <w:sz w:val="20"/>
                <w:szCs w:val="20"/>
              </w:rPr>
              <w:t>14 States having submitted a national file which could not be treated in 2018;</w:t>
            </w:r>
          </w:p>
          <w:p w14:paraId="6304E09D" w14:textId="77777777" w:rsidR="001F1F3C" w:rsidRPr="00D26003" w:rsidRDefault="001F1F3C" w:rsidP="00C734E7">
            <w:pPr>
              <w:rPr>
                <w:rFonts w:ascii="Arial" w:hAnsi="Arial" w:cs="Arial"/>
                <w:sz w:val="20"/>
                <w:szCs w:val="20"/>
              </w:rPr>
            </w:pPr>
            <w:r w:rsidRPr="00D26003">
              <w:rPr>
                <w:rFonts w:ascii="Arial" w:hAnsi="Arial" w:cs="Arial"/>
                <w:sz w:val="20"/>
                <w:szCs w:val="20"/>
              </w:rPr>
              <w:t>24 States</w:t>
            </w:r>
            <w:r w:rsidRPr="00D26003">
              <w:rPr>
                <w:rStyle w:val="Appelnotedebasdep"/>
                <w:rFonts w:ascii="Arial" w:hAnsi="Arial" w:cs="Arial"/>
                <w:sz w:val="20"/>
                <w:szCs w:val="20"/>
              </w:rPr>
              <w:footnoteReference w:id="13"/>
            </w:r>
            <w:r w:rsidRPr="00D26003">
              <w:rPr>
                <w:rFonts w:ascii="Arial" w:hAnsi="Arial" w:cs="Arial"/>
                <w:sz w:val="20"/>
                <w:szCs w:val="20"/>
              </w:rPr>
              <w:t xml:space="preserve"> which did not submit a national file for the 2018 cycle</w:t>
            </w:r>
          </w:p>
        </w:tc>
        <w:tc>
          <w:tcPr>
            <w:tcW w:w="1511" w:type="dxa"/>
          </w:tcPr>
          <w:p w14:paraId="4D29C2BF" w14:textId="77777777" w:rsidR="001F1F3C" w:rsidRPr="00D26003" w:rsidRDefault="001F1F3C" w:rsidP="00C734E7">
            <w:pPr>
              <w:rPr>
                <w:rFonts w:ascii="Arial" w:hAnsi="Arial" w:cs="Arial"/>
                <w:sz w:val="20"/>
                <w:szCs w:val="20"/>
              </w:rPr>
            </w:pPr>
            <w:r w:rsidRPr="00D26003">
              <w:rPr>
                <w:rFonts w:ascii="Arial" w:hAnsi="Arial" w:cs="Arial"/>
                <w:sz w:val="20"/>
                <w:szCs w:val="20"/>
              </w:rPr>
              <w:t>2 (no element)</w:t>
            </w:r>
          </w:p>
          <w:p w14:paraId="5620FFD0" w14:textId="77777777" w:rsidR="001F1F3C" w:rsidRPr="00D26003" w:rsidRDefault="001F1F3C" w:rsidP="00C734E7">
            <w:pPr>
              <w:rPr>
                <w:rFonts w:ascii="Arial" w:hAnsi="Arial" w:cs="Arial"/>
                <w:sz w:val="20"/>
                <w:szCs w:val="20"/>
              </w:rPr>
            </w:pPr>
            <w:r w:rsidRPr="00D26003">
              <w:rPr>
                <w:rFonts w:ascii="Arial" w:hAnsi="Arial" w:cs="Arial"/>
                <w:sz w:val="20"/>
                <w:szCs w:val="20"/>
              </w:rPr>
              <w:t>3 (USL)</w:t>
            </w:r>
          </w:p>
        </w:tc>
        <w:tc>
          <w:tcPr>
            <w:tcW w:w="1268" w:type="dxa"/>
          </w:tcPr>
          <w:p w14:paraId="4B02B404" w14:textId="77777777" w:rsidR="001F1F3C" w:rsidRPr="00D26003" w:rsidRDefault="001F1F3C" w:rsidP="00C734E7">
            <w:pPr>
              <w:rPr>
                <w:rFonts w:ascii="Arial" w:hAnsi="Arial" w:cs="Arial"/>
                <w:sz w:val="20"/>
                <w:szCs w:val="20"/>
              </w:rPr>
            </w:pPr>
            <w:r w:rsidRPr="00D26003">
              <w:rPr>
                <w:rFonts w:ascii="Arial" w:hAnsi="Arial" w:cs="Arial"/>
                <w:sz w:val="20"/>
                <w:szCs w:val="20"/>
              </w:rPr>
              <w:t>5</w:t>
            </w:r>
          </w:p>
        </w:tc>
        <w:tc>
          <w:tcPr>
            <w:tcW w:w="1369" w:type="dxa"/>
          </w:tcPr>
          <w:p w14:paraId="41C0D50B" w14:textId="77777777" w:rsidR="001F1F3C" w:rsidRPr="00D26003" w:rsidRDefault="001F1F3C" w:rsidP="00C734E7">
            <w:pPr>
              <w:rPr>
                <w:rFonts w:ascii="Arial" w:hAnsi="Arial" w:cs="Arial"/>
                <w:sz w:val="20"/>
                <w:szCs w:val="20"/>
              </w:rPr>
            </w:pPr>
            <w:r w:rsidRPr="00D26003">
              <w:rPr>
                <w:rFonts w:ascii="Arial" w:hAnsi="Arial" w:cs="Arial"/>
                <w:sz w:val="20"/>
                <w:szCs w:val="20"/>
              </w:rPr>
              <w:t>5</w:t>
            </w:r>
          </w:p>
          <w:p w14:paraId="1DB9EDCD" w14:textId="77777777" w:rsidR="001F1F3C" w:rsidRPr="00D26003" w:rsidRDefault="001F1F3C" w:rsidP="00C734E7">
            <w:pPr>
              <w:rPr>
                <w:rFonts w:ascii="Arial" w:hAnsi="Arial" w:cs="Arial"/>
                <w:sz w:val="20"/>
                <w:szCs w:val="20"/>
              </w:rPr>
            </w:pPr>
            <w:r w:rsidRPr="00D26003">
              <w:rPr>
                <w:rFonts w:ascii="Arial" w:hAnsi="Arial" w:cs="Arial"/>
                <w:sz w:val="20"/>
                <w:szCs w:val="20"/>
              </w:rPr>
              <w:t>(up to 1 element)</w:t>
            </w:r>
          </w:p>
        </w:tc>
        <w:tc>
          <w:tcPr>
            <w:tcW w:w="997" w:type="dxa"/>
          </w:tcPr>
          <w:p w14:paraId="00E48D0B" w14:textId="77777777" w:rsidR="001F1F3C" w:rsidRPr="00D26003" w:rsidRDefault="001F1F3C" w:rsidP="00C734E7">
            <w:pPr>
              <w:rPr>
                <w:rFonts w:ascii="Arial" w:hAnsi="Arial" w:cs="Arial"/>
                <w:sz w:val="20"/>
                <w:szCs w:val="20"/>
              </w:rPr>
            </w:pPr>
            <w:r w:rsidRPr="00D26003">
              <w:rPr>
                <w:rFonts w:ascii="Arial" w:hAnsi="Arial" w:cs="Arial"/>
                <w:sz w:val="20"/>
                <w:szCs w:val="20"/>
              </w:rPr>
              <w:t>53</w:t>
            </w:r>
          </w:p>
        </w:tc>
        <w:tc>
          <w:tcPr>
            <w:tcW w:w="1111" w:type="dxa"/>
          </w:tcPr>
          <w:p w14:paraId="5B03A1FB" w14:textId="77777777" w:rsidR="001F1F3C" w:rsidRPr="00D26003" w:rsidRDefault="001F1F3C" w:rsidP="00C734E7">
            <w:pPr>
              <w:rPr>
                <w:rFonts w:ascii="Arial" w:hAnsi="Arial" w:cs="Arial"/>
                <w:sz w:val="20"/>
                <w:szCs w:val="20"/>
              </w:rPr>
            </w:pPr>
            <w:r w:rsidRPr="00D26003">
              <w:rPr>
                <w:rFonts w:ascii="Arial" w:hAnsi="Arial" w:cs="Arial"/>
                <w:sz w:val="20"/>
                <w:szCs w:val="20"/>
              </w:rPr>
              <w:t>20 States</w:t>
            </w:r>
            <w:r w:rsidRPr="00D26003">
              <w:rPr>
                <w:rStyle w:val="Appelnotedebasdep"/>
                <w:rFonts w:ascii="Arial" w:hAnsi="Arial" w:cs="Arial"/>
                <w:sz w:val="20"/>
                <w:szCs w:val="20"/>
              </w:rPr>
              <w:footnoteReference w:id="14"/>
            </w:r>
          </w:p>
        </w:tc>
        <w:tc>
          <w:tcPr>
            <w:tcW w:w="889" w:type="dxa"/>
          </w:tcPr>
          <w:p w14:paraId="356A02DC"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r>
      <w:tr w:rsidR="001F1F3C" w:rsidRPr="00D26003" w14:paraId="451911DB" w14:textId="77777777" w:rsidTr="009764F5">
        <w:tc>
          <w:tcPr>
            <w:tcW w:w="833" w:type="dxa"/>
            <w:shd w:val="clear" w:color="auto" w:fill="D9D9D9"/>
          </w:tcPr>
          <w:p w14:paraId="79D54625" w14:textId="77777777" w:rsidR="001F1F3C" w:rsidRPr="00D26003" w:rsidRDefault="001F1F3C" w:rsidP="00C734E7">
            <w:pPr>
              <w:ind w:left="-113"/>
              <w:jc w:val="center"/>
              <w:rPr>
                <w:rFonts w:ascii="Arial" w:hAnsi="Arial" w:cs="Arial"/>
                <w:b/>
              </w:rPr>
            </w:pPr>
            <w:r w:rsidRPr="00D26003">
              <w:rPr>
                <w:rFonts w:ascii="Arial" w:hAnsi="Arial" w:cs="Arial"/>
                <w:b/>
              </w:rPr>
              <w:t>2020</w:t>
            </w:r>
          </w:p>
        </w:tc>
        <w:tc>
          <w:tcPr>
            <w:tcW w:w="2002" w:type="dxa"/>
          </w:tcPr>
          <w:p w14:paraId="05F10124" w14:textId="77777777" w:rsidR="001F1F3C" w:rsidRPr="00D26003" w:rsidRDefault="001F1F3C" w:rsidP="00C734E7">
            <w:pPr>
              <w:rPr>
                <w:rFonts w:ascii="Arial" w:hAnsi="Arial" w:cs="Arial"/>
                <w:sz w:val="20"/>
                <w:szCs w:val="20"/>
              </w:rPr>
            </w:pPr>
            <w:r w:rsidRPr="00D26003">
              <w:rPr>
                <w:rFonts w:ascii="Arial" w:hAnsi="Arial" w:cs="Arial"/>
                <w:sz w:val="20"/>
                <w:szCs w:val="20"/>
              </w:rPr>
              <w:t>20 States</w:t>
            </w:r>
            <w:r w:rsidRPr="00D26003">
              <w:rPr>
                <w:rStyle w:val="Appelnotedebasdep"/>
                <w:rFonts w:ascii="Arial" w:hAnsi="Arial" w:cs="Arial"/>
                <w:sz w:val="20"/>
                <w:szCs w:val="20"/>
              </w:rPr>
              <w:footnoteReference w:id="15"/>
            </w:r>
            <w:r w:rsidRPr="00D26003">
              <w:rPr>
                <w:rFonts w:ascii="Arial" w:hAnsi="Arial" w:cs="Arial"/>
                <w:sz w:val="20"/>
                <w:szCs w:val="20"/>
              </w:rPr>
              <w:t xml:space="preserve"> having submitted a national file which could not be treated in 2019;</w:t>
            </w:r>
          </w:p>
          <w:p w14:paraId="76F69D5C" w14:textId="3AB966F8" w:rsidR="001F1F3C" w:rsidRPr="00D26003" w:rsidRDefault="001F1F3C">
            <w:pPr>
              <w:rPr>
                <w:rFonts w:ascii="Arial" w:hAnsi="Arial" w:cs="Arial"/>
                <w:sz w:val="20"/>
                <w:szCs w:val="20"/>
              </w:rPr>
            </w:pPr>
            <w:r w:rsidRPr="00D26003">
              <w:rPr>
                <w:rFonts w:ascii="Arial" w:hAnsi="Arial" w:cs="Arial"/>
                <w:sz w:val="20"/>
                <w:szCs w:val="20"/>
              </w:rPr>
              <w:t>15 States</w:t>
            </w:r>
            <w:r w:rsidRPr="00D26003">
              <w:rPr>
                <w:rStyle w:val="Appelnotedebasdep"/>
                <w:rFonts w:ascii="Arial" w:hAnsi="Arial" w:cs="Arial"/>
                <w:sz w:val="20"/>
                <w:szCs w:val="20"/>
              </w:rPr>
              <w:footnoteReference w:id="16"/>
            </w:r>
            <w:r w:rsidRPr="00D26003">
              <w:rPr>
                <w:rFonts w:ascii="Arial" w:hAnsi="Arial" w:cs="Arial"/>
                <w:sz w:val="20"/>
                <w:szCs w:val="20"/>
              </w:rPr>
              <w:t xml:space="preserve"> which did not submit a national file for the 2019 cycle</w:t>
            </w:r>
          </w:p>
        </w:tc>
        <w:tc>
          <w:tcPr>
            <w:tcW w:w="1511" w:type="dxa"/>
          </w:tcPr>
          <w:p w14:paraId="6DFFC1FD" w14:textId="77777777" w:rsidR="001F1F3C" w:rsidRPr="00D26003" w:rsidRDefault="001F1F3C" w:rsidP="00C734E7">
            <w:pPr>
              <w:rPr>
                <w:rFonts w:ascii="Arial" w:hAnsi="Arial" w:cs="Arial"/>
                <w:sz w:val="20"/>
                <w:szCs w:val="20"/>
              </w:rPr>
            </w:pPr>
            <w:r w:rsidRPr="00D26003">
              <w:rPr>
                <w:rFonts w:ascii="Arial" w:hAnsi="Arial" w:cs="Arial"/>
                <w:sz w:val="20"/>
                <w:szCs w:val="20"/>
              </w:rPr>
              <w:t>2 (USL)</w:t>
            </w:r>
          </w:p>
        </w:tc>
        <w:tc>
          <w:tcPr>
            <w:tcW w:w="1268" w:type="dxa"/>
          </w:tcPr>
          <w:p w14:paraId="07C1F296" w14:textId="77777777" w:rsidR="001F1F3C" w:rsidRPr="00D26003" w:rsidRDefault="001F1F3C" w:rsidP="00C734E7">
            <w:pPr>
              <w:rPr>
                <w:rFonts w:ascii="Arial" w:hAnsi="Arial" w:cs="Arial"/>
                <w:sz w:val="20"/>
                <w:szCs w:val="20"/>
              </w:rPr>
            </w:pPr>
            <w:r w:rsidRPr="00D26003">
              <w:rPr>
                <w:rFonts w:ascii="Arial" w:hAnsi="Arial" w:cs="Arial"/>
                <w:sz w:val="20"/>
                <w:szCs w:val="20"/>
              </w:rPr>
              <w:t>16</w:t>
            </w:r>
          </w:p>
        </w:tc>
        <w:tc>
          <w:tcPr>
            <w:tcW w:w="1369" w:type="dxa"/>
          </w:tcPr>
          <w:p w14:paraId="368418B8"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c>
          <w:tcPr>
            <w:tcW w:w="997" w:type="dxa"/>
          </w:tcPr>
          <w:p w14:paraId="04B5157A" w14:textId="77777777" w:rsidR="001F1F3C" w:rsidRPr="00D26003" w:rsidRDefault="001F1F3C" w:rsidP="00C734E7">
            <w:pPr>
              <w:rPr>
                <w:rFonts w:ascii="Arial" w:hAnsi="Arial" w:cs="Arial"/>
                <w:sz w:val="20"/>
                <w:szCs w:val="20"/>
              </w:rPr>
            </w:pPr>
            <w:r w:rsidRPr="00D26003">
              <w:rPr>
                <w:rFonts w:ascii="Arial" w:hAnsi="Arial" w:cs="Arial"/>
                <w:sz w:val="20"/>
                <w:szCs w:val="20"/>
              </w:rPr>
              <w:t>53</w:t>
            </w:r>
          </w:p>
        </w:tc>
        <w:tc>
          <w:tcPr>
            <w:tcW w:w="1111" w:type="dxa"/>
          </w:tcPr>
          <w:p w14:paraId="32059980" w14:textId="77777777" w:rsidR="001F1F3C" w:rsidRPr="00D26003" w:rsidRDefault="001F1F3C" w:rsidP="00C734E7">
            <w:pPr>
              <w:rPr>
                <w:rFonts w:ascii="Arial" w:hAnsi="Arial" w:cs="Arial"/>
                <w:sz w:val="20"/>
                <w:szCs w:val="20"/>
              </w:rPr>
            </w:pPr>
            <w:r w:rsidRPr="00D26003">
              <w:rPr>
                <w:rFonts w:ascii="Arial" w:hAnsi="Arial" w:cs="Arial"/>
                <w:sz w:val="20"/>
                <w:szCs w:val="20"/>
              </w:rPr>
              <w:t>27 States</w:t>
            </w:r>
            <w:r w:rsidRPr="00D26003">
              <w:rPr>
                <w:rStyle w:val="Appelnotedebasdep"/>
                <w:rFonts w:ascii="Arial" w:hAnsi="Arial" w:cs="Arial"/>
                <w:sz w:val="20"/>
                <w:szCs w:val="20"/>
              </w:rPr>
              <w:footnoteReference w:id="17"/>
            </w:r>
          </w:p>
        </w:tc>
        <w:tc>
          <w:tcPr>
            <w:tcW w:w="889" w:type="dxa"/>
          </w:tcPr>
          <w:p w14:paraId="1BDE9579"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r>
      <w:tr w:rsidR="001F1F3C" w:rsidRPr="00D26003" w14:paraId="37589D30" w14:textId="77777777" w:rsidTr="009764F5">
        <w:tc>
          <w:tcPr>
            <w:tcW w:w="833" w:type="dxa"/>
            <w:shd w:val="clear" w:color="auto" w:fill="D9D9D9"/>
          </w:tcPr>
          <w:p w14:paraId="6DCEE2A9" w14:textId="77777777" w:rsidR="001F1F3C" w:rsidRPr="00D26003" w:rsidRDefault="001F1F3C" w:rsidP="00C734E7">
            <w:pPr>
              <w:ind w:left="-113"/>
              <w:jc w:val="center"/>
              <w:rPr>
                <w:rFonts w:ascii="Arial" w:hAnsi="Arial" w:cs="Arial"/>
                <w:b/>
              </w:rPr>
            </w:pPr>
            <w:r w:rsidRPr="00D26003">
              <w:rPr>
                <w:rFonts w:ascii="Arial" w:hAnsi="Arial" w:cs="Arial"/>
                <w:b/>
              </w:rPr>
              <w:t>2021</w:t>
            </w:r>
          </w:p>
        </w:tc>
        <w:tc>
          <w:tcPr>
            <w:tcW w:w="2002" w:type="dxa"/>
          </w:tcPr>
          <w:p w14:paraId="34DA6103" w14:textId="77777777" w:rsidR="001F1F3C" w:rsidRPr="00D26003" w:rsidRDefault="001F1F3C" w:rsidP="00C734E7">
            <w:pPr>
              <w:rPr>
                <w:rFonts w:ascii="Arial" w:hAnsi="Arial" w:cs="Arial"/>
                <w:sz w:val="20"/>
                <w:szCs w:val="20"/>
              </w:rPr>
            </w:pPr>
            <w:r w:rsidRPr="00D26003">
              <w:rPr>
                <w:rFonts w:ascii="Arial" w:hAnsi="Arial" w:cs="Arial"/>
                <w:sz w:val="20"/>
                <w:szCs w:val="20"/>
              </w:rPr>
              <w:t>27 States</w:t>
            </w:r>
            <w:r w:rsidRPr="00D26003">
              <w:rPr>
                <w:rStyle w:val="Appelnotedebasdep"/>
                <w:rFonts w:ascii="Arial" w:hAnsi="Arial" w:cs="Arial"/>
                <w:sz w:val="20"/>
                <w:szCs w:val="20"/>
              </w:rPr>
              <w:footnoteReference w:id="18"/>
            </w:r>
            <w:r w:rsidRPr="00D26003">
              <w:rPr>
                <w:rFonts w:ascii="Arial" w:hAnsi="Arial" w:cs="Arial"/>
                <w:sz w:val="20"/>
                <w:szCs w:val="20"/>
              </w:rPr>
              <w:t xml:space="preserve"> having submitted a national file which could not be treated in 2020;</w:t>
            </w:r>
          </w:p>
          <w:p w14:paraId="7C32F13D" w14:textId="15613770" w:rsidR="001F1F3C" w:rsidRPr="00D26003" w:rsidRDefault="001F1F3C">
            <w:pPr>
              <w:rPr>
                <w:rFonts w:ascii="Arial" w:hAnsi="Arial" w:cs="Arial"/>
                <w:sz w:val="20"/>
                <w:szCs w:val="20"/>
              </w:rPr>
            </w:pPr>
            <w:r w:rsidRPr="00D26003">
              <w:rPr>
                <w:rFonts w:ascii="Arial" w:hAnsi="Arial" w:cs="Arial"/>
                <w:sz w:val="20"/>
                <w:szCs w:val="20"/>
              </w:rPr>
              <w:t>26 States</w:t>
            </w:r>
            <w:r w:rsidRPr="00D26003">
              <w:rPr>
                <w:rStyle w:val="Appelnotedebasdep"/>
                <w:rFonts w:ascii="Arial" w:hAnsi="Arial" w:cs="Arial"/>
                <w:sz w:val="20"/>
                <w:szCs w:val="20"/>
              </w:rPr>
              <w:footnoteReference w:id="19"/>
            </w:r>
            <w:r w:rsidRPr="00D26003">
              <w:rPr>
                <w:rFonts w:ascii="Arial" w:hAnsi="Arial" w:cs="Arial"/>
                <w:sz w:val="20"/>
                <w:szCs w:val="20"/>
              </w:rPr>
              <w:t xml:space="preserve"> which did not submit a national file for the 2020 cycle</w:t>
            </w:r>
          </w:p>
        </w:tc>
        <w:tc>
          <w:tcPr>
            <w:tcW w:w="1511" w:type="dxa"/>
          </w:tcPr>
          <w:p w14:paraId="495DAF6A" w14:textId="77777777" w:rsidR="001F1F3C" w:rsidRPr="00D26003" w:rsidRDefault="001F1F3C" w:rsidP="00C734E7">
            <w:pPr>
              <w:rPr>
                <w:rFonts w:ascii="Arial" w:hAnsi="Arial" w:cs="Arial"/>
                <w:sz w:val="20"/>
                <w:szCs w:val="20"/>
              </w:rPr>
            </w:pPr>
            <w:r w:rsidRPr="00D26003">
              <w:rPr>
                <w:rFonts w:ascii="Arial" w:hAnsi="Arial" w:cs="Arial"/>
                <w:sz w:val="20"/>
                <w:szCs w:val="20"/>
              </w:rPr>
              <w:t>2 (national files, no element)</w:t>
            </w:r>
          </w:p>
          <w:p w14:paraId="2A1F51E5" w14:textId="77777777" w:rsidR="001F1F3C" w:rsidRPr="00D26003" w:rsidRDefault="001F1F3C" w:rsidP="00C734E7">
            <w:pPr>
              <w:rPr>
                <w:rFonts w:ascii="Arial" w:hAnsi="Arial" w:cs="Arial"/>
                <w:sz w:val="20"/>
                <w:szCs w:val="20"/>
              </w:rPr>
            </w:pPr>
            <w:r w:rsidRPr="00D26003">
              <w:rPr>
                <w:rFonts w:ascii="Arial" w:hAnsi="Arial" w:cs="Arial"/>
                <w:sz w:val="20"/>
                <w:szCs w:val="20"/>
              </w:rPr>
              <w:t>5 (multinational files including a State with no element)</w:t>
            </w:r>
          </w:p>
        </w:tc>
        <w:tc>
          <w:tcPr>
            <w:tcW w:w="1268" w:type="dxa"/>
          </w:tcPr>
          <w:p w14:paraId="0E95969C"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c>
          <w:tcPr>
            <w:tcW w:w="1369" w:type="dxa"/>
          </w:tcPr>
          <w:p w14:paraId="1BBF9F0A"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c>
          <w:tcPr>
            <w:tcW w:w="997" w:type="dxa"/>
          </w:tcPr>
          <w:p w14:paraId="2144F73C" w14:textId="77777777" w:rsidR="001F1F3C" w:rsidRPr="00D26003" w:rsidRDefault="001F1F3C" w:rsidP="00C734E7">
            <w:pPr>
              <w:rPr>
                <w:rFonts w:ascii="Arial" w:hAnsi="Arial" w:cs="Arial"/>
                <w:sz w:val="20"/>
                <w:szCs w:val="20"/>
              </w:rPr>
            </w:pPr>
            <w:r w:rsidRPr="00D26003">
              <w:rPr>
                <w:rFonts w:ascii="Arial" w:hAnsi="Arial" w:cs="Arial"/>
                <w:sz w:val="20"/>
                <w:szCs w:val="20"/>
              </w:rPr>
              <w:t>60</w:t>
            </w:r>
          </w:p>
        </w:tc>
        <w:tc>
          <w:tcPr>
            <w:tcW w:w="1111" w:type="dxa"/>
          </w:tcPr>
          <w:p w14:paraId="6DCD7FE7" w14:textId="77777777" w:rsidR="001F1F3C" w:rsidRPr="00D26003" w:rsidRDefault="001F1F3C" w:rsidP="00C734E7">
            <w:pPr>
              <w:rPr>
                <w:rFonts w:ascii="Arial" w:hAnsi="Arial" w:cs="Arial"/>
                <w:sz w:val="20"/>
                <w:szCs w:val="20"/>
              </w:rPr>
            </w:pPr>
            <w:r w:rsidRPr="00D26003">
              <w:rPr>
                <w:rFonts w:ascii="Arial" w:hAnsi="Arial" w:cs="Arial"/>
                <w:sz w:val="20"/>
                <w:szCs w:val="20"/>
              </w:rPr>
              <w:t>21 States</w:t>
            </w:r>
            <w:r w:rsidRPr="00D26003">
              <w:rPr>
                <w:rStyle w:val="Appelnotedebasdep"/>
                <w:rFonts w:ascii="Arial" w:hAnsi="Arial" w:cs="Arial"/>
                <w:sz w:val="20"/>
                <w:szCs w:val="20"/>
              </w:rPr>
              <w:footnoteReference w:id="20"/>
            </w:r>
          </w:p>
        </w:tc>
        <w:tc>
          <w:tcPr>
            <w:tcW w:w="889" w:type="dxa"/>
          </w:tcPr>
          <w:p w14:paraId="7FB0A937" w14:textId="6DB8E14E" w:rsidR="001F1F3C" w:rsidRPr="00D26003" w:rsidRDefault="001F1F3C" w:rsidP="00C734E7">
            <w:pPr>
              <w:rPr>
                <w:rFonts w:ascii="Arial" w:hAnsi="Arial" w:cs="Arial"/>
                <w:sz w:val="20"/>
                <w:szCs w:val="20"/>
              </w:rPr>
            </w:pPr>
            <w:r w:rsidRPr="00D26003">
              <w:rPr>
                <w:rFonts w:ascii="Arial" w:hAnsi="Arial" w:cs="Arial"/>
                <w:sz w:val="20"/>
                <w:szCs w:val="20"/>
              </w:rPr>
              <w:t>11</w:t>
            </w:r>
          </w:p>
        </w:tc>
      </w:tr>
      <w:tr w:rsidR="001F1F3C" w:rsidRPr="00D26003" w14:paraId="52C7F7D8" w14:textId="77777777" w:rsidTr="009764F5">
        <w:tc>
          <w:tcPr>
            <w:tcW w:w="833" w:type="dxa"/>
            <w:shd w:val="clear" w:color="auto" w:fill="D9D9D9"/>
          </w:tcPr>
          <w:p w14:paraId="5D931E2A" w14:textId="77777777" w:rsidR="001F1F3C" w:rsidRPr="00D26003" w:rsidRDefault="001F1F3C" w:rsidP="00C734E7">
            <w:pPr>
              <w:ind w:left="-113"/>
              <w:jc w:val="center"/>
              <w:rPr>
                <w:rFonts w:ascii="Arial" w:hAnsi="Arial" w:cs="Arial"/>
                <w:b/>
              </w:rPr>
            </w:pPr>
            <w:r w:rsidRPr="00D26003">
              <w:rPr>
                <w:rFonts w:ascii="Arial" w:hAnsi="Arial" w:cs="Arial"/>
                <w:b/>
              </w:rPr>
              <w:lastRenderedPageBreak/>
              <w:t>2022</w:t>
            </w:r>
          </w:p>
        </w:tc>
        <w:tc>
          <w:tcPr>
            <w:tcW w:w="2002" w:type="dxa"/>
          </w:tcPr>
          <w:p w14:paraId="6FF92864" w14:textId="77777777" w:rsidR="001F1F3C" w:rsidRPr="00D26003" w:rsidRDefault="001F1F3C" w:rsidP="00C734E7">
            <w:pPr>
              <w:rPr>
                <w:rFonts w:ascii="Arial" w:hAnsi="Arial" w:cs="Arial"/>
                <w:sz w:val="20"/>
                <w:szCs w:val="20"/>
              </w:rPr>
            </w:pPr>
            <w:r w:rsidRPr="00D26003">
              <w:rPr>
                <w:rFonts w:ascii="Arial" w:hAnsi="Arial" w:cs="Arial"/>
                <w:sz w:val="20"/>
                <w:szCs w:val="20"/>
              </w:rPr>
              <w:t>20 States</w:t>
            </w:r>
            <w:r w:rsidRPr="00D26003">
              <w:rPr>
                <w:rStyle w:val="Appelnotedebasdep"/>
                <w:rFonts w:ascii="Arial" w:hAnsi="Arial" w:cs="Arial"/>
                <w:sz w:val="20"/>
                <w:szCs w:val="20"/>
              </w:rPr>
              <w:footnoteReference w:id="21"/>
            </w:r>
            <w:r w:rsidRPr="00D26003">
              <w:rPr>
                <w:rFonts w:ascii="Arial" w:hAnsi="Arial" w:cs="Arial"/>
                <w:sz w:val="20"/>
                <w:szCs w:val="20"/>
              </w:rPr>
              <w:t xml:space="preserve"> having submitted a national file which could not be treated in 2021;</w:t>
            </w:r>
          </w:p>
          <w:p w14:paraId="71E25A3D" w14:textId="2FD3628D" w:rsidR="001F1F3C" w:rsidRPr="00D26003" w:rsidRDefault="001F1F3C">
            <w:pPr>
              <w:rPr>
                <w:rFonts w:ascii="Arial" w:hAnsi="Arial" w:cs="Arial"/>
                <w:sz w:val="20"/>
                <w:szCs w:val="20"/>
              </w:rPr>
            </w:pPr>
            <w:r w:rsidRPr="00D26003">
              <w:rPr>
                <w:rFonts w:ascii="Arial" w:hAnsi="Arial" w:cs="Arial"/>
                <w:sz w:val="20"/>
                <w:szCs w:val="20"/>
              </w:rPr>
              <w:t>18 States</w:t>
            </w:r>
            <w:r w:rsidRPr="00D26003">
              <w:rPr>
                <w:rStyle w:val="Appelnotedebasdep"/>
                <w:rFonts w:ascii="Arial" w:hAnsi="Arial" w:cs="Arial"/>
                <w:sz w:val="20"/>
                <w:szCs w:val="20"/>
              </w:rPr>
              <w:footnoteReference w:id="22"/>
            </w:r>
            <w:r w:rsidRPr="00D26003">
              <w:rPr>
                <w:rFonts w:ascii="Arial" w:hAnsi="Arial" w:cs="Arial"/>
                <w:sz w:val="20"/>
                <w:szCs w:val="20"/>
              </w:rPr>
              <w:t xml:space="preserve"> which did not submit a national file for the 2021 cycle</w:t>
            </w:r>
          </w:p>
        </w:tc>
        <w:tc>
          <w:tcPr>
            <w:tcW w:w="1511" w:type="dxa"/>
          </w:tcPr>
          <w:p w14:paraId="13ACC847" w14:textId="77777777" w:rsidR="001F1F3C" w:rsidRPr="00D26003" w:rsidRDefault="001F1F3C" w:rsidP="00C734E7">
            <w:pPr>
              <w:rPr>
                <w:rFonts w:ascii="Arial" w:hAnsi="Arial" w:cs="Arial"/>
                <w:sz w:val="20"/>
                <w:szCs w:val="20"/>
              </w:rPr>
            </w:pPr>
            <w:r w:rsidRPr="00D26003">
              <w:rPr>
                <w:rFonts w:ascii="Arial" w:hAnsi="Arial" w:cs="Arial"/>
                <w:sz w:val="20"/>
                <w:szCs w:val="20"/>
              </w:rPr>
              <w:t>2 (USL)</w:t>
            </w:r>
          </w:p>
          <w:p w14:paraId="668C17D8" w14:textId="77777777" w:rsidR="001F1F3C" w:rsidRPr="00D26003" w:rsidRDefault="001F1F3C" w:rsidP="00C734E7">
            <w:pPr>
              <w:rPr>
                <w:rFonts w:ascii="Arial" w:hAnsi="Arial" w:cs="Arial"/>
                <w:sz w:val="20"/>
                <w:szCs w:val="20"/>
              </w:rPr>
            </w:pPr>
            <w:r w:rsidRPr="00D26003">
              <w:rPr>
                <w:rFonts w:ascii="Arial" w:hAnsi="Arial" w:cs="Arial"/>
                <w:sz w:val="20"/>
                <w:szCs w:val="20"/>
              </w:rPr>
              <w:t>5 (multinational files including a State with no element)</w:t>
            </w:r>
          </w:p>
          <w:p w14:paraId="277BA152" w14:textId="77777777" w:rsidR="001F1F3C" w:rsidRPr="00D26003" w:rsidRDefault="001F1F3C" w:rsidP="00C734E7">
            <w:pPr>
              <w:rPr>
                <w:rFonts w:ascii="Arial" w:hAnsi="Arial" w:cs="Arial"/>
                <w:sz w:val="20"/>
                <w:szCs w:val="20"/>
              </w:rPr>
            </w:pPr>
          </w:p>
        </w:tc>
        <w:tc>
          <w:tcPr>
            <w:tcW w:w="1268" w:type="dxa"/>
          </w:tcPr>
          <w:p w14:paraId="4CE89730" w14:textId="77777777" w:rsidR="001F1F3C" w:rsidRPr="00D26003" w:rsidRDefault="001F1F3C" w:rsidP="00C734E7">
            <w:pPr>
              <w:rPr>
                <w:rFonts w:ascii="Arial" w:hAnsi="Arial" w:cs="Arial"/>
                <w:sz w:val="20"/>
                <w:szCs w:val="20"/>
              </w:rPr>
            </w:pPr>
            <w:r w:rsidRPr="00D26003">
              <w:rPr>
                <w:rFonts w:ascii="Arial" w:hAnsi="Arial" w:cs="Arial"/>
                <w:sz w:val="20"/>
                <w:szCs w:val="20"/>
              </w:rPr>
              <w:t>14</w:t>
            </w:r>
          </w:p>
        </w:tc>
        <w:tc>
          <w:tcPr>
            <w:tcW w:w="1369" w:type="dxa"/>
          </w:tcPr>
          <w:p w14:paraId="11FCE275" w14:textId="77777777" w:rsidR="001F1F3C" w:rsidRPr="00D26003" w:rsidRDefault="001F1F3C" w:rsidP="00C734E7">
            <w:pPr>
              <w:rPr>
                <w:rFonts w:ascii="Arial" w:hAnsi="Arial" w:cs="Arial"/>
                <w:sz w:val="20"/>
                <w:szCs w:val="20"/>
              </w:rPr>
            </w:pPr>
            <w:r w:rsidRPr="00D26003">
              <w:rPr>
                <w:rFonts w:ascii="Arial" w:hAnsi="Arial" w:cs="Arial"/>
                <w:sz w:val="20"/>
                <w:szCs w:val="20"/>
              </w:rPr>
              <w:t>0</w:t>
            </w:r>
          </w:p>
        </w:tc>
        <w:tc>
          <w:tcPr>
            <w:tcW w:w="997" w:type="dxa"/>
          </w:tcPr>
          <w:p w14:paraId="2D886A10" w14:textId="77777777" w:rsidR="001F1F3C" w:rsidRPr="00D26003" w:rsidRDefault="001F1F3C" w:rsidP="00C734E7">
            <w:pPr>
              <w:rPr>
                <w:rFonts w:ascii="Arial" w:hAnsi="Arial" w:cs="Arial"/>
                <w:sz w:val="20"/>
                <w:szCs w:val="20"/>
              </w:rPr>
            </w:pPr>
            <w:r w:rsidRPr="00D26003">
              <w:rPr>
                <w:rFonts w:ascii="Arial" w:hAnsi="Arial" w:cs="Arial"/>
                <w:sz w:val="20"/>
                <w:szCs w:val="20"/>
              </w:rPr>
              <w:t>59</w:t>
            </w:r>
          </w:p>
        </w:tc>
        <w:tc>
          <w:tcPr>
            <w:tcW w:w="1111" w:type="dxa"/>
          </w:tcPr>
          <w:p w14:paraId="6559AD32" w14:textId="77777777" w:rsidR="001F1F3C" w:rsidRPr="00D26003" w:rsidRDefault="001F1F3C" w:rsidP="00C734E7">
            <w:pPr>
              <w:rPr>
                <w:rFonts w:ascii="Arial" w:hAnsi="Arial" w:cs="Arial"/>
                <w:sz w:val="20"/>
                <w:szCs w:val="20"/>
              </w:rPr>
            </w:pPr>
            <w:r w:rsidRPr="00D26003">
              <w:rPr>
                <w:rFonts w:ascii="Arial" w:hAnsi="Arial" w:cs="Arial"/>
                <w:sz w:val="20"/>
                <w:szCs w:val="20"/>
              </w:rPr>
              <w:t>22 States</w:t>
            </w:r>
            <w:r w:rsidRPr="00D26003">
              <w:rPr>
                <w:rStyle w:val="Appelnotedebasdep"/>
                <w:rFonts w:ascii="Arial" w:hAnsi="Arial" w:cs="Arial"/>
                <w:sz w:val="20"/>
                <w:szCs w:val="20"/>
              </w:rPr>
              <w:footnoteReference w:id="23"/>
            </w:r>
          </w:p>
        </w:tc>
        <w:tc>
          <w:tcPr>
            <w:tcW w:w="889" w:type="dxa"/>
          </w:tcPr>
          <w:p w14:paraId="3C5638A5" w14:textId="77777777" w:rsidR="001F1F3C" w:rsidRPr="00D26003" w:rsidRDefault="001F1F3C" w:rsidP="00C734E7">
            <w:pPr>
              <w:rPr>
                <w:rFonts w:ascii="Arial" w:hAnsi="Arial" w:cs="Arial"/>
                <w:sz w:val="20"/>
                <w:szCs w:val="20"/>
              </w:rPr>
            </w:pPr>
            <w:r w:rsidRPr="00D26003">
              <w:rPr>
                <w:rFonts w:ascii="Arial" w:hAnsi="Arial" w:cs="Arial"/>
                <w:sz w:val="20"/>
                <w:szCs w:val="20"/>
              </w:rPr>
              <w:t>4</w:t>
            </w:r>
            <w:r w:rsidRPr="00D26003">
              <w:rPr>
                <w:rStyle w:val="Appelnotedebasdep"/>
                <w:rFonts w:ascii="Arial" w:hAnsi="Arial" w:cs="Arial"/>
                <w:sz w:val="20"/>
                <w:szCs w:val="20"/>
              </w:rPr>
              <w:footnoteReference w:id="24"/>
            </w:r>
          </w:p>
        </w:tc>
      </w:tr>
    </w:tbl>
    <w:p w14:paraId="7B3768E5" w14:textId="17C01B7F" w:rsidR="00563DDD" w:rsidRPr="00D26003" w:rsidRDefault="00563DDD" w:rsidP="00365B94">
      <w:pPr>
        <w:pStyle w:val="1GAPara"/>
        <w:numPr>
          <w:ilvl w:val="0"/>
          <w:numId w:val="0"/>
        </w:numPr>
        <w:ind w:left="567" w:hanging="567"/>
      </w:pPr>
    </w:p>
    <w:p w14:paraId="5DBE52CD" w14:textId="460DA166" w:rsidR="001B3587" w:rsidRPr="00D26003" w:rsidRDefault="001B3587" w:rsidP="00A955DA">
      <w:pPr>
        <w:pStyle w:val="1GAPara"/>
        <w:numPr>
          <w:ilvl w:val="0"/>
          <w:numId w:val="0"/>
        </w:numPr>
        <w:sectPr w:rsidR="001B3587" w:rsidRPr="00D26003" w:rsidSect="00B5152C">
          <w:footnotePr>
            <w:numRestart w:val="eachSect"/>
          </w:footnotePr>
          <w:pgSz w:w="11906" w:h="16838" w:code="9"/>
          <w:pgMar w:top="1134" w:right="1134" w:bottom="1418" w:left="1134" w:header="397" w:footer="284" w:gutter="0"/>
          <w:cols w:space="708"/>
          <w:docGrid w:linePitch="360"/>
        </w:sectPr>
      </w:pPr>
    </w:p>
    <w:p w14:paraId="3BACA497" w14:textId="2B071428" w:rsidR="00C4260A" w:rsidRPr="00D26003" w:rsidRDefault="00C4260A" w:rsidP="00C4260A">
      <w:pPr>
        <w:rPr>
          <w:rFonts w:ascii="Arial" w:hAnsi="Arial" w:cs="Arial"/>
          <w:b/>
          <w:bCs/>
          <w:snapToGrid w:val="0"/>
          <w:szCs w:val="22"/>
          <w:lang w:eastAsia="en-US"/>
        </w:rPr>
      </w:pPr>
      <w:bookmarkStart w:id="2" w:name="Annex2"/>
      <w:r w:rsidRPr="00D26003">
        <w:rPr>
          <w:rFonts w:ascii="Arial" w:hAnsi="Arial" w:cs="Arial"/>
          <w:b/>
          <w:bCs/>
          <w:snapToGrid w:val="0"/>
          <w:szCs w:val="22"/>
          <w:lang w:eastAsia="en-US"/>
        </w:rPr>
        <w:lastRenderedPageBreak/>
        <w:t>Annex II</w:t>
      </w:r>
      <w:bookmarkEnd w:id="2"/>
      <w:r w:rsidRPr="00D26003">
        <w:rPr>
          <w:rFonts w:ascii="Arial" w:hAnsi="Arial" w:cs="Arial"/>
          <w:b/>
          <w:bCs/>
          <w:snapToGrid w:val="0"/>
          <w:szCs w:val="22"/>
          <w:lang w:eastAsia="en-US"/>
        </w:rPr>
        <w:t>: Backlog files per Electoral Group</w:t>
      </w:r>
      <w:r w:rsidR="004720DA" w:rsidRPr="00D26003">
        <w:rPr>
          <w:rFonts w:ascii="Arial" w:hAnsi="Arial" w:cs="Arial"/>
          <w:b/>
          <w:bCs/>
          <w:snapToGrid w:val="0"/>
          <w:szCs w:val="22"/>
          <w:lang w:eastAsia="en-US"/>
        </w:rPr>
        <w:t xml:space="preserve"> (as at 31 March 2022)</w:t>
      </w:r>
    </w:p>
    <w:tbl>
      <w:tblPr>
        <w:tblStyle w:val="Grilledutableau"/>
        <w:tblW w:w="5037" w:type="pct"/>
        <w:tblInd w:w="-9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413"/>
        <w:gridCol w:w="2160"/>
        <w:gridCol w:w="2163"/>
        <w:gridCol w:w="2163"/>
        <w:gridCol w:w="2163"/>
        <w:gridCol w:w="2163"/>
        <w:gridCol w:w="2157"/>
      </w:tblGrid>
      <w:tr w:rsidR="00C4260A" w:rsidRPr="00D26003" w14:paraId="19A306AD" w14:textId="77777777" w:rsidTr="009764F5">
        <w:tc>
          <w:tcPr>
            <w:tcW w:w="491" w:type="pct"/>
            <w:shd w:val="clear" w:color="auto" w:fill="B8CCE4"/>
            <w:vAlign w:val="center"/>
          </w:tcPr>
          <w:p w14:paraId="234F268B"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Number of files</w:t>
            </w:r>
          </w:p>
        </w:tc>
        <w:tc>
          <w:tcPr>
            <w:tcW w:w="751" w:type="pct"/>
            <w:shd w:val="clear" w:color="auto" w:fill="B8CCE4"/>
            <w:vAlign w:val="center"/>
          </w:tcPr>
          <w:p w14:paraId="2E8679CA"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Group I</w:t>
            </w:r>
          </w:p>
          <w:p w14:paraId="77FB054F"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(22 States)</w:t>
            </w:r>
          </w:p>
        </w:tc>
        <w:tc>
          <w:tcPr>
            <w:tcW w:w="752" w:type="pct"/>
            <w:shd w:val="clear" w:color="auto" w:fill="B8CCE4"/>
            <w:vAlign w:val="center"/>
          </w:tcPr>
          <w:p w14:paraId="74079A1D"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Group II</w:t>
            </w:r>
          </w:p>
          <w:p w14:paraId="62B03275"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(24 States)</w:t>
            </w:r>
          </w:p>
        </w:tc>
        <w:tc>
          <w:tcPr>
            <w:tcW w:w="752" w:type="pct"/>
            <w:shd w:val="clear" w:color="auto" w:fill="B8CCE4"/>
            <w:vAlign w:val="center"/>
          </w:tcPr>
          <w:p w14:paraId="1C8CB050" w14:textId="77777777" w:rsidR="00C4260A" w:rsidRPr="00D26003" w:rsidRDefault="00C4260A" w:rsidP="00326637">
            <w:pPr>
              <w:pStyle w:val="1GAPara"/>
              <w:keepLines/>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Group III</w:t>
            </w:r>
          </w:p>
          <w:p w14:paraId="5C549F90" w14:textId="77777777" w:rsidR="00C4260A" w:rsidRPr="00D26003" w:rsidRDefault="00C4260A" w:rsidP="00326637">
            <w:pPr>
              <w:pStyle w:val="1GAPara"/>
              <w:keepLines/>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(32 States)</w:t>
            </w:r>
          </w:p>
        </w:tc>
        <w:tc>
          <w:tcPr>
            <w:tcW w:w="752" w:type="pct"/>
            <w:shd w:val="clear" w:color="auto" w:fill="B8CCE4"/>
            <w:vAlign w:val="center"/>
          </w:tcPr>
          <w:p w14:paraId="357A417D" w14:textId="77777777" w:rsidR="00C4260A" w:rsidRPr="00D26003" w:rsidRDefault="00C4260A" w:rsidP="00326637">
            <w:pPr>
              <w:pStyle w:val="1GAPara"/>
              <w:keepLines/>
              <w:numPr>
                <w:ilvl w:val="0"/>
                <w:numId w:val="0"/>
              </w:numPr>
              <w:adjustRightInd w:val="0"/>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Group IV</w:t>
            </w:r>
          </w:p>
          <w:p w14:paraId="2E2F1AA6" w14:textId="77777777" w:rsidR="00C4260A" w:rsidRPr="00D26003" w:rsidRDefault="00C4260A" w:rsidP="00326637">
            <w:pPr>
              <w:pStyle w:val="1GAPara"/>
              <w:keepLines/>
              <w:numPr>
                <w:ilvl w:val="0"/>
                <w:numId w:val="0"/>
              </w:numPr>
              <w:adjustRightInd w:val="0"/>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(40 States)</w:t>
            </w:r>
          </w:p>
        </w:tc>
        <w:tc>
          <w:tcPr>
            <w:tcW w:w="752" w:type="pct"/>
            <w:shd w:val="clear" w:color="auto" w:fill="B8CCE4"/>
            <w:vAlign w:val="center"/>
          </w:tcPr>
          <w:p w14:paraId="601E1BA8"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Group V(a)</w:t>
            </w:r>
          </w:p>
          <w:p w14:paraId="7E17F590"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(44 States)</w:t>
            </w:r>
          </w:p>
        </w:tc>
        <w:tc>
          <w:tcPr>
            <w:tcW w:w="752" w:type="pct"/>
            <w:shd w:val="clear" w:color="auto" w:fill="B8CCE4"/>
            <w:vAlign w:val="center"/>
          </w:tcPr>
          <w:p w14:paraId="783486FA"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Group V(b)</w:t>
            </w:r>
          </w:p>
          <w:p w14:paraId="122B13CB" w14:textId="77777777" w:rsidR="00C4260A" w:rsidRPr="00D26003" w:rsidRDefault="00C4260A" w:rsidP="00326637">
            <w:pPr>
              <w:pStyle w:val="1GAPara"/>
              <w:numPr>
                <w:ilvl w:val="0"/>
                <w:numId w:val="0"/>
              </w:numPr>
              <w:spacing w:after="0"/>
              <w:jc w:val="center"/>
              <w:rPr>
                <w:rFonts w:asciiTheme="minorBidi" w:hAnsiTheme="minorBidi" w:cstheme="minorBidi"/>
                <w:b/>
                <w:bCs/>
                <w:sz w:val="18"/>
                <w:szCs w:val="18"/>
              </w:rPr>
            </w:pPr>
            <w:r w:rsidRPr="00D26003">
              <w:rPr>
                <w:rFonts w:asciiTheme="minorBidi" w:hAnsiTheme="minorBidi" w:cstheme="minorBidi"/>
                <w:b/>
                <w:bCs/>
                <w:sz w:val="18"/>
                <w:szCs w:val="18"/>
              </w:rPr>
              <w:t>(18 States)</w:t>
            </w:r>
          </w:p>
        </w:tc>
      </w:tr>
      <w:tr w:rsidR="00C4260A" w:rsidRPr="00D26003" w14:paraId="75C4015B" w14:textId="77777777" w:rsidTr="009764F5">
        <w:tc>
          <w:tcPr>
            <w:tcW w:w="491" w:type="pct"/>
            <w:shd w:val="clear" w:color="auto" w:fill="D9D9D9"/>
          </w:tcPr>
          <w:p w14:paraId="1E43C99B"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No file</w:t>
            </w:r>
          </w:p>
        </w:tc>
        <w:tc>
          <w:tcPr>
            <w:tcW w:w="751" w:type="pct"/>
          </w:tcPr>
          <w:p w14:paraId="2999FFF9" w14:textId="07174AD8" w:rsidR="00C4260A" w:rsidRPr="00D26003" w:rsidRDefault="00C4260A" w:rsidP="00326637">
            <w:pPr>
              <w:pStyle w:val="1GAPara"/>
              <w:numPr>
                <w:ilvl w:val="0"/>
                <w:numId w:val="0"/>
              </w:numPr>
              <w:spacing w:after="0"/>
              <w:rPr>
                <w:rFonts w:asciiTheme="minorBidi" w:hAnsiTheme="minorBidi" w:cstheme="minorBidi"/>
                <w:sz w:val="18"/>
                <w:szCs w:val="18"/>
              </w:rPr>
            </w:pPr>
            <w:r w:rsidRPr="00D26003">
              <w:rPr>
                <w:rFonts w:asciiTheme="minorBidi" w:hAnsiTheme="minorBidi" w:cstheme="minorBidi"/>
                <w:sz w:val="18"/>
                <w:szCs w:val="18"/>
              </w:rPr>
              <w:t>Andorra, Austria, Cyprus, Denmark, Finland, Germany, Greece, Iceland, Ireland, Luxembourg, Monaco, Norway, Portugal, Spain, Sweden Switzerland (16</w:t>
            </w:r>
            <w:r w:rsidRPr="00D26003">
              <w:t> </w:t>
            </w:r>
            <w:r w:rsidRPr="00D26003">
              <w:rPr>
                <w:rFonts w:asciiTheme="minorBidi" w:hAnsiTheme="minorBidi" w:cstheme="minorBidi"/>
                <w:sz w:val="18"/>
                <w:szCs w:val="18"/>
              </w:rPr>
              <w:t>States; 72.73%)</w:t>
            </w:r>
          </w:p>
        </w:tc>
        <w:tc>
          <w:tcPr>
            <w:tcW w:w="752" w:type="pct"/>
          </w:tcPr>
          <w:p w14:paraId="13FDC3EF" w14:textId="62B0E0C2" w:rsidR="00C4260A" w:rsidRPr="00D26003" w:rsidRDefault="00C4260A" w:rsidP="00326637">
            <w:pPr>
              <w:pStyle w:val="1GAPara"/>
              <w:numPr>
                <w:ilvl w:val="0"/>
                <w:numId w:val="0"/>
              </w:numPr>
              <w:spacing w:after="0"/>
              <w:rPr>
                <w:rFonts w:asciiTheme="minorBidi" w:hAnsiTheme="minorBidi" w:cstheme="minorBidi"/>
                <w:sz w:val="18"/>
                <w:szCs w:val="18"/>
              </w:rPr>
            </w:pPr>
            <w:r w:rsidRPr="00D26003">
              <w:rPr>
                <w:rFonts w:asciiTheme="minorBidi" w:hAnsiTheme="minorBidi" w:cstheme="minorBidi"/>
                <w:snapToGrid/>
                <w:sz w:val="18"/>
                <w:szCs w:val="18"/>
              </w:rPr>
              <w:t>Belarus, Bulgaria, Croatia, Czechia, Estonia, Latvia, Lithuania, Montenegro, North Macedonia, Poland, Republic of Moldova, Romania, Serbia, Slovakia, Slovenia (15 State</w:t>
            </w:r>
            <w:r w:rsidR="00937C9E" w:rsidRPr="00D26003">
              <w:rPr>
                <w:rFonts w:asciiTheme="minorBidi" w:hAnsiTheme="minorBidi" w:cstheme="minorBidi"/>
                <w:snapToGrid/>
                <w:sz w:val="18"/>
                <w:szCs w:val="18"/>
              </w:rPr>
              <w:t>s</w:t>
            </w:r>
            <w:r w:rsidRPr="00D26003">
              <w:rPr>
                <w:rFonts w:asciiTheme="minorBidi" w:hAnsiTheme="minorBidi" w:cstheme="minorBidi"/>
                <w:sz w:val="18"/>
                <w:szCs w:val="18"/>
              </w:rPr>
              <w:t>;</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62.5</w:t>
            </w:r>
            <w:r w:rsidR="002C0CF7" w:rsidRPr="00D26003">
              <w:rPr>
                <w:rFonts w:asciiTheme="minorBidi" w:hAnsiTheme="minorBidi" w:cstheme="minorBidi"/>
                <w:sz w:val="18"/>
                <w:szCs w:val="18"/>
              </w:rPr>
              <w:t>0</w:t>
            </w:r>
            <w:r w:rsidRPr="00D26003">
              <w:rPr>
                <w:rFonts w:asciiTheme="minorBidi" w:hAnsiTheme="minorBidi" w:cstheme="minorBidi"/>
                <w:sz w:val="18"/>
                <w:szCs w:val="18"/>
              </w:rPr>
              <w:t>%</w:t>
            </w:r>
            <w:r w:rsidRPr="00D26003">
              <w:rPr>
                <w:rFonts w:asciiTheme="minorBidi" w:hAnsiTheme="minorBidi" w:cstheme="minorBidi"/>
                <w:snapToGrid/>
                <w:sz w:val="18"/>
                <w:szCs w:val="18"/>
              </w:rPr>
              <w:t>)</w:t>
            </w:r>
          </w:p>
        </w:tc>
        <w:tc>
          <w:tcPr>
            <w:tcW w:w="752" w:type="pct"/>
          </w:tcPr>
          <w:p w14:paraId="09525E73" w14:textId="77777777" w:rsidR="00C4260A" w:rsidRPr="009764F5" w:rsidRDefault="00C4260A" w:rsidP="00326637">
            <w:pPr>
              <w:pStyle w:val="1GAPara"/>
              <w:numPr>
                <w:ilvl w:val="0"/>
                <w:numId w:val="0"/>
              </w:numPr>
              <w:spacing w:after="0"/>
              <w:rPr>
                <w:rFonts w:asciiTheme="minorBidi" w:hAnsiTheme="minorBidi" w:cstheme="minorBidi"/>
                <w:snapToGrid/>
                <w:sz w:val="18"/>
                <w:szCs w:val="18"/>
                <w:lang w:val="es-ES"/>
              </w:rPr>
            </w:pPr>
            <w:r w:rsidRPr="009764F5">
              <w:rPr>
                <w:rFonts w:asciiTheme="minorBidi" w:hAnsiTheme="minorBidi" w:cstheme="minorBidi"/>
                <w:snapToGrid/>
                <w:sz w:val="18"/>
                <w:szCs w:val="18"/>
                <w:lang w:val="es-ES"/>
              </w:rPr>
              <w:t xml:space="preserve">Antigua and Barbuda, Argentina, Bahamas, Barbados, </w:t>
            </w:r>
            <w:proofErr w:type="spellStart"/>
            <w:r w:rsidRPr="009764F5">
              <w:rPr>
                <w:rFonts w:asciiTheme="minorBidi" w:hAnsiTheme="minorBidi" w:cstheme="minorBidi"/>
                <w:snapToGrid/>
                <w:sz w:val="18"/>
                <w:szCs w:val="18"/>
                <w:lang w:val="es-ES"/>
              </w:rPr>
              <w:t>Belize</w:t>
            </w:r>
            <w:proofErr w:type="spellEnd"/>
            <w:r w:rsidRPr="009764F5">
              <w:rPr>
                <w:rFonts w:asciiTheme="minorBidi" w:hAnsiTheme="minorBidi" w:cstheme="minorBidi"/>
                <w:snapToGrid/>
                <w:sz w:val="18"/>
                <w:szCs w:val="18"/>
                <w:lang w:val="es-ES"/>
              </w:rPr>
              <w:t>, Bolivia (</w:t>
            </w:r>
            <w:proofErr w:type="spellStart"/>
            <w:r w:rsidRPr="009764F5">
              <w:rPr>
                <w:rFonts w:asciiTheme="minorBidi" w:hAnsiTheme="minorBidi" w:cstheme="minorBidi"/>
                <w:snapToGrid/>
                <w:sz w:val="18"/>
                <w:szCs w:val="18"/>
                <w:lang w:val="es-ES"/>
              </w:rPr>
              <w:t>Plurinational</w:t>
            </w:r>
            <w:proofErr w:type="spellEnd"/>
            <w:r w:rsidRPr="009764F5">
              <w:rPr>
                <w:rFonts w:asciiTheme="minorBidi" w:hAnsiTheme="minorBidi" w:cstheme="minorBidi"/>
                <w:snapToGrid/>
                <w:sz w:val="18"/>
                <w:szCs w:val="18"/>
                <w:lang w:val="es-ES"/>
              </w:rPr>
              <w:t xml:space="preserve"> </w:t>
            </w:r>
            <w:proofErr w:type="spellStart"/>
            <w:r w:rsidRPr="009764F5">
              <w:rPr>
                <w:rFonts w:asciiTheme="minorBidi" w:hAnsiTheme="minorBidi" w:cstheme="minorBidi"/>
                <w:snapToGrid/>
                <w:sz w:val="18"/>
                <w:szCs w:val="18"/>
                <w:lang w:val="es-ES"/>
              </w:rPr>
              <w:t>State</w:t>
            </w:r>
            <w:proofErr w:type="spellEnd"/>
            <w:r w:rsidRPr="009764F5">
              <w:rPr>
                <w:rFonts w:asciiTheme="minorBidi" w:hAnsiTheme="minorBidi" w:cstheme="minorBidi"/>
                <w:snapToGrid/>
                <w:sz w:val="18"/>
                <w:szCs w:val="18"/>
                <w:lang w:val="es-ES"/>
              </w:rPr>
              <w:t xml:space="preserve"> of), </w:t>
            </w:r>
            <w:proofErr w:type="spellStart"/>
            <w:r w:rsidRPr="009764F5">
              <w:rPr>
                <w:rFonts w:asciiTheme="minorBidi" w:hAnsiTheme="minorBidi" w:cstheme="minorBidi"/>
                <w:snapToGrid/>
                <w:sz w:val="18"/>
                <w:szCs w:val="18"/>
                <w:lang w:val="es-ES"/>
              </w:rPr>
              <w:t>Brazil</w:t>
            </w:r>
            <w:proofErr w:type="spellEnd"/>
            <w:r w:rsidRPr="009764F5">
              <w:rPr>
                <w:rFonts w:asciiTheme="minorBidi" w:hAnsiTheme="minorBidi" w:cstheme="minorBidi"/>
                <w:snapToGrid/>
                <w:sz w:val="18"/>
                <w:szCs w:val="18"/>
                <w:lang w:val="es-ES"/>
              </w:rPr>
              <w:t xml:space="preserve">, Chile, Costa Rica, Cuba, Dominica, </w:t>
            </w:r>
            <w:proofErr w:type="spellStart"/>
            <w:r w:rsidRPr="009764F5">
              <w:rPr>
                <w:rFonts w:asciiTheme="minorBidi" w:hAnsiTheme="minorBidi" w:cstheme="minorBidi"/>
                <w:snapToGrid/>
                <w:sz w:val="18"/>
                <w:szCs w:val="18"/>
                <w:lang w:val="es-ES"/>
              </w:rPr>
              <w:t>Dominican</w:t>
            </w:r>
            <w:proofErr w:type="spellEnd"/>
            <w:r w:rsidRPr="009764F5">
              <w:rPr>
                <w:rFonts w:asciiTheme="minorBidi" w:hAnsiTheme="minorBidi" w:cstheme="minorBidi"/>
                <w:snapToGrid/>
                <w:sz w:val="18"/>
                <w:szCs w:val="18"/>
                <w:lang w:val="es-ES"/>
              </w:rPr>
              <w:t xml:space="preserve"> Republic, Ecuador, El Salvador, Guatemala, </w:t>
            </w:r>
            <w:proofErr w:type="spellStart"/>
            <w:r w:rsidRPr="009764F5">
              <w:rPr>
                <w:rFonts w:asciiTheme="minorBidi" w:hAnsiTheme="minorBidi" w:cstheme="minorBidi"/>
                <w:snapToGrid/>
                <w:sz w:val="18"/>
                <w:szCs w:val="18"/>
                <w:lang w:val="es-ES"/>
              </w:rPr>
              <w:t>Haiti</w:t>
            </w:r>
            <w:proofErr w:type="spellEnd"/>
            <w:r w:rsidRPr="009764F5">
              <w:rPr>
                <w:rFonts w:asciiTheme="minorBidi" w:hAnsiTheme="minorBidi" w:cstheme="minorBidi"/>
                <w:snapToGrid/>
                <w:sz w:val="18"/>
                <w:szCs w:val="18"/>
                <w:lang w:val="es-ES"/>
              </w:rPr>
              <w:t xml:space="preserve">, Honduras, Jamaica, </w:t>
            </w:r>
            <w:proofErr w:type="spellStart"/>
            <w:r w:rsidRPr="009764F5">
              <w:rPr>
                <w:rFonts w:asciiTheme="minorBidi" w:hAnsiTheme="minorBidi" w:cstheme="minorBidi"/>
                <w:snapToGrid/>
                <w:sz w:val="18"/>
                <w:szCs w:val="18"/>
                <w:lang w:val="es-ES"/>
              </w:rPr>
              <w:t>Mexico</w:t>
            </w:r>
            <w:proofErr w:type="spellEnd"/>
            <w:r w:rsidRPr="009764F5">
              <w:rPr>
                <w:rFonts w:asciiTheme="minorBidi" w:hAnsiTheme="minorBidi" w:cstheme="minorBidi"/>
                <w:snapToGrid/>
                <w:sz w:val="18"/>
                <w:szCs w:val="18"/>
                <w:lang w:val="es-ES"/>
              </w:rPr>
              <w:t xml:space="preserve">, Nicaragua, Paraguay, </w:t>
            </w:r>
            <w:proofErr w:type="spellStart"/>
            <w:r w:rsidRPr="009764F5">
              <w:rPr>
                <w:rFonts w:asciiTheme="minorBidi" w:hAnsiTheme="minorBidi" w:cstheme="minorBidi"/>
                <w:snapToGrid/>
                <w:sz w:val="18"/>
                <w:szCs w:val="18"/>
                <w:lang w:val="es-ES"/>
              </w:rPr>
              <w:t>Peru</w:t>
            </w:r>
            <w:proofErr w:type="spellEnd"/>
            <w:r w:rsidRPr="009764F5">
              <w:rPr>
                <w:rFonts w:asciiTheme="minorBidi" w:hAnsiTheme="minorBidi" w:cstheme="minorBidi"/>
                <w:snapToGrid/>
                <w:sz w:val="18"/>
                <w:szCs w:val="18"/>
                <w:lang w:val="es-ES"/>
              </w:rPr>
              <w:t xml:space="preserve">, Saint </w:t>
            </w:r>
            <w:proofErr w:type="spellStart"/>
            <w:r w:rsidRPr="009764F5">
              <w:rPr>
                <w:rFonts w:asciiTheme="minorBidi" w:hAnsiTheme="minorBidi" w:cstheme="minorBidi"/>
                <w:snapToGrid/>
                <w:sz w:val="18"/>
                <w:szCs w:val="18"/>
                <w:lang w:val="es-ES"/>
              </w:rPr>
              <w:t>Kitts</w:t>
            </w:r>
            <w:proofErr w:type="spellEnd"/>
            <w:r w:rsidRPr="009764F5">
              <w:rPr>
                <w:rFonts w:asciiTheme="minorBidi" w:hAnsiTheme="minorBidi" w:cstheme="minorBidi"/>
                <w:snapToGrid/>
                <w:sz w:val="18"/>
                <w:szCs w:val="18"/>
                <w:lang w:val="es-ES"/>
              </w:rPr>
              <w:t xml:space="preserve"> and </w:t>
            </w:r>
            <w:proofErr w:type="spellStart"/>
            <w:r w:rsidRPr="009764F5">
              <w:rPr>
                <w:rFonts w:asciiTheme="minorBidi" w:hAnsiTheme="minorBidi" w:cstheme="minorBidi"/>
                <w:snapToGrid/>
                <w:sz w:val="18"/>
                <w:szCs w:val="18"/>
                <w:lang w:val="es-ES"/>
              </w:rPr>
              <w:t>Nevis</w:t>
            </w:r>
            <w:proofErr w:type="spellEnd"/>
            <w:r w:rsidRPr="009764F5">
              <w:rPr>
                <w:rFonts w:asciiTheme="minorBidi" w:hAnsiTheme="minorBidi" w:cstheme="minorBidi"/>
                <w:snapToGrid/>
                <w:sz w:val="18"/>
                <w:szCs w:val="18"/>
                <w:lang w:val="es-ES"/>
              </w:rPr>
              <w:t xml:space="preserve">, Saint Lucia, Saint Vincent and the </w:t>
            </w:r>
            <w:proofErr w:type="spellStart"/>
            <w:r w:rsidRPr="009764F5">
              <w:rPr>
                <w:rFonts w:asciiTheme="minorBidi" w:hAnsiTheme="minorBidi" w:cstheme="minorBidi"/>
                <w:snapToGrid/>
                <w:sz w:val="18"/>
                <w:szCs w:val="18"/>
                <w:lang w:val="es-ES"/>
              </w:rPr>
              <w:t>Grenadines</w:t>
            </w:r>
            <w:proofErr w:type="spellEnd"/>
            <w:r w:rsidRPr="009764F5">
              <w:rPr>
                <w:rFonts w:asciiTheme="minorBidi" w:hAnsiTheme="minorBidi" w:cstheme="minorBidi"/>
                <w:snapToGrid/>
                <w:sz w:val="18"/>
                <w:szCs w:val="18"/>
                <w:lang w:val="es-ES"/>
              </w:rPr>
              <w:t xml:space="preserve">, </w:t>
            </w:r>
            <w:proofErr w:type="spellStart"/>
            <w:r w:rsidRPr="009764F5">
              <w:rPr>
                <w:rFonts w:asciiTheme="minorBidi" w:hAnsiTheme="minorBidi" w:cstheme="minorBidi"/>
                <w:snapToGrid/>
                <w:sz w:val="18"/>
                <w:szCs w:val="18"/>
                <w:lang w:val="es-ES"/>
              </w:rPr>
              <w:t>Suriname</w:t>
            </w:r>
            <w:proofErr w:type="spellEnd"/>
            <w:r w:rsidRPr="009764F5">
              <w:rPr>
                <w:rFonts w:asciiTheme="minorBidi" w:hAnsiTheme="minorBidi" w:cstheme="minorBidi"/>
                <w:snapToGrid/>
                <w:sz w:val="18"/>
                <w:szCs w:val="18"/>
                <w:lang w:val="es-ES"/>
              </w:rPr>
              <w:t>, Trinidad and Tobago, Uruguay</w:t>
            </w:r>
          </w:p>
          <w:p w14:paraId="37FE2537" w14:textId="36AB6A70"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(28 States</w:t>
            </w:r>
            <w:r w:rsidRPr="00D26003">
              <w:rPr>
                <w:rFonts w:asciiTheme="minorBidi" w:hAnsiTheme="minorBidi" w:cstheme="minorBidi"/>
                <w:sz w:val="18"/>
                <w:szCs w:val="18"/>
              </w:rPr>
              <w:t>; 87.5</w:t>
            </w:r>
            <w:r w:rsidR="002C0CF7" w:rsidRPr="00D26003">
              <w:rPr>
                <w:rFonts w:asciiTheme="minorBidi" w:hAnsiTheme="minorBidi" w:cstheme="minorBidi"/>
                <w:sz w:val="18"/>
                <w:szCs w:val="18"/>
              </w:rPr>
              <w:t>0</w:t>
            </w:r>
            <w:r w:rsidRPr="00D26003">
              <w:rPr>
                <w:rFonts w:asciiTheme="minorBidi" w:hAnsiTheme="minorBidi" w:cstheme="minorBidi"/>
                <w:sz w:val="18"/>
                <w:szCs w:val="18"/>
              </w:rPr>
              <w:t>%</w:t>
            </w:r>
            <w:r w:rsidRPr="00D26003">
              <w:rPr>
                <w:rFonts w:asciiTheme="minorBidi" w:hAnsiTheme="minorBidi" w:cstheme="minorBidi"/>
                <w:snapToGrid/>
                <w:sz w:val="18"/>
                <w:szCs w:val="18"/>
              </w:rPr>
              <w:t>)</w:t>
            </w:r>
          </w:p>
        </w:tc>
        <w:tc>
          <w:tcPr>
            <w:tcW w:w="752" w:type="pct"/>
          </w:tcPr>
          <w:p w14:paraId="2BE674BE" w14:textId="54658CE3"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Bangladesh, Bhutan, Brunei Darussalam, China, Cook Islands, Democratic People’s Republic of Korea, Fiji, Indonesia, Kiribati, Kyrgyzstan, Lao People’s Democratic Republic, Marshall Islands, Micronesia (Federated States of), Mongolia, Myanmar, Nauru, Nepal, Pakistan, Palau, Papua New Guinea, Samoa, Singapore, Solomon Islands, Sri Lanka, Timor-Leste</w:t>
            </w:r>
            <w:r w:rsidR="006E7C4F" w:rsidRPr="00D26003">
              <w:rPr>
                <w:rFonts w:asciiTheme="minorBidi" w:hAnsiTheme="minorBidi" w:cstheme="minorBidi"/>
                <w:snapToGrid/>
                <w:sz w:val="18"/>
                <w:szCs w:val="18"/>
              </w:rPr>
              <w:t>,</w:t>
            </w:r>
            <w:r w:rsidRPr="00D26003">
              <w:rPr>
                <w:rFonts w:asciiTheme="minorBidi" w:hAnsiTheme="minorBidi" w:cstheme="minorBidi"/>
                <w:snapToGrid/>
                <w:sz w:val="18"/>
                <w:szCs w:val="18"/>
              </w:rPr>
              <w:t xml:space="preserve"> Tonga, Turkmenistan, Tuvalu, Vanuatu (29 States; 72.50</w:t>
            </w:r>
            <w:r w:rsidRPr="00D26003">
              <w:rPr>
                <w:rFonts w:asciiTheme="minorBidi" w:hAnsiTheme="minorBidi" w:cstheme="minorBidi"/>
                <w:sz w:val="18"/>
                <w:szCs w:val="18"/>
              </w:rPr>
              <w:t>%</w:t>
            </w:r>
            <w:r w:rsidRPr="00D26003">
              <w:rPr>
                <w:rFonts w:asciiTheme="minorBidi" w:hAnsiTheme="minorBidi" w:cstheme="minorBidi"/>
                <w:snapToGrid/>
                <w:sz w:val="18"/>
                <w:szCs w:val="18"/>
              </w:rPr>
              <w:t>)</w:t>
            </w:r>
          </w:p>
        </w:tc>
        <w:tc>
          <w:tcPr>
            <w:tcW w:w="752" w:type="pct"/>
          </w:tcPr>
          <w:p w14:paraId="4319549F" w14:textId="0E2D5506"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Angola, Benin, Botswana, Burkina Faso, Burundi, Cabo Verde, Cameroon, Central African Republic, Chad, Comoros, Congo, Côte d’Ivoire, Democratic Republic of the Congo, Djibouti, Equatorial Guinea, Eritrea, Eswatini, Ethiopia, Gabon, Gambia, Ghana, Guinea, Guinea-Bissau, Kenya, Lesotho, Malawi, Mauritius, Mozambique, Namibia, Niger, Rwanda, Sao Tome and Principe, Senegal, Seychelles, Somalia, South Sudan, Togo, Uganda, United Republic of Tanzania, Zimbabwe (40 States; 90.91</w:t>
            </w:r>
            <w:r w:rsidRPr="00D26003">
              <w:rPr>
                <w:rFonts w:asciiTheme="minorBidi" w:hAnsiTheme="minorBidi" w:cstheme="minorBidi"/>
                <w:sz w:val="18"/>
                <w:szCs w:val="18"/>
              </w:rPr>
              <w:t>%</w:t>
            </w:r>
            <w:r w:rsidRPr="00D26003">
              <w:rPr>
                <w:rFonts w:asciiTheme="minorBidi" w:hAnsiTheme="minorBidi" w:cstheme="minorBidi"/>
                <w:snapToGrid/>
                <w:sz w:val="18"/>
                <w:szCs w:val="18"/>
              </w:rPr>
              <w:t>)</w:t>
            </w:r>
          </w:p>
        </w:tc>
        <w:tc>
          <w:tcPr>
            <w:tcW w:w="752" w:type="pct"/>
          </w:tcPr>
          <w:p w14:paraId="3DD0290F" w14:textId="691F1D1B"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Bahrain, Iraq, Jordan, Kuwait, Lebanon, Palestine, Qatar, Syrian Arab Republic, Yemen</w:t>
            </w:r>
            <w:r w:rsidRPr="00D26003">
              <w:rPr>
                <w:rFonts w:asciiTheme="minorBidi" w:hAnsiTheme="minorBidi" w:cstheme="minorBidi"/>
                <w:sz w:val="18"/>
                <w:szCs w:val="18"/>
              </w:rPr>
              <w:t xml:space="preserve"> (9 States;</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50</w:t>
            </w:r>
            <w:r w:rsidR="002C0CF7" w:rsidRPr="00D26003">
              <w:rPr>
                <w:rFonts w:asciiTheme="minorBidi" w:hAnsiTheme="minorBidi" w:cstheme="minorBidi"/>
                <w:sz w:val="18"/>
                <w:szCs w:val="18"/>
              </w:rPr>
              <w:t>.00</w:t>
            </w:r>
            <w:r w:rsidRPr="00D26003">
              <w:rPr>
                <w:rFonts w:asciiTheme="minorBidi" w:hAnsiTheme="minorBidi" w:cstheme="minorBidi"/>
                <w:sz w:val="18"/>
                <w:szCs w:val="18"/>
              </w:rPr>
              <w:t>%)</w:t>
            </w:r>
          </w:p>
        </w:tc>
      </w:tr>
      <w:tr w:rsidR="00C4260A" w:rsidRPr="00D26003" w14:paraId="533B3B7F" w14:textId="77777777" w:rsidTr="00326637">
        <w:tc>
          <w:tcPr>
            <w:tcW w:w="491" w:type="pct"/>
            <w:shd w:val="clear" w:color="auto" w:fill="D9D9D9" w:themeFill="background1" w:themeFillShade="D9"/>
          </w:tcPr>
          <w:p w14:paraId="7B750940"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1 file</w:t>
            </w:r>
          </w:p>
        </w:tc>
        <w:tc>
          <w:tcPr>
            <w:tcW w:w="751" w:type="pct"/>
          </w:tcPr>
          <w:p w14:paraId="53F0CC91" w14:textId="045DF2AD" w:rsidR="00C4260A" w:rsidRPr="00D26003" w:rsidRDefault="00C4260A" w:rsidP="00326637">
            <w:pPr>
              <w:pStyle w:val="1GAPara"/>
              <w:numPr>
                <w:ilvl w:val="0"/>
                <w:numId w:val="0"/>
              </w:numPr>
              <w:spacing w:after="0"/>
              <w:rPr>
                <w:rFonts w:asciiTheme="minorBidi" w:hAnsiTheme="minorBidi" w:cstheme="minorBidi"/>
                <w:sz w:val="18"/>
                <w:szCs w:val="18"/>
              </w:rPr>
            </w:pPr>
            <w:r w:rsidRPr="00D26003">
              <w:rPr>
                <w:rFonts w:asciiTheme="minorBidi" w:hAnsiTheme="minorBidi" w:cstheme="minorBidi"/>
                <w:sz w:val="18"/>
                <w:szCs w:val="18"/>
              </w:rPr>
              <w:t>Belgium, France, Malta, Netherlands (4</w:t>
            </w:r>
            <w:r w:rsidRPr="00D26003">
              <w:t> </w:t>
            </w:r>
            <w:r w:rsidRPr="00D26003">
              <w:rPr>
                <w:rFonts w:asciiTheme="minorBidi" w:hAnsiTheme="minorBidi" w:cstheme="minorBidi"/>
                <w:sz w:val="18"/>
                <w:szCs w:val="18"/>
              </w:rPr>
              <w:t>States</w:t>
            </w:r>
            <w:r w:rsidR="002C0CF7" w:rsidRPr="00D26003">
              <w:rPr>
                <w:rFonts w:asciiTheme="minorBidi" w:hAnsiTheme="minorBidi" w:cstheme="minorBidi"/>
                <w:sz w:val="18"/>
                <w:szCs w:val="18"/>
              </w:rPr>
              <w:t>;</w:t>
            </w:r>
            <w:r w:rsidR="00725260" w:rsidRPr="00D26003">
              <w:rPr>
                <w:rFonts w:asciiTheme="minorBidi" w:hAnsiTheme="minorBidi" w:cstheme="minorBidi"/>
                <w:sz w:val="18"/>
                <w:szCs w:val="18"/>
              </w:rPr>
              <w:t xml:space="preserve"> </w:t>
            </w:r>
            <w:r w:rsidRPr="00D26003">
              <w:rPr>
                <w:rFonts w:asciiTheme="minorBidi" w:hAnsiTheme="minorBidi" w:cstheme="minorBidi"/>
                <w:sz w:val="18"/>
                <w:szCs w:val="18"/>
              </w:rPr>
              <w:t>18.18%)</w:t>
            </w:r>
          </w:p>
        </w:tc>
        <w:tc>
          <w:tcPr>
            <w:tcW w:w="752" w:type="pct"/>
          </w:tcPr>
          <w:p w14:paraId="57E4BB4E" w14:textId="1BBDF2B2"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Albania, Armenia,</w:t>
            </w:r>
            <w:r w:rsidRPr="00D26003">
              <w:rPr>
                <w:color w:val="414042"/>
                <w:shd w:val="clear" w:color="auto" w:fill="EBEBEB"/>
              </w:rPr>
              <w:t xml:space="preserve"> </w:t>
            </w:r>
            <w:r w:rsidRPr="00D26003">
              <w:rPr>
                <w:rFonts w:asciiTheme="minorBidi" w:hAnsiTheme="minorBidi" w:cstheme="minorBidi"/>
                <w:snapToGrid/>
                <w:sz w:val="18"/>
                <w:szCs w:val="18"/>
              </w:rPr>
              <w:t>Bosnia and Herzegovina, Georgia, Hungary, Ukraine (6 States</w:t>
            </w:r>
            <w:r w:rsidRPr="00D26003">
              <w:rPr>
                <w:rFonts w:asciiTheme="minorBidi" w:hAnsiTheme="minorBidi" w:cstheme="minorBidi"/>
                <w:sz w:val="18"/>
                <w:szCs w:val="18"/>
              </w:rPr>
              <w:t>; 2</w:t>
            </w:r>
            <w:r w:rsidR="006E7C4F" w:rsidRPr="00D26003">
              <w:rPr>
                <w:rFonts w:asciiTheme="minorBidi" w:hAnsiTheme="minorBidi" w:cstheme="minorBidi"/>
                <w:sz w:val="18"/>
                <w:szCs w:val="18"/>
              </w:rPr>
              <w:t>5</w:t>
            </w:r>
            <w:r w:rsidR="002C0CF7" w:rsidRPr="00D26003">
              <w:rPr>
                <w:rFonts w:asciiTheme="minorBidi" w:hAnsiTheme="minorBidi" w:cstheme="minorBidi"/>
                <w:sz w:val="18"/>
                <w:szCs w:val="18"/>
              </w:rPr>
              <w:t>.00</w:t>
            </w:r>
            <w:r w:rsidRPr="00D26003">
              <w:rPr>
                <w:rFonts w:asciiTheme="minorBidi" w:hAnsiTheme="minorBidi" w:cstheme="minorBidi"/>
                <w:sz w:val="18"/>
                <w:szCs w:val="18"/>
              </w:rPr>
              <w:t>%</w:t>
            </w:r>
            <w:r w:rsidRPr="00D26003">
              <w:rPr>
                <w:rFonts w:asciiTheme="minorBidi" w:hAnsiTheme="minorBidi" w:cstheme="minorBidi"/>
                <w:snapToGrid/>
                <w:sz w:val="18"/>
                <w:szCs w:val="18"/>
              </w:rPr>
              <w:t>)</w:t>
            </w:r>
          </w:p>
        </w:tc>
        <w:tc>
          <w:tcPr>
            <w:tcW w:w="752" w:type="pct"/>
          </w:tcPr>
          <w:p w14:paraId="7CF27700" w14:textId="1BD06EE3" w:rsidR="00C4260A" w:rsidRPr="005A0A2D" w:rsidRDefault="00C4260A" w:rsidP="00326637">
            <w:pPr>
              <w:pStyle w:val="1GAPara"/>
              <w:numPr>
                <w:ilvl w:val="0"/>
                <w:numId w:val="0"/>
              </w:numPr>
              <w:spacing w:after="0"/>
              <w:rPr>
                <w:rFonts w:asciiTheme="minorBidi" w:hAnsiTheme="minorBidi" w:cstheme="minorBidi"/>
                <w:snapToGrid/>
                <w:sz w:val="18"/>
                <w:szCs w:val="18"/>
                <w:lang w:val="es-ES"/>
              </w:rPr>
            </w:pPr>
            <w:r w:rsidRPr="005A0A2D">
              <w:rPr>
                <w:rFonts w:asciiTheme="minorBidi" w:hAnsiTheme="minorBidi" w:cstheme="minorBidi"/>
                <w:snapToGrid/>
                <w:sz w:val="18"/>
                <w:szCs w:val="18"/>
                <w:lang w:val="es-ES"/>
              </w:rPr>
              <w:t>Colombia, Grenada, Panama, Venezuela (</w:t>
            </w:r>
            <w:proofErr w:type="spellStart"/>
            <w:r w:rsidRPr="005A0A2D">
              <w:rPr>
                <w:rFonts w:asciiTheme="minorBidi" w:hAnsiTheme="minorBidi" w:cstheme="minorBidi"/>
                <w:snapToGrid/>
                <w:sz w:val="18"/>
                <w:szCs w:val="18"/>
                <w:lang w:val="es-ES"/>
              </w:rPr>
              <w:t>Bolivarian</w:t>
            </w:r>
            <w:proofErr w:type="spellEnd"/>
            <w:r w:rsidRPr="005A0A2D">
              <w:rPr>
                <w:rFonts w:asciiTheme="minorBidi" w:hAnsiTheme="minorBidi" w:cstheme="minorBidi"/>
                <w:snapToGrid/>
                <w:sz w:val="18"/>
                <w:szCs w:val="18"/>
                <w:lang w:val="es-ES"/>
              </w:rPr>
              <w:t xml:space="preserve"> Republic of)</w:t>
            </w:r>
            <w:r w:rsidRPr="005A0A2D">
              <w:rPr>
                <w:rFonts w:asciiTheme="minorBidi" w:hAnsiTheme="minorBidi" w:cstheme="minorBidi"/>
                <w:sz w:val="18"/>
                <w:szCs w:val="18"/>
                <w:lang w:val="es-ES"/>
              </w:rPr>
              <w:t xml:space="preserve"> </w:t>
            </w:r>
            <w:r w:rsidRPr="005A0A2D">
              <w:rPr>
                <w:rFonts w:asciiTheme="minorBidi" w:hAnsiTheme="minorBidi" w:cstheme="minorBidi"/>
                <w:snapToGrid/>
                <w:sz w:val="18"/>
                <w:szCs w:val="18"/>
                <w:lang w:val="es-ES"/>
              </w:rPr>
              <w:t>(4</w:t>
            </w:r>
            <w:r w:rsidR="00D84C76" w:rsidRPr="005A0A2D">
              <w:rPr>
                <w:rFonts w:asciiTheme="minorBidi" w:hAnsiTheme="minorBidi" w:cstheme="minorBidi"/>
                <w:snapToGrid/>
                <w:sz w:val="18"/>
                <w:szCs w:val="18"/>
                <w:lang w:val="es-ES"/>
              </w:rPr>
              <w:t> </w:t>
            </w:r>
            <w:r w:rsidRPr="005A0A2D">
              <w:rPr>
                <w:rFonts w:asciiTheme="minorBidi" w:hAnsiTheme="minorBidi" w:cstheme="minorBidi"/>
                <w:snapToGrid/>
                <w:sz w:val="18"/>
                <w:szCs w:val="18"/>
                <w:lang w:val="es-ES"/>
              </w:rPr>
              <w:t>States</w:t>
            </w:r>
            <w:r w:rsidR="002C0CF7" w:rsidRPr="005A0A2D">
              <w:rPr>
                <w:rFonts w:asciiTheme="minorBidi" w:hAnsiTheme="minorBidi" w:cstheme="minorBidi"/>
                <w:snapToGrid/>
                <w:sz w:val="18"/>
                <w:szCs w:val="18"/>
                <w:lang w:val="es-ES"/>
              </w:rPr>
              <w:t xml:space="preserve">; </w:t>
            </w:r>
            <w:r w:rsidRPr="005A0A2D">
              <w:rPr>
                <w:rFonts w:asciiTheme="minorBidi" w:hAnsiTheme="minorBidi" w:cstheme="minorBidi"/>
                <w:snapToGrid/>
                <w:sz w:val="18"/>
                <w:szCs w:val="18"/>
                <w:lang w:val="es-ES"/>
              </w:rPr>
              <w:t>12.5</w:t>
            </w:r>
            <w:r w:rsidR="002C0CF7" w:rsidRPr="005A0A2D">
              <w:rPr>
                <w:rFonts w:asciiTheme="minorBidi" w:hAnsiTheme="minorBidi" w:cstheme="minorBidi"/>
                <w:snapToGrid/>
                <w:sz w:val="18"/>
                <w:szCs w:val="18"/>
                <w:lang w:val="es-ES"/>
              </w:rPr>
              <w:t>0</w:t>
            </w:r>
            <w:r w:rsidRPr="005A0A2D">
              <w:rPr>
                <w:rFonts w:asciiTheme="minorBidi" w:hAnsiTheme="minorBidi" w:cstheme="minorBidi"/>
                <w:snapToGrid/>
                <w:sz w:val="18"/>
                <w:szCs w:val="18"/>
                <w:lang w:val="es-ES"/>
              </w:rPr>
              <w:t>%)</w:t>
            </w:r>
          </w:p>
        </w:tc>
        <w:tc>
          <w:tcPr>
            <w:tcW w:w="752" w:type="pct"/>
          </w:tcPr>
          <w:p w14:paraId="7CCC28C4" w14:textId="263AB390"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Cambodia, Philippines. Viet</w:t>
            </w:r>
            <w:r w:rsidRPr="00D26003">
              <w:t> </w:t>
            </w:r>
            <w:r w:rsidRPr="00D26003">
              <w:rPr>
                <w:rFonts w:asciiTheme="minorBidi" w:hAnsiTheme="minorBidi" w:cstheme="minorBidi"/>
                <w:snapToGrid/>
                <w:sz w:val="18"/>
                <w:szCs w:val="18"/>
              </w:rPr>
              <w:t>Nam</w:t>
            </w:r>
            <w:r w:rsidR="00BB4B78" w:rsidRPr="00D26003">
              <w:rPr>
                <w:rFonts w:asciiTheme="minorBidi" w:hAnsiTheme="minorBidi" w:cstheme="minorBidi"/>
                <w:snapToGrid/>
                <w:sz w:val="18"/>
                <w:szCs w:val="18"/>
              </w:rPr>
              <w:t xml:space="preserve"> </w:t>
            </w:r>
            <w:r w:rsidRPr="00D26003">
              <w:rPr>
                <w:rFonts w:asciiTheme="minorBidi" w:hAnsiTheme="minorBidi" w:cstheme="minorBidi"/>
                <w:snapToGrid/>
                <w:sz w:val="18"/>
                <w:szCs w:val="18"/>
              </w:rPr>
              <w:t>(3 States</w:t>
            </w:r>
            <w:r w:rsidR="002C0CF7" w:rsidRPr="00D26003">
              <w:rPr>
                <w:rFonts w:asciiTheme="minorBidi" w:hAnsiTheme="minorBidi" w:cstheme="minorBidi"/>
                <w:snapToGrid/>
                <w:sz w:val="18"/>
                <w:szCs w:val="18"/>
              </w:rPr>
              <w:t xml:space="preserve">; </w:t>
            </w:r>
            <w:r w:rsidRPr="00D26003">
              <w:rPr>
                <w:rFonts w:asciiTheme="minorBidi" w:hAnsiTheme="minorBidi" w:cstheme="minorBidi"/>
                <w:snapToGrid/>
                <w:sz w:val="18"/>
                <w:szCs w:val="18"/>
              </w:rPr>
              <w:t>7.5</w:t>
            </w:r>
            <w:r w:rsidR="002C0CF7" w:rsidRPr="00D26003">
              <w:rPr>
                <w:rFonts w:asciiTheme="minorBidi" w:hAnsiTheme="minorBidi" w:cstheme="minorBidi"/>
                <w:snapToGrid/>
                <w:sz w:val="18"/>
                <w:szCs w:val="18"/>
              </w:rPr>
              <w:t>0</w:t>
            </w:r>
            <w:r w:rsidRPr="00D26003">
              <w:rPr>
                <w:rFonts w:asciiTheme="minorBidi" w:hAnsiTheme="minorBidi" w:cstheme="minorBidi"/>
                <w:snapToGrid/>
                <w:sz w:val="18"/>
                <w:szCs w:val="18"/>
              </w:rPr>
              <w:t>%),</w:t>
            </w:r>
          </w:p>
        </w:tc>
        <w:tc>
          <w:tcPr>
            <w:tcW w:w="752" w:type="pct"/>
          </w:tcPr>
          <w:p w14:paraId="3F44EB74" w14:textId="35075E86" w:rsidR="00C4260A" w:rsidRPr="00D26003" w:rsidRDefault="00C4260A" w:rsidP="00326637">
            <w:pPr>
              <w:rPr>
                <w:rFonts w:asciiTheme="minorBidi" w:hAnsiTheme="minorBidi" w:cstheme="minorBidi"/>
                <w:sz w:val="18"/>
                <w:szCs w:val="18"/>
                <w:lang w:eastAsia="en-US"/>
              </w:rPr>
            </w:pPr>
            <w:r w:rsidRPr="00D26003">
              <w:rPr>
                <w:rFonts w:asciiTheme="minorBidi" w:hAnsiTheme="minorBidi" w:cstheme="minorBidi"/>
                <w:sz w:val="18"/>
                <w:szCs w:val="18"/>
                <w:lang w:eastAsia="en-US"/>
              </w:rPr>
              <w:t>Madagascar, Mali, Zambia (</w:t>
            </w:r>
            <w:r w:rsidRPr="00D26003">
              <w:rPr>
                <w:rFonts w:asciiTheme="minorBidi" w:hAnsiTheme="minorBidi" w:cstheme="minorBidi"/>
                <w:sz w:val="18"/>
                <w:szCs w:val="18"/>
              </w:rPr>
              <w:t>3 States</w:t>
            </w:r>
            <w:r w:rsidR="002C0CF7" w:rsidRPr="00D26003">
              <w:rPr>
                <w:rFonts w:asciiTheme="minorBidi" w:hAnsiTheme="minorBidi" w:cstheme="minorBidi"/>
                <w:sz w:val="18"/>
                <w:szCs w:val="18"/>
              </w:rPr>
              <w:t xml:space="preserve">; </w:t>
            </w:r>
            <w:r w:rsidRPr="00D26003">
              <w:rPr>
                <w:rFonts w:asciiTheme="minorBidi" w:hAnsiTheme="minorBidi" w:cstheme="minorBidi"/>
                <w:sz w:val="18"/>
                <w:szCs w:val="18"/>
              </w:rPr>
              <w:t>6.82%</w:t>
            </w:r>
            <w:r w:rsidRPr="00D26003">
              <w:rPr>
                <w:rFonts w:asciiTheme="minorBidi" w:hAnsiTheme="minorBidi" w:cstheme="minorBidi"/>
                <w:sz w:val="18"/>
                <w:szCs w:val="18"/>
                <w:lang w:eastAsia="en-US"/>
              </w:rPr>
              <w:t>)</w:t>
            </w:r>
          </w:p>
        </w:tc>
        <w:tc>
          <w:tcPr>
            <w:tcW w:w="752" w:type="pct"/>
          </w:tcPr>
          <w:p w14:paraId="52098B8B" w14:textId="5A32C2F4" w:rsidR="00C4260A" w:rsidRPr="00D26003" w:rsidRDefault="00C4260A" w:rsidP="00326637">
            <w:pPr>
              <w:rPr>
                <w:rFonts w:asciiTheme="minorBidi" w:hAnsiTheme="minorBidi" w:cstheme="minorBidi"/>
                <w:sz w:val="18"/>
                <w:szCs w:val="18"/>
                <w:lang w:eastAsia="en-US"/>
              </w:rPr>
            </w:pPr>
            <w:r w:rsidRPr="00D26003">
              <w:rPr>
                <w:rFonts w:asciiTheme="minorBidi" w:hAnsiTheme="minorBidi" w:cstheme="minorBidi"/>
                <w:sz w:val="18"/>
                <w:szCs w:val="18"/>
                <w:lang w:eastAsia="en-US"/>
              </w:rPr>
              <w:t>Mauritania, Oman, Sudan, Tunisia</w:t>
            </w:r>
            <w:r w:rsidRPr="00D26003">
              <w:rPr>
                <w:rFonts w:asciiTheme="minorBidi" w:hAnsiTheme="minorBidi" w:cstheme="minorBidi"/>
                <w:sz w:val="18"/>
                <w:szCs w:val="18"/>
              </w:rPr>
              <w:t xml:space="preserve"> (4 States;</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22.22%)</w:t>
            </w:r>
            <w:r w:rsidRPr="00D26003">
              <w:rPr>
                <w:rFonts w:asciiTheme="minorBidi" w:hAnsiTheme="minorBidi" w:cstheme="minorBidi"/>
                <w:sz w:val="18"/>
                <w:szCs w:val="18"/>
                <w:lang w:eastAsia="en-US"/>
              </w:rPr>
              <w:t xml:space="preserve"> </w:t>
            </w:r>
          </w:p>
        </w:tc>
      </w:tr>
      <w:tr w:rsidR="00C4260A" w:rsidRPr="00D26003" w14:paraId="5E043F0A" w14:textId="77777777" w:rsidTr="00326637">
        <w:tc>
          <w:tcPr>
            <w:tcW w:w="491" w:type="pct"/>
            <w:shd w:val="clear" w:color="auto" w:fill="D9D9D9" w:themeFill="background1" w:themeFillShade="D9"/>
          </w:tcPr>
          <w:p w14:paraId="22665579"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2 files</w:t>
            </w:r>
          </w:p>
        </w:tc>
        <w:tc>
          <w:tcPr>
            <w:tcW w:w="751" w:type="pct"/>
          </w:tcPr>
          <w:p w14:paraId="4AE9D0BB"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06F9849B" w14:textId="76C211E5"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Uzbekistan (1</w:t>
            </w:r>
            <w:r w:rsidR="00D84C76" w:rsidRPr="00D26003">
              <w:rPr>
                <w:rFonts w:asciiTheme="minorBidi" w:hAnsiTheme="minorBidi" w:cstheme="minorBidi"/>
                <w:snapToGrid/>
                <w:sz w:val="18"/>
                <w:szCs w:val="18"/>
              </w:rPr>
              <w:t> </w:t>
            </w:r>
            <w:r w:rsidRPr="00D26003">
              <w:rPr>
                <w:rFonts w:asciiTheme="minorBidi" w:hAnsiTheme="minorBidi" w:cstheme="minorBidi"/>
                <w:snapToGrid/>
                <w:sz w:val="18"/>
                <w:szCs w:val="18"/>
              </w:rPr>
              <w:t>State</w:t>
            </w:r>
            <w:r w:rsidR="002C0CF7" w:rsidRPr="00D26003">
              <w:rPr>
                <w:rFonts w:asciiTheme="minorBidi" w:hAnsiTheme="minorBidi" w:cstheme="minorBidi"/>
                <w:snapToGrid/>
                <w:sz w:val="18"/>
                <w:szCs w:val="18"/>
              </w:rPr>
              <w:t xml:space="preserve">; </w:t>
            </w:r>
            <w:r w:rsidRPr="00D26003">
              <w:rPr>
                <w:rFonts w:asciiTheme="minorBidi" w:hAnsiTheme="minorBidi" w:cstheme="minorBidi"/>
                <w:snapToGrid/>
                <w:sz w:val="18"/>
                <w:szCs w:val="18"/>
              </w:rPr>
              <w:t>4.17%)</w:t>
            </w:r>
          </w:p>
        </w:tc>
        <w:tc>
          <w:tcPr>
            <w:tcW w:w="752" w:type="pct"/>
          </w:tcPr>
          <w:p w14:paraId="2D60ECA7"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7A637AF0" w14:textId="0E356885"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Afghanistan, Malaysia, Thailand (3 States</w:t>
            </w:r>
            <w:r w:rsidR="002C0CF7" w:rsidRPr="00D26003">
              <w:rPr>
                <w:rFonts w:asciiTheme="minorBidi" w:hAnsiTheme="minorBidi" w:cstheme="minorBidi"/>
                <w:snapToGrid/>
                <w:sz w:val="18"/>
                <w:szCs w:val="18"/>
              </w:rPr>
              <w:t xml:space="preserve">; </w:t>
            </w:r>
            <w:r w:rsidRPr="00D26003">
              <w:rPr>
                <w:rFonts w:asciiTheme="minorBidi" w:hAnsiTheme="minorBidi" w:cstheme="minorBidi"/>
                <w:snapToGrid/>
                <w:sz w:val="18"/>
                <w:szCs w:val="18"/>
              </w:rPr>
              <w:t>7.5</w:t>
            </w:r>
            <w:r w:rsidR="00615499" w:rsidRPr="00D26003">
              <w:rPr>
                <w:rFonts w:asciiTheme="minorBidi" w:hAnsiTheme="minorBidi" w:cstheme="minorBidi"/>
                <w:snapToGrid/>
                <w:sz w:val="18"/>
                <w:szCs w:val="18"/>
              </w:rPr>
              <w:t>0</w:t>
            </w:r>
            <w:r w:rsidRPr="00D26003">
              <w:rPr>
                <w:rFonts w:asciiTheme="minorBidi" w:hAnsiTheme="minorBidi" w:cstheme="minorBidi"/>
                <w:snapToGrid/>
                <w:sz w:val="18"/>
                <w:szCs w:val="18"/>
              </w:rPr>
              <w:t>%)</w:t>
            </w:r>
          </w:p>
        </w:tc>
        <w:tc>
          <w:tcPr>
            <w:tcW w:w="752" w:type="pct"/>
          </w:tcPr>
          <w:p w14:paraId="557032D6" w14:textId="31F76034"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Nigeria (1 State</w:t>
            </w:r>
            <w:r w:rsidR="002C0CF7" w:rsidRPr="00D26003">
              <w:rPr>
                <w:rFonts w:asciiTheme="minorBidi" w:hAnsiTheme="minorBidi" w:cstheme="minorBidi"/>
                <w:snapToGrid/>
                <w:sz w:val="18"/>
                <w:szCs w:val="18"/>
              </w:rPr>
              <w:t xml:space="preserve">; </w:t>
            </w:r>
            <w:r w:rsidRPr="00D26003">
              <w:rPr>
                <w:rFonts w:asciiTheme="minorBidi" w:hAnsiTheme="minorBidi" w:cstheme="minorBidi"/>
                <w:snapToGrid/>
                <w:sz w:val="18"/>
                <w:szCs w:val="18"/>
              </w:rPr>
              <w:t>2.2</w:t>
            </w:r>
            <w:r w:rsidR="002C0CF7" w:rsidRPr="00D26003">
              <w:rPr>
                <w:rFonts w:asciiTheme="minorBidi" w:hAnsiTheme="minorBidi" w:cstheme="minorBidi"/>
                <w:snapToGrid/>
                <w:sz w:val="18"/>
                <w:szCs w:val="18"/>
              </w:rPr>
              <w:t>7</w:t>
            </w:r>
            <w:r w:rsidRPr="00D26003">
              <w:rPr>
                <w:rFonts w:asciiTheme="minorBidi" w:hAnsiTheme="minorBidi" w:cstheme="minorBidi"/>
                <w:snapToGrid/>
                <w:sz w:val="18"/>
                <w:szCs w:val="18"/>
              </w:rPr>
              <w:t>%)</w:t>
            </w:r>
          </w:p>
        </w:tc>
        <w:tc>
          <w:tcPr>
            <w:tcW w:w="752" w:type="pct"/>
          </w:tcPr>
          <w:p w14:paraId="4C5B1A14" w14:textId="7E7708D2" w:rsidR="00C4260A" w:rsidRPr="00D26003" w:rsidRDefault="00C4260A" w:rsidP="00326637">
            <w:pPr>
              <w:rPr>
                <w:rFonts w:asciiTheme="minorBidi" w:hAnsiTheme="minorBidi" w:cstheme="minorBidi"/>
                <w:sz w:val="18"/>
                <w:szCs w:val="18"/>
                <w:lang w:eastAsia="en-US"/>
              </w:rPr>
            </w:pPr>
            <w:r w:rsidRPr="00D26003">
              <w:rPr>
                <w:rFonts w:asciiTheme="minorBidi" w:hAnsiTheme="minorBidi" w:cstheme="minorBidi"/>
                <w:sz w:val="18"/>
                <w:szCs w:val="18"/>
                <w:lang w:eastAsia="en-US"/>
              </w:rPr>
              <w:t xml:space="preserve">Algeria. Egypt, Morocco, United Arab Emirates </w:t>
            </w:r>
            <w:r w:rsidRPr="00D26003">
              <w:rPr>
                <w:rFonts w:asciiTheme="minorBidi" w:hAnsiTheme="minorBidi" w:cstheme="minorBidi"/>
                <w:sz w:val="18"/>
                <w:szCs w:val="18"/>
              </w:rPr>
              <w:t>(4 States;</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22.22%)</w:t>
            </w:r>
          </w:p>
        </w:tc>
      </w:tr>
      <w:tr w:rsidR="00C4260A" w:rsidRPr="00D26003" w14:paraId="3D134308" w14:textId="77777777" w:rsidTr="00326637">
        <w:tc>
          <w:tcPr>
            <w:tcW w:w="491" w:type="pct"/>
            <w:shd w:val="clear" w:color="auto" w:fill="D9D9D9" w:themeFill="background1" w:themeFillShade="D9"/>
          </w:tcPr>
          <w:p w14:paraId="63F3514D"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3 files</w:t>
            </w:r>
          </w:p>
        </w:tc>
        <w:tc>
          <w:tcPr>
            <w:tcW w:w="751" w:type="pct"/>
          </w:tcPr>
          <w:p w14:paraId="0882DBAE"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1F325A7C" w14:textId="7A3272F8"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Tajikistan (1</w:t>
            </w:r>
            <w:r w:rsidR="00D84C76" w:rsidRPr="00D26003">
              <w:rPr>
                <w:rFonts w:asciiTheme="minorBidi" w:hAnsiTheme="minorBidi" w:cstheme="minorBidi"/>
                <w:snapToGrid/>
                <w:sz w:val="18"/>
                <w:szCs w:val="18"/>
              </w:rPr>
              <w:t> </w:t>
            </w:r>
            <w:r w:rsidRPr="00D26003">
              <w:rPr>
                <w:rFonts w:asciiTheme="minorBidi" w:hAnsiTheme="minorBidi" w:cstheme="minorBidi"/>
                <w:snapToGrid/>
                <w:sz w:val="18"/>
                <w:szCs w:val="18"/>
              </w:rPr>
              <w:t>State</w:t>
            </w:r>
            <w:r w:rsidR="002C0CF7" w:rsidRPr="00D26003">
              <w:rPr>
                <w:rFonts w:asciiTheme="minorBidi" w:hAnsiTheme="minorBidi" w:cstheme="minorBidi"/>
                <w:snapToGrid/>
                <w:sz w:val="18"/>
                <w:szCs w:val="18"/>
              </w:rPr>
              <w:t xml:space="preserve">; </w:t>
            </w:r>
            <w:r w:rsidRPr="00D26003">
              <w:rPr>
                <w:rFonts w:asciiTheme="minorBidi" w:hAnsiTheme="minorBidi" w:cstheme="minorBidi"/>
                <w:snapToGrid/>
                <w:sz w:val="18"/>
                <w:szCs w:val="18"/>
              </w:rPr>
              <w:t>4.17%)</w:t>
            </w:r>
          </w:p>
        </w:tc>
        <w:tc>
          <w:tcPr>
            <w:tcW w:w="752" w:type="pct"/>
          </w:tcPr>
          <w:p w14:paraId="69C60A55"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6D873D10" w14:textId="77777777" w:rsidR="00C4260A" w:rsidRPr="00D26003" w:rsidRDefault="00C4260A" w:rsidP="00326637">
            <w:pPr>
              <w:rPr>
                <w:rFonts w:asciiTheme="minorBidi" w:hAnsiTheme="minorBidi"/>
                <w:sz w:val="18"/>
                <w:szCs w:val="18"/>
                <w:lang w:eastAsia="en-US"/>
              </w:rPr>
            </w:pPr>
          </w:p>
        </w:tc>
        <w:tc>
          <w:tcPr>
            <w:tcW w:w="752" w:type="pct"/>
          </w:tcPr>
          <w:p w14:paraId="783E7503"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0F1BEB01" w14:textId="2AD1CAB0" w:rsidR="00C4260A" w:rsidRPr="00D26003" w:rsidRDefault="00C4260A" w:rsidP="00326637">
            <w:pPr>
              <w:rPr>
                <w:rFonts w:asciiTheme="minorBidi" w:hAnsiTheme="minorBidi"/>
                <w:sz w:val="18"/>
                <w:szCs w:val="18"/>
                <w:lang w:eastAsia="en-US"/>
              </w:rPr>
            </w:pPr>
            <w:r w:rsidRPr="00D26003">
              <w:rPr>
                <w:rFonts w:asciiTheme="minorBidi" w:hAnsiTheme="minorBidi"/>
                <w:sz w:val="18"/>
                <w:szCs w:val="18"/>
                <w:lang w:eastAsia="en-US"/>
              </w:rPr>
              <w:t>Saudi Arabia</w:t>
            </w:r>
            <w:r w:rsidR="00EE0B0F" w:rsidRPr="00D26003">
              <w:rPr>
                <w:rFonts w:asciiTheme="minorBidi" w:hAnsiTheme="minorBidi"/>
                <w:sz w:val="18"/>
                <w:szCs w:val="18"/>
                <w:lang w:eastAsia="en-US"/>
              </w:rPr>
              <w:t xml:space="preserve"> </w:t>
            </w:r>
            <w:r w:rsidRPr="00D26003">
              <w:rPr>
                <w:rFonts w:asciiTheme="minorBidi" w:hAnsiTheme="minorBidi"/>
                <w:sz w:val="18"/>
                <w:szCs w:val="18"/>
                <w:lang w:eastAsia="en-US"/>
              </w:rPr>
              <w:t>(1</w:t>
            </w:r>
            <w:r w:rsidR="00D84C76" w:rsidRPr="00D26003">
              <w:rPr>
                <w:rFonts w:asciiTheme="minorBidi" w:hAnsiTheme="minorBidi"/>
                <w:sz w:val="18"/>
                <w:szCs w:val="18"/>
                <w:lang w:eastAsia="en-US"/>
              </w:rPr>
              <w:t> </w:t>
            </w:r>
            <w:r w:rsidRPr="00D26003">
              <w:rPr>
                <w:rFonts w:asciiTheme="minorBidi" w:hAnsiTheme="minorBidi"/>
                <w:sz w:val="18"/>
                <w:szCs w:val="18"/>
                <w:lang w:eastAsia="en-US"/>
              </w:rPr>
              <w:t>State</w:t>
            </w:r>
            <w:r w:rsidR="002C0CF7" w:rsidRPr="00D26003">
              <w:rPr>
                <w:rFonts w:asciiTheme="minorBidi" w:hAnsiTheme="minorBidi"/>
                <w:sz w:val="18"/>
                <w:szCs w:val="18"/>
                <w:lang w:eastAsia="en-US"/>
              </w:rPr>
              <w:t xml:space="preserve">; </w:t>
            </w:r>
            <w:r w:rsidRPr="00D26003">
              <w:rPr>
                <w:rFonts w:asciiTheme="minorBidi" w:hAnsiTheme="minorBidi"/>
                <w:sz w:val="18"/>
                <w:szCs w:val="18"/>
                <w:lang w:eastAsia="en-US"/>
              </w:rPr>
              <w:t xml:space="preserve">5.56%) </w:t>
            </w:r>
          </w:p>
        </w:tc>
      </w:tr>
      <w:tr w:rsidR="00C4260A" w:rsidRPr="00D26003" w14:paraId="28BCD414" w14:textId="77777777" w:rsidTr="00326637">
        <w:tc>
          <w:tcPr>
            <w:tcW w:w="491" w:type="pct"/>
            <w:shd w:val="clear" w:color="auto" w:fill="D9D9D9" w:themeFill="background1" w:themeFillShade="D9"/>
          </w:tcPr>
          <w:p w14:paraId="26FF5031"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4 files</w:t>
            </w:r>
          </w:p>
        </w:tc>
        <w:tc>
          <w:tcPr>
            <w:tcW w:w="751" w:type="pct"/>
          </w:tcPr>
          <w:p w14:paraId="2BB429D0"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39B4EB60" w14:textId="4D598B24"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Azerbaijan (1</w:t>
            </w:r>
            <w:r w:rsidR="00D84C76" w:rsidRPr="00D26003">
              <w:rPr>
                <w:rFonts w:asciiTheme="minorBidi" w:hAnsiTheme="minorBidi" w:cstheme="minorBidi"/>
                <w:snapToGrid/>
                <w:sz w:val="18"/>
                <w:szCs w:val="18"/>
              </w:rPr>
              <w:t> </w:t>
            </w:r>
            <w:r w:rsidRPr="00D26003">
              <w:rPr>
                <w:rFonts w:asciiTheme="minorBidi" w:hAnsiTheme="minorBidi" w:cstheme="minorBidi"/>
                <w:snapToGrid/>
                <w:sz w:val="18"/>
                <w:szCs w:val="18"/>
              </w:rPr>
              <w:t>State</w:t>
            </w:r>
            <w:r w:rsidR="002C0CF7" w:rsidRPr="00D26003">
              <w:rPr>
                <w:rFonts w:asciiTheme="minorBidi" w:hAnsiTheme="minorBidi" w:cstheme="minorBidi"/>
                <w:snapToGrid/>
                <w:sz w:val="18"/>
                <w:szCs w:val="18"/>
              </w:rPr>
              <w:t xml:space="preserve">; </w:t>
            </w:r>
            <w:r w:rsidRPr="00D26003">
              <w:rPr>
                <w:rFonts w:asciiTheme="minorBidi" w:hAnsiTheme="minorBidi" w:cstheme="minorBidi"/>
                <w:snapToGrid/>
                <w:sz w:val="18"/>
                <w:szCs w:val="18"/>
              </w:rPr>
              <w:t>4.17%)</w:t>
            </w:r>
          </w:p>
        </w:tc>
        <w:tc>
          <w:tcPr>
            <w:tcW w:w="752" w:type="pct"/>
          </w:tcPr>
          <w:p w14:paraId="6CB6A168"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355B0353" w14:textId="7A063819" w:rsidR="00C4260A" w:rsidRPr="00D26003" w:rsidRDefault="00C4260A" w:rsidP="00326637">
            <w:pPr>
              <w:rPr>
                <w:rFonts w:asciiTheme="minorBidi" w:hAnsiTheme="minorBidi" w:cstheme="minorBidi"/>
                <w:sz w:val="18"/>
                <w:szCs w:val="18"/>
              </w:rPr>
            </w:pPr>
            <w:r w:rsidRPr="00D26003">
              <w:rPr>
                <w:rFonts w:asciiTheme="minorBidi" w:hAnsiTheme="minorBidi" w:cstheme="minorBidi"/>
                <w:sz w:val="18"/>
                <w:szCs w:val="18"/>
              </w:rPr>
              <w:t>Japan, Kazakhstan (2 State</w:t>
            </w:r>
            <w:r w:rsidR="00937C9E" w:rsidRPr="00D26003">
              <w:rPr>
                <w:rFonts w:asciiTheme="minorBidi" w:hAnsiTheme="minorBidi" w:cstheme="minorBidi"/>
                <w:sz w:val="18"/>
                <w:szCs w:val="18"/>
              </w:rPr>
              <w:t>s</w:t>
            </w:r>
            <w:r w:rsidRPr="00D26003">
              <w:rPr>
                <w:rFonts w:asciiTheme="minorBidi" w:hAnsiTheme="minorBidi" w:cstheme="minorBidi"/>
                <w:sz w:val="18"/>
                <w:szCs w:val="18"/>
              </w:rPr>
              <w:t>;</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5</w:t>
            </w:r>
            <w:r w:rsidR="002C0CF7" w:rsidRPr="00D26003">
              <w:rPr>
                <w:rFonts w:asciiTheme="minorBidi" w:hAnsiTheme="minorBidi" w:cstheme="minorBidi"/>
                <w:sz w:val="18"/>
                <w:szCs w:val="18"/>
              </w:rPr>
              <w:t>.0</w:t>
            </w:r>
            <w:r w:rsidR="00615499" w:rsidRPr="00D26003">
              <w:rPr>
                <w:rFonts w:asciiTheme="minorBidi" w:hAnsiTheme="minorBidi" w:cstheme="minorBidi"/>
                <w:sz w:val="18"/>
                <w:szCs w:val="18"/>
              </w:rPr>
              <w:t>0</w:t>
            </w:r>
            <w:r w:rsidRPr="00D26003">
              <w:rPr>
                <w:rFonts w:asciiTheme="minorBidi" w:hAnsiTheme="minorBidi" w:cstheme="minorBidi"/>
                <w:sz w:val="18"/>
                <w:szCs w:val="18"/>
              </w:rPr>
              <w:t>%)</w:t>
            </w:r>
          </w:p>
        </w:tc>
        <w:tc>
          <w:tcPr>
            <w:tcW w:w="752" w:type="pct"/>
          </w:tcPr>
          <w:p w14:paraId="7F9B5A65"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05E7CD54" w14:textId="77777777" w:rsidR="00C4260A" w:rsidRPr="00D26003" w:rsidRDefault="00C4260A" w:rsidP="00326637">
            <w:pPr>
              <w:rPr>
                <w:rFonts w:asciiTheme="minorBidi" w:hAnsiTheme="minorBidi" w:cstheme="minorBidi"/>
                <w:sz w:val="18"/>
                <w:szCs w:val="18"/>
                <w:lang w:eastAsia="en-US"/>
              </w:rPr>
            </w:pPr>
          </w:p>
        </w:tc>
      </w:tr>
      <w:tr w:rsidR="00C4260A" w:rsidRPr="00D26003" w14:paraId="46FF0CDE" w14:textId="77777777" w:rsidTr="00326637">
        <w:tc>
          <w:tcPr>
            <w:tcW w:w="491" w:type="pct"/>
            <w:shd w:val="clear" w:color="auto" w:fill="D9D9D9" w:themeFill="background1" w:themeFillShade="D9"/>
          </w:tcPr>
          <w:p w14:paraId="6F20BE75"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lastRenderedPageBreak/>
              <w:t>6 files</w:t>
            </w:r>
          </w:p>
        </w:tc>
        <w:tc>
          <w:tcPr>
            <w:tcW w:w="751" w:type="pct"/>
          </w:tcPr>
          <w:p w14:paraId="56377B60" w14:textId="08FB5E99" w:rsidR="00C4260A" w:rsidRPr="00D26003" w:rsidRDefault="00C4260A" w:rsidP="00326637">
            <w:pPr>
              <w:pStyle w:val="1GAPara"/>
              <w:numPr>
                <w:ilvl w:val="0"/>
                <w:numId w:val="0"/>
              </w:numPr>
              <w:spacing w:after="0"/>
              <w:rPr>
                <w:rFonts w:asciiTheme="minorBidi" w:hAnsiTheme="minorBidi" w:cstheme="minorBidi"/>
                <w:sz w:val="18"/>
                <w:szCs w:val="18"/>
              </w:rPr>
            </w:pPr>
            <w:r w:rsidRPr="00D26003">
              <w:rPr>
                <w:rFonts w:asciiTheme="minorBidi" w:hAnsiTheme="minorBidi" w:cstheme="minorBidi"/>
                <w:sz w:val="18"/>
                <w:szCs w:val="18"/>
              </w:rPr>
              <w:t>Italy. Turkey</w:t>
            </w:r>
            <w:r w:rsidRPr="00D26003">
              <w:t xml:space="preserve"> (</w:t>
            </w:r>
            <w:r w:rsidRPr="00D26003">
              <w:rPr>
                <w:rFonts w:asciiTheme="minorBidi" w:hAnsiTheme="minorBidi" w:cstheme="minorBidi"/>
                <w:sz w:val="18"/>
                <w:szCs w:val="18"/>
              </w:rPr>
              <w:t>2</w:t>
            </w:r>
            <w:r w:rsidRPr="00D26003">
              <w:t> </w:t>
            </w:r>
            <w:r w:rsidRPr="00D26003">
              <w:rPr>
                <w:rFonts w:asciiTheme="minorBidi" w:hAnsiTheme="minorBidi" w:cstheme="minorBidi"/>
                <w:sz w:val="18"/>
                <w:szCs w:val="18"/>
              </w:rPr>
              <w:t>States</w:t>
            </w:r>
            <w:r w:rsidR="00725260" w:rsidRPr="00D26003">
              <w:rPr>
                <w:rFonts w:asciiTheme="minorBidi" w:hAnsiTheme="minorBidi" w:cstheme="minorBidi"/>
                <w:sz w:val="18"/>
                <w:szCs w:val="18"/>
              </w:rPr>
              <w:t>;</w:t>
            </w:r>
            <w:r w:rsidRPr="00D26003">
              <w:rPr>
                <w:rFonts w:asciiTheme="minorBidi" w:hAnsiTheme="minorBidi" w:cstheme="minorBidi"/>
                <w:sz w:val="18"/>
                <w:szCs w:val="18"/>
              </w:rPr>
              <w:t xml:space="preserve"> 9.09%)</w:t>
            </w:r>
          </w:p>
        </w:tc>
        <w:tc>
          <w:tcPr>
            <w:tcW w:w="752" w:type="pct"/>
          </w:tcPr>
          <w:p w14:paraId="2984E8DE"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6AE66210"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234D02B7"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5C6DE68B" w14:textId="77777777" w:rsidR="00C4260A" w:rsidRPr="00D26003" w:rsidRDefault="00C4260A" w:rsidP="00326637">
            <w:pPr>
              <w:rPr>
                <w:rFonts w:asciiTheme="minorBidi" w:hAnsiTheme="minorBidi" w:cstheme="minorBidi"/>
                <w:sz w:val="18"/>
                <w:szCs w:val="18"/>
                <w:lang w:eastAsia="en-US"/>
              </w:rPr>
            </w:pPr>
          </w:p>
        </w:tc>
        <w:tc>
          <w:tcPr>
            <w:tcW w:w="752" w:type="pct"/>
          </w:tcPr>
          <w:p w14:paraId="7F3247F2" w14:textId="77777777" w:rsidR="00C4260A" w:rsidRPr="00D26003" w:rsidRDefault="00C4260A" w:rsidP="00326637">
            <w:pPr>
              <w:rPr>
                <w:rFonts w:asciiTheme="minorBidi" w:hAnsiTheme="minorBidi" w:cstheme="minorBidi"/>
                <w:sz w:val="18"/>
                <w:szCs w:val="18"/>
                <w:lang w:eastAsia="en-US"/>
              </w:rPr>
            </w:pPr>
          </w:p>
        </w:tc>
      </w:tr>
      <w:tr w:rsidR="00C4260A" w:rsidRPr="00D26003" w14:paraId="1CCF555B" w14:textId="77777777" w:rsidTr="00326637">
        <w:tc>
          <w:tcPr>
            <w:tcW w:w="491" w:type="pct"/>
            <w:shd w:val="clear" w:color="auto" w:fill="D9D9D9" w:themeFill="background1" w:themeFillShade="D9"/>
          </w:tcPr>
          <w:p w14:paraId="419D8786"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12 files</w:t>
            </w:r>
          </w:p>
        </w:tc>
        <w:tc>
          <w:tcPr>
            <w:tcW w:w="751" w:type="pct"/>
          </w:tcPr>
          <w:p w14:paraId="53650894" w14:textId="77777777" w:rsidR="00C4260A" w:rsidRPr="00D26003" w:rsidRDefault="00C4260A" w:rsidP="00326637">
            <w:pPr>
              <w:pStyle w:val="1GAPara"/>
              <w:numPr>
                <w:ilvl w:val="0"/>
                <w:numId w:val="0"/>
              </w:numPr>
              <w:spacing w:after="0"/>
              <w:rPr>
                <w:rFonts w:asciiTheme="minorBidi" w:hAnsiTheme="minorBidi" w:cstheme="minorBidi"/>
                <w:sz w:val="18"/>
                <w:szCs w:val="18"/>
              </w:rPr>
            </w:pPr>
          </w:p>
        </w:tc>
        <w:tc>
          <w:tcPr>
            <w:tcW w:w="752" w:type="pct"/>
          </w:tcPr>
          <w:p w14:paraId="6606FAFE"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34D7CB53"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559FFBF4" w14:textId="01E0A749" w:rsidR="00C4260A" w:rsidRPr="00D26003" w:rsidRDefault="00C4260A" w:rsidP="00326637">
            <w:pPr>
              <w:rPr>
                <w:rFonts w:asciiTheme="minorBidi" w:hAnsiTheme="minorBidi" w:cstheme="minorBidi"/>
                <w:sz w:val="18"/>
                <w:szCs w:val="18"/>
              </w:rPr>
            </w:pPr>
            <w:r w:rsidRPr="00D26003">
              <w:rPr>
                <w:rFonts w:asciiTheme="minorBidi" w:hAnsiTheme="minorBidi" w:cstheme="minorBidi"/>
                <w:sz w:val="18"/>
                <w:szCs w:val="18"/>
              </w:rPr>
              <w:t>Iran (Islamic Republic of) (1 State;</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2.50%)</w:t>
            </w:r>
          </w:p>
        </w:tc>
        <w:tc>
          <w:tcPr>
            <w:tcW w:w="752" w:type="pct"/>
          </w:tcPr>
          <w:p w14:paraId="7591A072" w14:textId="77777777" w:rsidR="00C4260A" w:rsidRPr="00D26003" w:rsidRDefault="00C4260A" w:rsidP="00326637">
            <w:pPr>
              <w:rPr>
                <w:rFonts w:asciiTheme="minorBidi" w:hAnsiTheme="minorBidi"/>
                <w:sz w:val="18"/>
                <w:szCs w:val="18"/>
                <w:lang w:eastAsia="en-US"/>
              </w:rPr>
            </w:pPr>
          </w:p>
        </w:tc>
        <w:tc>
          <w:tcPr>
            <w:tcW w:w="752" w:type="pct"/>
          </w:tcPr>
          <w:p w14:paraId="6EC52953" w14:textId="77777777" w:rsidR="00C4260A" w:rsidRPr="00D26003" w:rsidRDefault="00C4260A" w:rsidP="00326637">
            <w:pPr>
              <w:rPr>
                <w:rFonts w:asciiTheme="minorBidi" w:hAnsiTheme="minorBidi"/>
                <w:sz w:val="18"/>
                <w:szCs w:val="18"/>
                <w:lang w:eastAsia="en-US"/>
              </w:rPr>
            </w:pPr>
          </w:p>
        </w:tc>
      </w:tr>
      <w:tr w:rsidR="00C4260A" w:rsidRPr="00D26003" w14:paraId="715D58E9" w14:textId="77777777" w:rsidTr="00326637">
        <w:tc>
          <w:tcPr>
            <w:tcW w:w="491" w:type="pct"/>
            <w:shd w:val="clear" w:color="auto" w:fill="D9D9D9" w:themeFill="background1" w:themeFillShade="D9"/>
          </w:tcPr>
          <w:p w14:paraId="590A55CE"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22 files</w:t>
            </w:r>
          </w:p>
        </w:tc>
        <w:tc>
          <w:tcPr>
            <w:tcW w:w="751" w:type="pct"/>
          </w:tcPr>
          <w:p w14:paraId="7C8AA031" w14:textId="77777777" w:rsidR="00C4260A" w:rsidRPr="00D26003" w:rsidRDefault="00C4260A" w:rsidP="00326637">
            <w:pPr>
              <w:pStyle w:val="1GAPara"/>
              <w:numPr>
                <w:ilvl w:val="0"/>
                <w:numId w:val="0"/>
              </w:numPr>
              <w:spacing w:after="0"/>
              <w:rPr>
                <w:rFonts w:asciiTheme="minorBidi" w:hAnsiTheme="minorBidi" w:cstheme="minorBidi"/>
                <w:sz w:val="18"/>
                <w:szCs w:val="18"/>
              </w:rPr>
            </w:pPr>
          </w:p>
        </w:tc>
        <w:tc>
          <w:tcPr>
            <w:tcW w:w="752" w:type="pct"/>
          </w:tcPr>
          <w:p w14:paraId="6D306844"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751CEB44"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717A8590" w14:textId="227E56B7"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 xml:space="preserve">India </w:t>
            </w:r>
            <w:r w:rsidRPr="00D26003">
              <w:rPr>
                <w:rFonts w:asciiTheme="minorBidi" w:hAnsiTheme="minorBidi" w:cstheme="minorBidi"/>
                <w:sz w:val="18"/>
                <w:szCs w:val="18"/>
              </w:rPr>
              <w:t>(1 State;</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2.50%)</w:t>
            </w:r>
          </w:p>
        </w:tc>
        <w:tc>
          <w:tcPr>
            <w:tcW w:w="752" w:type="pct"/>
          </w:tcPr>
          <w:p w14:paraId="0462DAE1" w14:textId="77777777" w:rsidR="00C4260A" w:rsidRPr="00D26003" w:rsidRDefault="00C4260A" w:rsidP="00326637">
            <w:pPr>
              <w:rPr>
                <w:rFonts w:asciiTheme="minorBidi" w:hAnsiTheme="minorBidi"/>
                <w:sz w:val="18"/>
                <w:szCs w:val="18"/>
                <w:lang w:eastAsia="en-US"/>
              </w:rPr>
            </w:pPr>
          </w:p>
        </w:tc>
        <w:tc>
          <w:tcPr>
            <w:tcW w:w="752" w:type="pct"/>
          </w:tcPr>
          <w:p w14:paraId="5F739D10" w14:textId="77777777" w:rsidR="00C4260A" w:rsidRPr="00D26003" w:rsidRDefault="00C4260A" w:rsidP="00326637">
            <w:pPr>
              <w:rPr>
                <w:rFonts w:asciiTheme="minorBidi" w:hAnsiTheme="minorBidi"/>
                <w:sz w:val="18"/>
                <w:szCs w:val="18"/>
                <w:lang w:eastAsia="en-US"/>
              </w:rPr>
            </w:pPr>
          </w:p>
        </w:tc>
      </w:tr>
      <w:tr w:rsidR="00C4260A" w:rsidRPr="00D26003" w14:paraId="0F3137F1" w14:textId="77777777" w:rsidTr="00326637">
        <w:tc>
          <w:tcPr>
            <w:tcW w:w="491" w:type="pct"/>
            <w:shd w:val="clear" w:color="auto" w:fill="D9D9D9" w:themeFill="background1" w:themeFillShade="D9"/>
          </w:tcPr>
          <w:p w14:paraId="2528C447"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23 files</w:t>
            </w:r>
          </w:p>
        </w:tc>
        <w:tc>
          <w:tcPr>
            <w:tcW w:w="751" w:type="pct"/>
          </w:tcPr>
          <w:p w14:paraId="27FEA558" w14:textId="77777777" w:rsidR="00C4260A" w:rsidRPr="00D26003" w:rsidRDefault="00C4260A" w:rsidP="00326637">
            <w:pPr>
              <w:pStyle w:val="1GAPara"/>
              <w:numPr>
                <w:ilvl w:val="0"/>
                <w:numId w:val="0"/>
              </w:numPr>
              <w:spacing w:after="0"/>
              <w:rPr>
                <w:rFonts w:asciiTheme="minorBidi" w:hAnsiTheme="minorBidi" w:cstheme="minorBidi"/>
                <w:sz w:val="18"/>
                <w:szCs w:val="18"/>
              </w:rPr>
            </w:pPr>
          </w:p>
        </w:tc>
        <w:tc>
          <w:tcPr>
            <w:tcW w:w="752" w:type="pct"/>
          </w:tcPr>
          <w:p w14:paraId="6F19FABB"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52B4C900" w14:textId="77777777" w:rsidR="00C4260A" w:rsidRPr="00D26003" w:rsidRDefault="00C4260A" w:rsidP="00326637">
            <w:pPr>
              <w:pStyle w:val="1GAPara"/>
              <w:numPr>
                <w:ilvl w:val="0"/>
                <w:numId w:val="0"/>
              </w:numPr>
              <w:spacing w:after="0"/>
              <w:rPr>
                <w:rFonts w:asciiTheme="minorBidi" w:hAnsiTheme="minorBidi" w:cstheme="minorBidi"/>
                <w:snapToGrid/>
                <w:sz w:val="18"/>
                <w:szCs w:val="18"/>
              </w:rPr>
            </w:pPr>
          </w:p>
        </w:tc>
        <w:tc>
          <w:tcPr>
            <w:tcW w:w="752" w:type="pct"/>
          </w:tcPr>
          <w:p w14:paraId="7C8FE295" w14:textId="63D170FD" w:rsidR="00C4260A" w:rsidRPr="00D26003" w:rsidRDefault="00C4260A" w:rsidP="00326637">
            <w:pPr>
              <w:pStyle w:val="1GAPara"/>
              <w:numPr>
                <w:ilvl w:val="0"/>
                <w:numId w:val="0"/>
              </w:numPr>
              <w:spacing w:after="0"/>
              <w:rPr>
                <w:rFonts w:asciiTheme="minorBidi" w:hAnsiTheme="minorBidi" w:cstheme="minorBidi"/>
                <w:snapToGrid/>
                <w:sz w:val="18"/>
                <w:szCs w:val="18"/>
              </w:rPr>
            </w:pPr>
            <w:r w:rsidRPr="00D26003">
              <w:rPr>
                <w:rFonts w:asciiTheme="minorBidi" w:hAnsiTheme="minorBidi" w:cstheme="minorBidi"/>
                <w:snapToGrid/>
                <w:sz w:val="18"/>
                <w:szCs w:val="18"/>
              </w:rPr>
              <w:t xml:space="preserve">Republic of Korea </w:t>
            </w:r>
            <w:r w:rsidRPr="00D26003">
              <w:rPr>
                <w:rFonts w:asciiTheme="minorBidi" w:hAnsiTheme="minorBidi" w:cstheme="minorBidi"/>
                <w:sz w:val="18"/>
                <w:szCs w:val="18"/>
              </w:rPr>
              <w:t>(1 State;</w:t>
            </w:r>
            <w:r w:rsidR="00F77513" w:rsidRPr="00D26003">
              <w:rPr>
                <w:rFonts w:asciiTheme="minorBidi" w:hAnsiTheme="minorBidi" w:cstheme="minorBidi"/>
                <w:sz w:val="18"/>
                <w:szCs w:val="18"/>
              </w:rPr>
              <w:t xml:space="preserve"> </w:t>
            </w:r>
            <w:r w:rsidRPr="00D26003">
              <w:rPr>
                <w:rFonts w:asciiTheme="minorBidi" w:hAnsiTheme="minorBidi" w:cstheme="minorBidi"/>
                <w:sz w:val="18"/>
                <w:szCs w:val="18"/>
              </w:rPr>
              <w:t>2.50%)</w:t>
            </w:r>
          </w:p>
        </w:tc>
        <w:tc>
          <w:tcPr>
            <w:tcW w:w="752" w:type="pct"/>
          </w:tcPr>
          <w:p w14:paraId="36F46950" w14:textId="77777777" w:rsidR="00C4260A" w:rsidRPr="00D26003" w:rsidRDefault="00C4260A" w:rsidP="00326637">
            <w:pPr>
              <w:rPr>
                <w:rFonts w:asciiTheme="minorBidi" w:hAnsiTheme="minorBidi"/>
                <w:sz w:val="18"/>
                <w:szCs w:val="18"/>
                <w:lang w:eastAsia="en-US"/>
              </w:rPr>
            </w:pPr>
          </w:p>
        </w:tc>
        <w:tc>
          <w:tcPr>
            <w:tcW w:w="752" w:type="pct"/>
          </w:tcPr>
          <w:p w14:paraId="5978ED37" w14:textId="77777777" w:rsidR="00C4260A" w:rsidRPr="00D26003" w:rsidRDefault="00C4260A" w:rsidP="00326637">
            <w:pPr>
              <w:rPr>
                <w:rFonts w:asciiTheme="minorBidi" w:hAnsiTheme="minorBidi"/>
                <w:sz w:val="18"/>
                <w:szCs w:val="18"/>
                <w:lang w:eastAsia="en-US"/>
              </w:rPr>
            </w:pPr>
          </w:p>
        </w:tc>
      </w:tr>
      <w:tr w:rsidR="00C4260A" w:rsidRPr="00D26003" w14:paraId="06C981FA" w14:textId="77777777" w:rsidTr="00326637">
        <w:tc>
          <w:tcPr>
            <w:tcW w:w="491" w:type="pct"/>
            <w:shd w:val="clear" w:color="auto" w:fill="D9D9D9" w:themeFill="background1" w:themeFillShade="D9"/>
          </w:tcPr>
          <w:p w14:paraId="6E3BCDAC" w14:textId="77777777" w:rsidR="00C4260A" w:rsidRPr="00D26003" w:rsidRDefault="00C4260A" w:rsidP="00326637">
            <w:pPr>
              <w:pStyle w:val="1GAPara"/>
              <w:keepNext/>
              <w:numPr>
                <w:ilvl w:val="0"/>
                <w:numId w:val="0"/>
              </w:numPr>
              <w:spacing w:after="0"/>
              <w:jc w:val="both"/>
              <w:rPr>
                <w:b/>
                <w:bCs/>
                <w:sz w:val="18"/>
                <w:szCs w:val="18"/>
              </w:rPr>
            </w:pPr>
            <w:r w:rsidRPr="00D26003">
              <w:rPr>
                <w:b/>
                <w:bCs/>
                <w:sz w:val="18"/>
                <w:szCs w:val="18"/>
              </w:rPr>
              <w:t>Number of files in the backlog</w:t>
            </w:r>
          </w:p>
          <w:p w14:paraId="074E3760"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b/>
                <w:bCs/>
                <w:sz w:val="18"/>
                <w:szCs w:val="18"/>
              </w:rPr>
              <w:t>(129 in total)</w:t>
            </w:r>
          </w:p>
        </w:tc>
        <w:tc>
          <w:tcPr>
            <w:tcW w:w="751" w:type="pct"/>
          </w:tcPr>
          <w:p w14:paraId="5EAF02F7" w14:textId="77777777" w:rsidR="00C4260A" w:rsidRPr="00D26003" w:rsidRDefault="00C4260A" w:rsidP="00326637">
            <w:pPr>
              <w:pStyle w:val="1GAPara"/>
              <w:numPr>
                <w:ilvl w:val="0"/>
                <w:numId w:val="0"/>
              </w:numPr>
              <w:spacing w:after="0"/>
              <w:jc w:val="center"/>
              <w:rPr>
                <w:rFonts w:asciiTheme="minorBidi" w:hAnsiTheme="minorBidi" w:cstheme="minorBidi"/>
                <w:sz w:val="18"/>
                <w:szCs w:val="18"/>
              </w:rPr>
            </w:pPr>
            <w:r w:rsidRPr="00D26003">
              <w:rPr>
                <w:rFonts w:asciiTheme="minorBidi" w:hAnsiTheme="minorBidi" w:cstheme="minorBidi"/>
                <w:sz w:val="18"/>
                <w:szCs w:val="18"/>
              </w:rPr>
              <w:t>16 files</w:t>
            </w:r>
          </w:p>
        </w:tc>
        <w:tc>
          <w:tcPr>
            <w:tcW w:w="752" w:type="pct"/>
          </w:tcPr>
          <w:p w14:paraId="7B119432" w14:textId="77777777" w:rsidR="00C4260A" w:rsidRPr="00D26003" w:rsidRDefault="00C4260A" w:rsidP="00326637">
            <w:pPr>
              <w:pStyle w:val="1GAPara"/>
              <w:numPr>
                <w:ilvl w:val="0"/>
                <w:numId w:val="0"/>
              </w:numPr>
              <w:spacing w:after="0"/>
              <w:jc w:val="center"/>
              <w:rPr>
                <w:rFonts w:asciiTheme="minorBidi" w:hAnsiTheme="minorBidi" w:cstheme="minorBidi"/>
                <w:snapToGrid/>
                <w:sz w:val="18"/>
                <w:szCs w:val="18"/>
              </w:rPr>
            </w:pPr>
            <w:r w:rsidRPr="00D26003">
              <w:rPr>
                <w:rFonts w:asciiTheme="minorBidi" w:hAnsiTheme="minorBidi" w:cstheme="minorBidi"/>
                <w:sz w:val="18"/>
                <w:szCs w:val="18"/>
              </w:rPr>
              <w:t>15 files</w:t>
            </w:r>
          </w:p>
        </w:tc>
        <w:tc>
          <w:tcPr>
            <w:tcW w:w="752" w:type="pct"/>
          </w:tcPr>
          <w:p w14:paraId="6C6F3387" w14:textId="77777777" w:rsidR="00C4260A" w:rsidRPr="00D26003" w:rsidRDefault="00C4260A" w:rsidP="00326637">
            <w:pPr>
              <w:pStyle w:val="1GAPara"/>
              <w:numPr>
                <w:ilvl w:val="0"/>
                <w:numId w:val="0"/>
              </w:numPr>
              <w:spacing w:after="0"/>
              <w:jc w:val="center"/>
              <w:rPr>
                <w:rFonts w:asciiTheme="minorBidi" w:hAnsiTheme="minorBidi" w:cstheme="minorBidi"/>
                <w:snapToGrid/>
                <w:sz w:val="18"/>
                <w:szCs w:val="18"/>
              </w:rPr>
            </w:pPr>
            <w:r w:rsidRPr="00D26003">
              <w:rPr>
                <w:rFonts w:asciiTheme="minorBidi" w:hAnsiTheme="minorBidi" w:cstheme="minorBidi"/>
                <w:snapToGrid/>
                <w:sz w:val="18"/>
                <w:szCs w:val="18"/>
              </w:rPr>
              <w:t xml:space="preserve">4 </w:t>
            </w:r>
            <w:r w:rsidRPr="00D26003">
              <w:rPr>
                <w:rFonts w:asciiTheme="minorBidi" w:hAnsiTheme="minorBidi" w:cstheme="minorBidi"/>
                <w:sz w:val="18"/>
                <w:szCs w:val="18"/>
              </w:rPr>
              <w:t>files</w:t>
            </w:r>
          </w:p>
        </w:tc>
        <w:tc>
          <w:tcPr>
            <w:tcW w:w="752" w:type="pct"/>
          </w:tcPr>
          <w:p w14:paraId="0118BB82" w14:textId="77777777" w:rsidR="00C4260A" w:rsidRPr="00D26003" w:rsidRDefault="00C4260A" w:rsidP="00326637">
            <w:pPr>
              <w:pStyle w:val="1GAPara"/>
              <w:numPr>
                <w:ilvl w:val="0"/>
                <w:numId w:val="0"/>
              </w:numPr>
              <w:spacing w:after="0"/>
              <w:jc w:val="center"/>
              <w:rPr>
                <w:rFonts w:asciiTheme="minorBidi" w:hAnsiTheme="minorBidi" w:cstheme="minorBidi"/>
                <w:snapToGrid/>
                <w:sz w:val="18"/>
                <w:szCs w:val="18"/>
              </w:rPr>
            </w:pPr>
            <w:r w:rsidRPr="00D26003">
              <w:rPr>
                <w:rFonts w:asciiTheme="minorBidi" w:hAnsiTheme="minorBidi" w:cstheme="minorBidi"/>
                <w:sz w:val="18"/>
                <w:szCs w:val="18"/>
              </w:rPr>
              <w:t>74 files</w:t>
            </w:r>
          </w:p>
        </w:tc>
        <w:tc>
          <w:tcPr>
            <w:tcW w:w="752" w:type="pct"/>
          </w:tcPr>
          <w:p w14:paraId="2CDE0846" w14:textId="77777777" w:rsidR="00C4260A" w:rsidRPr="00D26003" w:rsidRDefault="00C4260A" w:rsidP="00326637">
            <w:pPr>
              <w:jc w:val="center"/>
              <w:rPr>
                <w:rFonts w:asciiTheme="minorBidi" w:hAnsiTheme="minorBidi"/>
                <w:sz w:val="18"/>
                <w:szCs w:val="18"/>
                <w:lang w:eastAsia="en-US"/>
              </w:rPr>
            </w:pPr>
            <w:r w:rsidRPr="00D26003">
              <w:rPr>
                <w:rFonts w:asciiTheme="minorBidi" w:hAnsiTheme="minorBidi" w:cstheme="minorBidi"/>
                <w:sz w:val="18"/>
                <w:szCs w:val="18"/>
              </w:rPr>
              <w:t>5 files</w:t>
            </w:r>
          </w:p>
        </w:tc>
        <w:tc>
          <w:tcPr>
            <w:tcW w:w="752" w:type="pct"/>
          </w:tcPr>
          <w:p w14:paraId="5CF0390D" w14:textId="77777777" w:rsidR="00C4260A" w:rsidRPr="00D26003" w:rsidRDefault="00C4260A" w:rsidP="00326637">
            <w:pPr>
              <w:jc w:val="center"/>
              <w:rPr>
                <w:rFonts w:asciiTheme="minorBidi" w:hAnsiTheme="minorBidi"/>
                <w:sz w:val="18"/>
                <w:szCs w:val="18"/>
                <w:lang w:eastAsia="en-US"/>
              </w:rPr>
            </w:pPr>
            <w:r w:rsidRPr="00D26003">
              <w:rPr>
                <w:rFonts w:asciiTheme="minorBidi" w:hAnsiTheme="minorBidi" w:cstheme="minorBidi"/>
                <w:sz w:val="18"/>
                <w:szCs w:val="18"/>
              </w:rPr>
              <w:t>15 files</w:t>
            </w:r>
          </w:p>
        </w:tc>
      </w:tr>
      <w:tr w:rsidR="00C4260A" w:rsidRPr="00D26003" w14:paraId="6713C951" w14:textId="77777777" w:rsidTr="00326637">
        <w:tc>
          <w:tcPr>
            <w:tcW w:w="491" w:type="pct"/>
            <w:shd w:val="clear" w:color="auto" w:fill="D9D9D9" w:themeFill="background1" w:themeFillShade="D9"/>
          </w:tcPr>
          <w:p w14:paraId="7B8C124F" w14:textId="77777777" w:rsidR="00C4260A" w:rsidRPr="00D26003" w:rsidRDefault="00C4260A" w:rsidP="00326637">
            <w:pPr>
              <w:pStyle w:val="1GAPara"/>
              <w:numPr>
                <w:ilvl w:val="0"/>
                <w:numId w:val="0"/>
              </w:numPr>
              <w:spacing w:after="0"/>
              <w:rPr>
                <w:rFonts w:asciiTheme="minorBidi" w:hAnsiTheme="minorBidi" w:cstheme="minorBidi"/>
                <w:b/>
                <w:bCs/>
                <w:sz w:val="18"/>
                <w:szCs w:val="18"/>
              </w:rPr>
            </w:pPr>
            <w:r w:rsidRPr="00D26003">
              <w:rPr>
                <w:rFonts w:asciiTheme="minorBidi" w:hAnsiTheme="minorBidi" w:cstheme="minorBidi"/>
                <w:b/>
                <w:bCs/>
                <w:sz w:val="18"/>
                <w:szCs w:val="18"/>
              </w:rPr>
              <w:t xml:space="preserve">Percentage </w:t>
            </w:r>
          </w:p>
        </w:tc>
        <w:tc>
          <w:tcPr>
            <w:tcW w:w="751" w:type="pct"/>
          </w:tcPr>
          <w:p w14:paraId="47A74D45" w14:textId="7F3BCFAC" w:rsidR="00C4260A" w:rsidRPr="00D26003" w:rsidRDefault="00C4260A" w:rsidP="00326637">
            <w:pPr>
              <w:pStyle w:val="1GAPara"/>
              <w:numPr>
                <w:ilvl w:val="0"/>
                <w:numId w:val="0"/>
              </w:numPr>
              <w:spacing w:after="0"/>
              <w:jc w:val="center"/>
              <w:rPr>
                <w:rFonts w:asciiTheme="minorBidi" w:hAnsiTheme="minorBidi" w:cstheme="minorBidi"/>
                <w:sz w:val="18"/>
                <w:szCs w:val="18"/>
              </w:rPr>
            </w:pPr>
            <w:r w:rsidRPr="00D26003">
              <w:rPr>
                <w:rFonts w:asciiTheme="minorBidi" w:hAnsiTheme="minorBidi" w:cstheme="minorBidi"/>
                <w:snapToGrid/>
                <w:sz w:val="18"/>
                <w:szCs w:val="18"/>
              </w:rPr>
              <w:t>12.4%</w:t>
            </w:r>
          </w:p>
        </w:tc>
        <w:tc>
          <w:tcPr>
            <w:tcW w:w="752" w:type="pct"/>
          </w:tcPr>
          <w:p w14:paraId="784C318C" w14:textId="349AF365" w:rsidR="00C4260A" w:rsidRPr="00D26003" w:rsidRDefault="00C4260A" w:rsidP="00326637">
            <w:pPr>
              <w:pStyle w:val="1GAPara"/>
              <w:numPr>
                <w:ilvl w:val="0"/>
                <w:numId w:val="0"/>
              </w:numPr>
              <w:spacing w:after="0"/>
              <w:jc w:val="center"/>
              <w:rPr>
                <w:rFonts w:asciiTheme="minorBidi" w:hAnsiTheme="minorBidi" w:cstheme="minorBidi"/>
                <w:snapToGrid/>
                <w:sz w:val="18"/>
                <w:szCs w:val="18"/>
              </w:rPr>
            </w:pPr>
            <w:r w:rsidRPr="00D26003">
              <w:rPr>
                <w:rFonts w:asciiTheme="minorBidi" w:hAnsiTheme="minorBidi" w:cstheme="minorBidi"/>
                <w:snapToGrid/>
                <w:sz w:val="18"/>
                <w:szCs w:val="18"/>
              </w:rPr>
              <w:t>11.6%</w:t>
            </w:r>
          </w:p>
        </w:tc>
        <w:tc>
          <w:tcPr>
            <w:tcW w:w="752" w:type="pct"/>
          </w:tcPr>
          <w:p w14:paraId="1E15ADC4" w14:textId="3778318C" w:rsidR="00C4260A" w:rsidRPr="00D26003" w:rsidRDefault="00C4260A" w:rsidP="00326637">
            <w:pPr>
              <w:pStyle w:val="1GAPara"/>
              <w:numPr>
                <w:ilvl w:val="0"/>
                <w:numId w:val="0"/>
              </w:numPr>
              <w:spacing w:after="0"/>
              <w:jc w:val="center"/>
              <w:rPr>
                <w:rFonts w:asciiTheme="minorBidi" w:hAnsiTheme="minorBidi" w:cstheme="minorBidi"/>
                <w:snapToGrid/>
                <w:sz w:val="18"/>
                <w:szCs w:val="18"/>
              </w:rPr>
            </w:pPr>
            <w:r w:rsidRPr="00D26003">
              <w:rPr>
                <w:rFonts w:asciiTheme="minorBidi" w:hAnsiTheme="minorBidi" w:cstheme="minorBidi"/>
                <w:snapToGrid/>
                <w:sz w:val="18"/>
                <w:szCs w:val="18"/>
              </w:rPr>
              <w:t>3.1%</w:t>
            </w:r>
          </w:p>
        </w:tc>
        <w:tc>
          <w:tcPr>
            <w:tcW w:w="752" w:type="pct"/>
          </w:tcPr>
          <w:p w14:paraId="40B7ECE1" w14:textId="1911A91E" w:rsidR="00C4260A" w:rsidRPr="00D26003" w:rsidRDefault="00C4260A" w:rsidP="00326637">
            <w:pPr>
              <w:pStyle w:val="1GAPara"/>
              <w:numPr>
                <w:ilvl w:val="0"/>
                <w:numId w:val="0"/>
              </w:numPr>
              <w:spacing w:after="0"/>
              <w:jc w:val="center"/>
              <w:rPr>
                <w:rFonts w:asciiTheme="minorBidi" w:hAnsiTheme="minorBidi" w:cstheme="minorBidi"/>
                <w:snapToGrid/>
                <w:sz w:val="18"/>
                <w:szCs w:val="18"/>
              </w:rPr>
            </w:pPr>
            <w:r w:rsidRPr="00D26003">
              <w:rPr>
                <w:rFonts w:asciiTheme="minorBidi" w:hAnsiTheme="minorBidi" w:cstheme="minorBidi"/>
                <w:snapToGrid/>
                <w:sz w:val="18"/>
                <w:szCs w:val="18"/>
              </w:rPr>
              <w:t>57.</w:t>
            </w:r>
            <w:r w:rsidR="00EB2942" w:rsidRPr="00D26003">
              <w:rPr>
                <w:rFonts w:asciiTheme="minorBidi" w:hAnsiTheme="minorBidi" w:cstheme="minorBidi"/>
                <w:snapToGrid/>
                <w:sz w:val="18"/>
                <w:szCs w:val="18"/>
              </w:rPr>
              <w:t>4</w:t>
            </w:r>
            <w:r w:rsidRPr="00D26003">
              <w:rPr>
                <w:rFonts w:asciiTheme="minorBidi" w:hAnsiTheme="minorBidi" w:cstheme="minorBidi"/>
                <w:snapToGrid/>
                <w:sz w:val="18"/>
                <w:szCs w:val="18"/>
              </w:rPr>
              <w:t>%</w:t>
            </w:r>
          </w:p>
        </w:tc>
        <w:tc>
          <w:tcPr>
            <w:tcW w:w="752" w:type="pct"/>
          </w:tcPr>
          <w:p w14:paraId="6B0741D0" w14:textId="5591B4E5" w:rsidR="00C4260A" w:rsidRPr="00D26003" w:rsidRDefault="00C4260A" w:rsidP="00326637">
            <w:pPr>
              <w:jc w:val="center"/>
              <w:rPr>
                <w:rFonts w:asciiTheme="minorBidi" w:hAnsiTheme="minorBidi"/>
                <w:sz w:val="18"/>
                <w:szCs w:val="18"/>
                <w:lang w:eastAsia="en-US"/>
              </w:rPr>
            </w:pPr>
            <w:r w:rsidRPr="00D26003">
              <w:rPr>
                <w:rFonts w:asciiTheme="minorBidi" w:hAnsiTheme="minorBidi"/>
                <w:sz w:val="18"/>
                <w:szCs w:val="18"/>
                <w:lang w:eastAsia="en-US"/>
              </w:rPr>
              <w:t>3.</w:t>
            </w:r>
            <w:r w:rsidR="00EB2942" w:rsidRPr="00D26003">
              <w:rPr>
                <w:rFonts w:asciiTheme="minorBidi" w:hAnsiTheme="minorBidi"/>
                <w:sz w:val="18"/>
                <w:szCs w:val="18"/>
                <w:lang w:eastAsia="en-US"/>
              </w:rPr>
              <w:t>9</w:t>
            </w:r>
            <w:r w:rsidRPr="00D26003">
              <w:rPr>
                <w:rFonts w:asciiTheme="minorBidi" w:hAnsiTheme="minorBidi"/>
                <w:sz w:val="18"/>
                <w:szCs w:val="18"/>
                <w:lang w:eastAsia="en-US"/>
              </w:rPr>
              <w:t>%</w:t>
            </w:r>
          </w:p>
        </w:tc>
        <w:tc>
          <w:tcPr>
            <w:tcW w:w="752" w:type="pct"/>
          </w:tcPr>
          <w:p w14:paraId="1074ACBF" w14:textId="51D59C97" w:rsidR="00C4260A" w:rsidRPr="00D26003" w:rsidRDefault="00C4260A" w:rsidP="00326637">
            <w:pPr>
              <w:jc w:val="center"/>
              <w:rPr>
                <w:rFonts w:asciiTheme="minorBidi" w:hAnsiTheme="minorBidi"/>
                <w:sz w:val="18"/>
                <w:szCs w:val="18"/>
                <w:lang w:eastAsia="en-US"/>
              </w:rPr>
            </w:pPr>
            <w:r w:rsidRPr="00D26003">
              <w:rPr>
                <w:rFonts w:asciiTheme="minorBidi" w:hAnsiTheme="minorBidi"/>
                <w:sz w:val="18"/>
                <w:szCs w:val="18"/>
                <w:lang w:eastAsia="en-US"/>
              </w:rPr>
              <w:t>11.6%</w:t>
            </w:r>
          </w:p>
        </w:tc>
      </w:tr>
    </w:tbl>
    <w:p w14:paraId="43982C9F" w14:textId="77777777" w:rsidR="00C4260A" w:rsidRPr="00D26003" w:rsidRDefault="00C4260A">
      <w:pPr>
        <w:spacing w:after="0"/>
      </w:pPr>
    </w:p>
    <w:p w14:paraId="67803C1D" w14:textId="385F50D4" w:rsidR="00C4260A" w:rsidRPr="00D26003" w:rsidRDefault="00C4260A">
      <w:pPr>
        <w:spacing w:after="0"/>
        <w:rPr>
          <w:rFonts w:ascii="Arial" w:hAnsi="Arial" w:cs="Arial"/>
          <w:snapToGrid w:val="0"/>
          <w:szCs w:val="22"/>
          <w:lang w:eastAsia="en-US"/>
        </w:rPr>
      </w:pPr>
      <w:r w:rsidRPr="00D26003">
        <w:br w:type="page"/>
      </w:r>
    </w:p>
    <w:p w14:paraId="78B9E358" w14:textId="0936604F" w:rsidR="00563DDD" w:rsidRPr="00D26003" w:rsidRDefault="00635EA9" w:rsidP="00365B94">
      <w:pPr>
        <w:pStyle w:val="1GAPara"/>
        <w:numPr>
          <w:ilvl w:val="0"/>
          <w:numId w:val="0"/>
        </w:numPr>
        <w:ind w:left="567" w:hanging="567"/>
        <w:rPr>
          <w:b/>
          <w:bCs/>
        </w:rPr>
      </w:pPr>
      <w:bookmarkStart w:id="3" w:name="Annex3"/>
      <w:r w:rsidRPr="00D26003">
        <w:rPr>
          <w:b/>
          <w:bCs/>
        </w:rPr>
        <w:lastRenderedPageBreak/>
        <w:t>Annex I</w:t>
      </w:r>
      <w:r w:rsidR="00CD4335" w:rsidRPr="00D26003">
        <w:rPr>
          <w:b/>
          <w:bCs/>
        </w:rPr>
        <w:t>I</w:t>
      </w:r>
      <w:r w:rsidRPr="00D26003">
        <w:rPr>
          <w:b/>
          <w:bCs/>
        </w:rPr>
        <w:t>I</w:t>
      </w:r>
      <w:bookmarkEnd w:id="3"/>
      <w:r w:rsidRPr="00D26003">
        <w:rPr>
          <w:b/>
          <w:bCs/>
        </w:rPr>
        <w:t xml:space="preserve">: </w:t>
      </w:r>
      <w:r w:rsidR="00E91EDF" w:rsidRPr="00D26003">
        <w:rPr>
          <w:b/>
          <w:bCs/>
        </w:rPr>
        <w:t xml:space="preserve">Nominations process to the </w:t>
      </w:r>
      <w:r w:rsidR="00F22F6E" w:rsidRPr="00D26003">
        <w:rPr>
          <w:b/>
          <w:bCs/>
        </w:rPr>
        <w:t>l</w:t>
      </w:r>
      <w:r w:rsidR="00E91EDF" w:rsidRPr="00D26003">
        <w:rPr>
          <w:b/>
          <w:bCs/>
        </w:rPr>
        <w:t xml:space="preserve">isting </w:t>
      </w:r>
      <w:r w:rsidR="00F22F6E" w:rsidRPr="00D26003">
        <w:rPr>
          <w:b/>
          <w:bCs/>
        </w:rPr>
        <w:t>m</w:t>
      </w:r>
      <w:r w:rsidR="00E91EDF" w:rsidRPr="00D26003">
        <w:rPr>
          <w:b/>
          <w:bCs/>
        </w:rPr>
        <w:t>echanisms of the 2003 Convention</w:t>
      </w:r>
    </w:p>
    <w:p w14:paraId="4A8E4DA2" w14:textId="55E1D0BE" w:rsidR="00563DDD" w:rsidRPr="00D26003" w:rsidRDefault="00E91EDF" w:rsidP="00A955DA">
      <w:pPr>
        <w:pStyle w:val="1GAPara"/>
        <w:numPr>
          <w:ilvl w:val="0"/>
          <w:numId w:val="0"/>
        </w:numPr>
        <w:ind w:left="567" w:hanging="567"/>
      </w:pPr>
      <w:r w:rsidRPr="00D26003">
        <w:rPr>
          <w:noProof/>
        </w:rPr>
        <w:drawing>
          <wp:inline distT="0" distB="0" distL="0" distR="0" wp14:anchorId="0F3AD24C" wp14:editId="398F6859">
            <wp:extent cx="7991061" cy="45421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12925" cy="4554538"/>
                    </a:xfrm>
                    <a:prstGeom prst="rect">
                      <a:avLst/>
                    </a:prstGeom>
                    <a:noFill/>
                  </pic:spPr>
                </pic:pic>
              </a:graphicData>
            </a:graphic>
          </wp:inline>
        </w:drawing>
      </w:r>
    </w:p>
    <w:p w14:paraId="5311EE1A" w14:textId="13F5B0AE" w:rsidR="00FC206B" w:rsidRPr="00D26003" w:rsidRDefault="00D4737F" w:rsidP="00C61D37">
      <w:pPr>
        <w:pStyle w:val="1GAPara"/>
        <w:numPr>
          <w:ilvl w:val="0"/>
          <w:numId w:val="0"/>
        </w:numPr>
      </w:pPr>
      <w:r w:rsidRPr="00D26003">
        <w:t xml:space="preserve">This visualisation is from the Evaluation of UNESCO’s action in the framework of the 2003 Convention for the Safeguarding of the Intangible Cultural Heritage (final report); document </w:t>
      </w:r>
      <w:hyperlink r:id="rId22" w:history="1">
        <w:r w:rsidRPr="00D26003">
          <w:rPr>
            <w:rStyle w:val="Lienhypertexte"/>
          </w:rPr>
          <w:t>LHE/21/16.COM/INF.10 Rev.</w:t>
        </w:r>
      </w:hyperlink>
    </w:p>
    <w:sectPr w:rsidR="00FC206B" w:rsidRPr="00D26003" w:rsidSect="00E91EDF">
      <w:headerReference w:type="first" r:id="rId23"/>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20B2" w14:textId="77777777" w:rsidR="00B05FAD" w:rsidRDefault="00B05FAD" w:rsidP="002938F2">
      <w:r>
        <w:separator/>
      </w:r>
    </w:p>
    <w:p w14:paraId="7C271B09" w14:textId="77777777" w:rsidR="00B05FAD" w:rsidRDefault="00B05FAD"/>
  </w:endnote>
  <w:endnote w:type="continuationSeparator" w:id="0">
    <w:p w14:paraId="0F28BBF7" w14:textId="77777777" w:rsidR="00B05FAD" w:rsidRDefault="00B05FAD" w:rsidP="002938F2">
      <w:r>
        <w:continuationSeparator/>
      </w:r>
    </w:p>
    <w:p w14:paraId="28BFB4F9" w14:textId="77777777" w:rsidR="00B05FAD" w:rsidRDefault="00B05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B3F8" w14:textId="77777777" w:rsidR="00B05FAD" w:rsidRDefault="00B05FAD" w:rsidP="007B44CC">
      <w:r>
        <w:separator/>
      </w:r>
    </w:p>
  </w:footnote>
  <w:footnote w:type="continuationSeparator" w:id="0">
    <w:p w14:paraId="2CE615E2" w14:textId="77777777" w:rsidR="00B05FAD" w:rsidRDefault="00B05FAD" w:rsidP="007B44CC">
      <w:r>
        <w:continuationSeparator/>
      </w:r>
    </w:p>
  </w:footnote>
  <w:footnote w:type="continuationNotice" w:id="1">
    <w:p w14:paraId="329D912F" w14:textId="77777777" w:rsidR="00B05FAD" w:rsidRDefault="00B05FAD">
      <w:pPr>
        <w:spacing w:after="0"/>
      </w:pPr>
    </w:p>
  </w:footnote>
  <w:footnote w:id="2">
    <w:p w14:paraId="724D5FA7" w14:textId="2516038B" w:rsidR="00FB0566" w:rsidRPr="006661F8" w:rsidRDefault="000904F2" w:rsidP="00C61D37">
      <w:pPr>
        <w:pStyle w:val="Notedebasdepage"/>
        <w:tabs>
          <w:tab w:val="left" w:pos="540"/>
        </w:tabs>
        <w:jc w:val="both"/>
        <w:rPr>
          <w:rFonts w:asciiTheme="minorBidi" w:hAnsiTheme="minorBidi" w:cstheme="minorBidi"/>
          <w:sz w:val="18"/>
          <w:szCs w:val="18"/>
          <w:lang w:val="pt-PT"/>
        </w:rPr>
      </w:pPr>
      <w:r w:rsidRPr="006661F8">
        <w:rPr>
          <w:rStyle w:val="Appelnotedebasdep"/>
          <w:rFonts w:asciiTheme="minorBidi" w:hAnsiTheme="minorBidi" w:cstheme="minorBidi"/>
          <w:sz w:val="18"/>
          <w:szCs w:val="18"/>
          <w:vertAlign w:val="baseline"/>
        </w:rPr>
        <w:footnoteRef/>
      </w:r>
      <w:r w:rsidR="00715592" w:rsidRPr="006661F8">
        <w:rPr>
          <w:rFonts w:asciiTheme="minorBidi" w:hAnsiTheme="minorBidi" w:cstheme="minorBidi"/>
          <w:sz w:val="18"/>
          <w:szCs w:val="18"/>
          <w:lang w:val="pt-PT"/>
        </w:rPr>
        <w:t>.</w:t>
      </w:r>
      <w:r w:rsidR="00187F9D" w:rsidRPr="006661F8">
        <w:rPr>
          <w:rFonts w:asciiTheme="minorBidi" w:hAnsiTheme="minorBidi" w:cstheme="minorBidi"/>
          <w:sz w:val="18"/>
          <w:szCs w:val="18"/>
          <w:lang w:val="pt-PT"/>
        </w:rPr>
        <w:tab/>
      </w:r>
      <w:hyperlink r:id="rId1" w:history="1">
        <w:r w:rsidR="00187F9D" w:rsidRPr="006661F8">
          <w:rPr>
            <w:rStyle w:val="Lienhypertexte"/>
            <w:rFonts w:asciiTheme="minorBidi" w:hAnsiTheme="minorBidi" w:cstheme="minorBidi"/>
            <w:sz w:val="18"/>
            <w:szCs w:val="18"/>
            <w:lang w:val="pt-PT"/>
          </w:rPr>
          <w:t>https://ich.unesco.org/en/events/expert-meeting-on-the-2003-convention-00129</w:t>
        </w:r>
      </w:hyperlink>
    </w:p>
  </w:footnote>
  <w:footnote w:id="3">
    <w:p w14:paraId="69D7FED5" w14:textId="5892AEB5" w:rsidR="00FB0566" w:rsidRPr="005A0A2D" w:rsidRDefault="00FB0566">
      <w:pPr>
        <w:pStyle w:val="Notedebasdepage"/>
        <w:tabs>
          <w:tab w:val="left" w:pos="540"/>
        </w:tabs>
        <w:rPr>
          <w:rFonts w:asciiTheme="minorBidi" w:hAnsiTheme="minorBidi" w:cstheme="minorBidi"/>
          <w:sz w:val="18"/>
          <w:szCs w:val="18"/>
          <w:lang w:val="pt-PT"/>
        </w:rPr>
      </w:pPr>
      <w:r w:rsidRPr="006661F8">
        <w:rPr>
          <w:rStyle w:val="Appelnotedebasdep"/>
          <w:rFonts w:asciiTheme="minorBidi" w:hAnsiTheme="minorBidi" w:cstheme="minorBidi"/>
          <w:sz w:val="18"/>
          <w:szCs w:val="18"/>
          <w:vertAlign w:val="baseline"/>
        </w:rPr>
        <w:footnoteRef/>
      </w:r>
      <w:r w:rsidR="00715592" w:rsidRPr="006661F8">
        <w:rPr>
          <w:rFonts w:asciiTheme="minorBidi" w:hAnsiTheme="minorBidi" w:cstheme="minorBidi"/>
          <w:sz w:val="18"/>
          <w:szCs w:val="18"/>
          <w:lang w:val="pt-PT"/>
        </w:rPr>
        <w:t>.</w:t>
      </w:r>
      <w:r w:rsidR="00187F9D" w:rsidRPr="006661F8">
        <w:rPr>
          <w:rFonts w:asciiTheme="minorBidi" w:hAnsiTheme="minorBidi" w:cstheme="minorBidi"/>
          <w:sz w:val="18"/>
          <w:szCs w:val="18"/>
          <w:lang w:val="pt-PT"/>
        </w:rPr>
        <w:tab/>
      </w:r>
      <w:r w:rsidR="002F0CE5">
        <w:fldChar w:fldCharType="begin"/>
      </w:r>
      <w:r w:rsidR="002F0CE5" w:rsidRPr="009764F5">
        <w:rPr>
          <w:lang w:val="pt-PT"/>
        </w:rPr>
        <w:instrText xml:space="preserve"> HYPERLINK "http://ich.unesco.org/en/events/5.COM-3.WG-00131" </w:instrText>
      </w:r>
      <w:r w:rsidR="002F0CE5">
        <w:fldChar w:fldCharType="separate"/>
      </w:r>
      <w:r w:rsidR="00187F9D" w:rsidRPr="005A0A2D">
        <w:rPr>
          <w:rStyle w:val="Lienhypertexte"/>
          <w:rFonts w:asciiTheme="minorBidi" w:hAnsiTheme="minorBidi" w:cstheme="minorBidi"/>
          <w:sz w:val="18"/>
          <w:szCs w:val="18"/>
          <w:lang w:val="pt-PT"/>
        </w:rPr>
        <w:t>http://ich.unesco.org/en/events/5.COM-3.WG-00131</w:t>
      </w:r>
      <w:r w:rsidR="002F0CE5">
        <w:rPr>
          <w:rStyle w:val="Lienhypertexte"/>
          <w:rFonts w:asciiTheme="minorBidi" w:hAnsiTheme="minorBidi" w:cstheme="minorBidi"/>
          <w:sz w:val="18"/>
          <w:szCs w:val="18"/>
          <w:lang w:val="pt-PT"/>
        </w:rPr>
        <w:fldChar w:fldCharType="end"/>
      </w:r>
      <w:r w:rsidRPr="005A0A2D">
        <w:rPr>
          <w:rFonts w:asciiTheme="minorBidi" w:hAnsiTheme="minorBidi" w:cstheme="minorBidi"/>
          <w:sz w:val="18"/>
          <w:szCs w:val="18"/>
          <w:lang w:val="pt-PT"/>
        </w:rPr>
        <w:t xml:space="preserve">; </w:t>
      </w:r>
      <w:hyperlink r:id="rId2" w:history="1">
        <w:r w:rsidRPr="005A0A2D">
          <w:rPr>
            <w:rStyle w:val="Lienhypertexte"/>
            <w:rFonts w:asciiTheme="minorBidi" w:hAnsiTheme="minorBidi" w:cstheme="minorBidi"/>
            <w:sz w:val="18"/>
            <w:szCs w:val="18"/>
            <w:lang w:val="pt-PT"/>
          </w:rPr>
          <w:t>http://ich.unesco.org/en/events/5.COM-3.1.WG-00133</w:t>
        </w:r>
      </w:hyperlink>
      <w:r w:rsidR="00187F9D" w:rsidRPr="005A0A2D">
        <w:rPr>
          <w:rFonts w:asciiTheme="minorBidi" w:hAnsiTheme="minorBidi" w:cstheme="minorBidi"/>
          <w:sz w:val="18"/>
          <w:szCs w:val="18"/>
          <w:lang w:val="pt-PT"/>
        </w:rPr>
        <w:t xml:space="preserve">; </w:t>
      </w:r>
      <w:r w:rsidR="00187F9D" w:rsidRPr="005A0A2D">
        <w:rPr>
          <w:rFonts w:asciiTheme="minorBidi" w:hAnsiTheme="minorBidi" w:cstheme="minorBidi"/>
          <w:sz w:val="18"/>
          <w:szCs w:val="18"/>
          <w:lang w:val="pt-PT"/>
        </w:rPr>
        <w:tab/>
      </w:r>
      <w:hyperlink r:id="rId3" w:history="1">
        <w:r w:rsidR="00187F9D" w:rsidRPr="005A0A2D">
          <w:rPr>
            <w:rStyle w:val="Lienhypertexte"/>
            <w:rFonts w:asciiTheme="minorBidi" w:hAnsiTheme="minorBidi" w:cstheme="minorBidi"/>
            <w:sz w:val="18"/>
            <w:szCs w:val="18"/>
            <w:lang w:val="pt-PT"/>
          </w:rPr>
          <w:t>http://ich.unesco.org/en/events/5.COM-4.WG-00134</w:t>
        </w:r>
      </w:hyperlink>
    </w:p>
  </w:footnote>
  <w:footnote w:id="4">
    <w:p w14:paraId="1E58102A" w14:textId="55ADA425" w:rsidR="00FB0566" w:rsidRPr="006661F8" w:rsidRDefault="00FB0566" w:rsidP="00725260">
      <w:pPr>
        <w:pStyle w:val="Notedebasdepage"/>
        <w:tabs>
          <w:tab w:val="left" w:pos="540"/>
        </w:tabs>
        <w:ind w:left="540" w:hanging="540"/>
        <w:jc w:val="both"/>
        <w:rPr>
          <w:rFonts w:asciiTheme="minorBidi" w:hAnsiTheme="minorBidi" w:cstheme="minorBidi"/>
          <w:sz w:val="18"/>
          <w:szCs w:val="18"/>
          <w:lang w:val="pt-PT"/>
        </w:rPr>
      </w:pPr>
      <w:r w:rsidRPr="006661F8">
        <w:rPr>
          <w:rStyle w:val="Appelnotedebasdep"/>
          <w:rFonts w:asciiTheme="minorBidi" w:hAnsiTheme="minorBidi" w:cstheme="minorBidi"/>
          <w:sz w:val="18"/>
          <w:szCs w:val="18"/>
          <w:vertAlign w:val="baseline"/>
        </w:rPr>
        <w:footnoteRef/>
      </w:r>
      <w:r w:rsidR="00715592" w:rsidRPr="006661F8">
        <w:rPr>
          <w:rFonts w:asciiTheme="minorBidi" w:hAnsiTheme="minorBidi" w:cstheme="minorBidi"/>
          <w:sz w:val="18"/>
          <w:szCs w:val="18"/>
          <w:lang w:val="pt-PT"/>
        </w:rPr>
        <w:t>.</w:t>
      </w:r>
      <w:r w:rsidR="00187F9D" w:rsidRPr="006661F8">
        <w:rPr>
          <w:rFonts w:asciiTheme="minorBidi" w:hAnsiTheme="minorBidi" w:cstheme="minorBidi"/>
          <w:sz w:val="18"/>
          <w:szCs w:val="18"/>
          <w:lang w:val="pt-PT"/>
        </w:rPr>
        <w:tab/>
      </w:r>
      <w:r w:rsidR="002F0CE5">
        <w:fldChar w:fldCharType="begin"/>
      </w:r>
      <w:r w:rsidR="002F0CE5" w:rsidRPr="009764F5">
        <w:rPr>
          <w:lang w:val="pt-PT"/>
        </w:rPr>
        <w:instrText xml:space="preserve"> HYPERLINK "https://ich.unesco.org/en/events?categ=2015-2011&amp;country=&amp;keyword=&amp;field_office=&amp;domain=&amp;safe_meas=&amp;text=" </w:instrText>
      </w:r>
      <w:r w:rsidR="002F0CE5">
        <w:fldChar w:fldCharType="separate"/>
      </w:r>
      <w:r w:rsidR="00E965A0" w:rsidRPr="00E965A0">
        <w:rPr>
          <w:rStyle w:val="Lienhypertexte"/>
          <w:rFonts w:asciiTheme="minorBidi" w:hAnsiTheme="minorBidi" w:cstheme="minorBidi"/>
          <w:sz w:val="18"/>
          <w:szCs w:val="18"/>
          <w:lang w:val="pt-PT"/>
        </w:rPr>
        <w:t>https://ich.unesco.org/en/events?categ=2015-2011&amp;country=&amp;keyword=&amp;field_office=&amp;domain=&amp;safe_meas=&amp;text=</w:t>
      </w:r>
      <w:r w:rsidR="002F0CE5">
        <w:rPr>
          <w:rStyle w:val="Lienhypertexte"/>
          <w:rFonts w:asciiTheme="minorBidi" w:hAnsiTheme="minorBidi" w:cstheme="minorBidi"/>
          <w:sz w:val="18"/>
          <w:szCs w:val="18"/>
          <w:lang w:val="pt-PT"/>
        </w:rPr>
        <w:fldChar w:fldCharType="end"/>
      </w:r>
      <w:r w:rsidR="00E965A0" w:rsidRPr="00725260" w:rsidDel="00E965A0">
        <w:rPr>
          <w:lang w:val="pt-PT"/>
        </w:rPr>
        <w:t xml:space="preserve"> </w:t>
      </w:r>
    </w:p>
  </w:footnote>
  <w:footnote w:id="5">
    <w:p w14:paraId="6A9B22D9" w14:textId="585D8C0A" w:rsidR="001A26F1" w:rsidRPr="006661F8" w:rsidRDefault="001A26F1" w:rsidP="00C61D37">
      <w:pPr>
        <w:pStyle w:val="Notedebasdepage"/>
        <w:tabs>
          <w:tab w:val="left" w:pos="540"/>
        </w:tabs>
        <w:jc w:val="both"/>
        <w:rPr>
          <w:rFonts w:asciiTheme="minorBidi" w:hAnsiTheme="minorBidi" w:cstheme="minorBidi"/>
          <w:sz w:val="18"/>
          <w:szCs w:val="18"/>
          <w:lang w:val="pt-PT"/>
        </w:rPr>
      </w:pPr>
      <w:r w:rsidRPr="006661F8">
        <w:rPr>
          <w:rStyle w:val="Appelnotedebasdep"/>
          <w:rFonts w:asciiTheme="minorBidi" w:hAnsiTheme="minorBidi" w:cstheme="minorBidi"/>
          <w:sz w:val="18"/>
          <w:szCs w:val="18"/>
          <w:vertAlign w:val="baseline"/>
        </w:rPr>
        <w:footnoteRef/>
      </w:r>
      <w:r w:rsidR="00715592" w:rsidRPr="006661F8">
        <w:rPr>
          <w:rFonts w:asciiTheme="minorBidi" w:hAnsiTheme="minorBidi" w:cstheme="minorBidi"/>
          <w:sz w:val="18"/>
          <w:szCs w:val="18"/>
          <w:lang w:val="pt-PT"/>
        </w:rPr>
        <w:t>.</w:t>
      </w:r>
      <w:r w:rsidRPr="006661F8">
        <w:rPr>
          <w:rFonts w:asciiTheme="minorBidi" w:hAnsiTheme="minorBidi" w:cstheme="minorBidi"/>
          <w:sz w:val="18"/>
          <w:szCs w:val="18"/>
          <w:lang w:val="pt-PT"/>
        </w:rPr>
        <w:tab/>
      </w:r>
      <w:r w:rsidRPr="006661F8">
        <w:rPr>
          <w:rFonts w:asciiTheme="minorBidi" w:hAnsiTheme="minorBidi" w:cstheme="minorBidi"/>
          <w:sz w:val="18"/>
          <w:szCs w:val="18"/>
          <w:lang w:val="pt-PT"/>
        </w:rPr>
        <w:t>Decision</w:t>
      </w:r>
      <w:r w:rsidR="00C54590" w:rsidRPr="006661F8">
        <w:rPr>
          <w:rFonts w:asciiTheme="minorBidi" w:hAnsiTheme="minorBidi" w:cstheme="minorBidi"/>
          <w:sz w:val="18"/>
          <w:szCs w:val="18"/>
          <w:lang w:val="pt-PT"/>
        </w:rPr>
        <w:t>s</w:t>
      </w:r>
      <w:r w:rsidRPr="006661F8">
        <w:rPr>
          <w:rFonts w:asciiTheme="minorBidi" w:hAnsiTheme="minorBidi" w:cstheme="minorBidi"/>
          <w:sz w:val="18"/>
          <w:szCs w:val="18"/>
          <w:lang w:val="pt-PT"/>
        </w:rPr>
        <w:t xml:space="preserve"> </w:t>
      </w:r>
      <w:r w:rsidR="002F0CE5">
        <w:fldChar w:fldCharType="begin"/>
      </w:r>
      <w:r w:rsidR="002F0CE5" w:rsidRPr="009764F5">
        <w:rPr>
          <w:lang w:val="en-US"/>
        </w:rPr>
        <w:instrText xml:space="preserve"> HYPERLINK "https://ich.unesco.org/en/Decisions/8.COM/10" </w:instrText>
      </w:r>
      <w:r w:rsidR="002F0CE5">
        <w:fldChar w:fldCharType="separate"/>
      </w:r>
      <w:r w:rsidRPr="006661F8">
        <w:rPr>
          <w:rStyle w:val="Lienhypertexte"/>
          <w:rFonts w:asciiTheme="minorBidi" w:hAnsiTheme="minorBidi" w:cstheme="minorBidi"/>
          <w:sz w:val="18"/>
          <w:szCs w:val="18"/>
          <w:lang w:val="pt-PT"/>
        </w:rPr>
        <w:t>8.COM 10</w:t>
      </w:r>
      <w:r w:rsidR="002F0CE5">
        <w:rPr>
          <w:rStyle w:val="Lienhypertexte"/>
          <w:rFonts w:asciiTheme="minorBidi" w:hAnsiTheme="minorBidi" w:cstheme="minorBidi"/>
          <w:sz w:val="18"/>
          <w:szCs w:val="18"/>
          <w:lang w:val="pt-PT"/>
        </w:rPr>
        <w:fldChar w:fldCharType="end"/>
      </w:r>
      <w:r w:rsidRPr="006661F8">
        <w:rPr>
          <w:rFonts w:asciiTheme="minorBidi" w:hAnsiTheme="minorBidi" w:cstheme="minorBidi"/>
          <w:color w:val="000000"/>
          <w:sz w:val="18"/>
          <w:szCs w:val="18"/>
          <w:lang w:val="pt-PT"/>
        </w:rPr>
        <w:t xml:space="preserve">, </w:t>
      </w:r>
      <w:hyperlink r:id="rId4" w:history="1">
        <w:r w:rsidRPr="006661F8">
          <w:rPr>
            <w:rStyle w:val="Lienhypertexte"/>
            <w:rFonts w:asciiTheme="minorBidi" w:hAnsiTheme="minorBidi" w:cstheme="minorBidi"/>
            <w:sz w:val="18"/>
            <w:szCs w:val="18"/>
            <w:lang w:val="pt-PT"/>
          </w:rPr>
          <w:t>9.COM 12</w:t>
        </w:r>
      </w:hyperlink>
      <w:r w:rsidRPr="006661F8">
        <w:rPr>
          <w:rFonts w:asciiTheme="minorBidi" w:hAnsiTheme="minorBidi" w:cstheme="minorBidi"/>
          <w:color w:val="000000"/>
          <w:sz w:val="18"/>
          <w:szCs w:val="18"/>
          <w:lang w:val="pt-PT"/>
        </w:rPr>
        <w:t xml:space="preserve">, </w:t>
      </w:r>
      <w:hyperlink r:id="rId5" w:history="1">
        <w:r w:rsidRPr="006661F8">
          <w:rPr>
            <w:rStyle w:val="Lienhypertexte"/>
            <w:rFonts w:asciiTheme="minorBidi" w:hAnsiTheme="minorBidi" w:cstheme="minorBidi"/>
            <w:sz w:val="18"/>
            <w:szCs w:val="18"/>
            <w:lang w:val="pt-PT"/>
          </w:rPr>
          <w:t>10.COM 13</w:t>
        </w:r>
      </w:hyperlink>
      <w:r w:rsidRPr="006661F8">
        <w:rPr>
          <w:rFonts w:asciiTheme="minorBidi" w:hAnsiTheme="minorBidi" w:cstheme="minorBidi"/>
          <w:color w:val="000000"/>
          <w:sz w:val="18"/>
          <w:szCs w:val="18"/>
          <w:lang w:val="pt-PT"/>
        </w:rPr>
        <w:t xml:space="preserve">, </w:t>
      </w:r>
      <w:hyperlink r:id="rId6" w:history="1">
        <w:r w:rsidRPr="006661F8">
          <w:rPr>
            <w:rStyle w:val="Lienhypertexte"/>
            <w:rFonts w:asciiTheme="minorBidi" w:hAnsiTheme="minorBidi" w:cstheme="minorBidi"/>
            <w:sz w:val="18"/>
            <w:szCs w:val="18"/>
            <w:lang w:val="pt-PT"/>
          </w:rPr>
          <w:t>11.COM 12</w:t>
        </w:r>
      </w:hyperlink>
      <w:r w:rsidRPr="006661F8">
        <w:rPr>
          <w:rFonts w:asciiTheme="minorBidi" w:hAnsiTheme="minorBidi" w:cstheme="minorBidi"/>
          <w:color w:val="000000"/>
          <w:sz w:val="18"/>
          <w:szCs w:val="18"/>
          <w:lang w:val="pt-PT"/>
        </w:rPr>
        <w:t xml:space="preserve">, </w:t>
      </w:r>
      <w:hyperlink r:id="rId7" w:history="1">
        <w:r w:rsidRPr="006661F8">
          <w:rPr>
            <w:rStyle w:val="Lienhypertexte"/>
            <w:rFonts w:asciiTheme="minorBidi" w:hAnsiTheme="minorBidi" w:cstheme="minorBidi"/>
            <w:sz w:val="18"/>
            <w:szCs w:val="18"/>
            <w:lang w:val="pt-PT"/>
          </w:rPr>
          <w:t>13.COM 15</w:t>
        </w:r>
      </w:hyperlink>
      <w:r w:rsidRPr="006661F8">
        <w:rPr>
          <w:rFonts w:asciiTheme="minorBidi" w:hAnsiTheme="minorBidi" w:cstheme="minorBidi"/>
          <w:sz w:val="18"/>
          <w:szCs w:val="18"/>
          <w:lang w:val="pt-PT"/>
        </w:rPr>
        <w:t xml:space="preserve">, and </w:t>
      </w:r>
      <w:hyperlink r:id="rId8" w:history="1">
        <w:r w:rsidRPr="006661F8">
          <w:rPr>
            <w:rStyle w:val="Lienhypertexte"/>
            <w:rFonts w:asciiTheme="minorBidi" w:hAnsiTheme="minorBidi" w:cstheme="minorBidi"/>
            <w:sz w:val="18"/>
            <w:szCs w:val="18"/>
            <w:lang w:val="pt-PT"/>
          </w:rPr>
          <w:t>15.COM.9</w:t>
        </w:r>
      </w:hyperlink>
    </w:p>
  </w:footnote>
  <w:footnote w:id="6">
    <w:p w14:paraId="5C7BF481" w14:textId="3FB4D26A"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Belgium, China, Croatia, France, India, Japan, Mexico, Republic of Korea, Spain, Turkey, Viet Nam</w:t>
      </w:r>
      <w:r w:rsidR="00735D39">
        <w:rPr>
          <w:rFonts w:asciiTheme="minorBidi" w:hAnsiTheme="minorBidi" w:cstheme="minorBidi"/>
          <w:color w:val="000000"/>
          <w:sz w:val="18"/>
          <w:szCs w:val="18"/>
          <w:lang w:val="en-GB"/>
        </w:rPr>
        <w:t>.</w:t>
      </w:r>
    </w:p>
  </w:footnote>
  <w:footnote w:id="7">
    <w:p w14:paraId="1A5FED4E" w14:textId="762815E5"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735D39">
        <w:rPr>
          <w:rFonts w:asciiTheme="minorBidi" w:hAnsiTheme="minorBidi" w:cstheme="minorBidi"/>
          <w:color w:val="000000"/>
          <w:sz w:val="18"/>
          <w:szCs w:val="18"/>
          <w:lang w:val="en-GB"/>
        </w:rPr>
        <w:t xml:space="preserve">. </w:t>
      </w:r>
      <w:r w:rsidRPr="00735D39">
        <w:rPr>
          <w:rFonts w:asciiTheme="minorBidi" w:hAnsiTheme="minorBidi" w:cstheme="minorBidi"/>
          <w:color w:val="000000"/>
          <w:sz w:val="18"/>
          <w:szCs w:val="18"/>
          <w:lang w:val="en-GB"/>
        </w:rPr>
        <w:tab/>
        <w:t>Algeria, Armenia, Azerbaijan, Bolivia</w:t>
      </w:r>
      <w:r w:rsidR="00735D39">
        <w:rPr>
          <w:rFonts w:asciiTheme="minorBidi" w:hAnsiTheme="minorBidi" w:cstheme="minorBidi"/>
          <w:color w:val="000000"/>
          <w:sz w:val="18"/>
          <w:szCs w:val="18"/>
          <w:lang w:val="en-GB"/>
        </w:rPr>
        <w:t xml:space="preserve"> (Plurinational State of)</w:t>
      </w:r>
      <w:r w:rsidRPr="00735D39">
        <w:rPr>
          <w:rFonts w:asciiTheme="minorBidi" w:hAnsiTheme="minorBidi" w:cstheme="minorBidi"/>
          <w:color w:val="000000"/>
          <w:sz w:val="18"/>
          <w:szCs w:val="18"/>
          <w:lang w:val="en-GB"/>
        </w:rPr>
        <w:t>, Brazil, Colombia, Indonesia, Iran</w:t>
      </w:r>
      <w:r w:rsidR="00735D39">
        <w:rPr>
          <w:rFonts w:asciiTheme="minorBidi" w:hAnsiTheme="minorBidi" w:cstheme="minorBidi"/>
          <w:color w:val="000000"/>
          <w:sz w:val="18"/>
          <w:szCs w:val="18"/>
          <w:lang w:val="en-GB"/>
        </w:rPr>
        <w:t xml:space="preserve"> (Islamic Republic of)</w:t>
      </w:r>
      <w:r w:rsidRPr="00735D39">
        <w:rPr>
          <w:rFonts w:asciiTheme="minorBidi" w:hAnsiTheme="minorBidi" w:cstheme="minorBidi"/>
          <w:color w:val="000000"/>
          <w:sz w:val="18"/>
          <w:szCs w:val="18"/>
          <w:lang w:val="en-GB"/>
        </w:rPr>
        <w:t xml:space="preserve">, Italy, Mongolia, Morocco and Peru. </w:t>
      </w:r>
      <w:r w:rsidRPr="006661F8">
        <w:rPr>
          <w:rFonts w:asciiTheme="minorBidi" w:hAnsiTheme="minorBidi" w:cstheme="minorBidi"/>
          <w:color w:val="000000"/>
          <w:sz w:val="18"/>
          <w:szCs w:val="18"/>
          <w:lang w:val="en-GB"/>
        </w:rPr>
        <w:t>All these countries had a national file treated in 2015, except Bolivia, Brazil and Morocco. In April 2015, the Secretariat considered that States</w:t>
      </w:r>
      <w:r w:rsidR="00926926" w:rsidRPr="006661F8">
        <w:rPr>
          <w:rFonts w:asciiTheme="minorBidi" w:hAnsiTheme="minorBidi" w:cstheme="minorBidi"/>
          <w:color w:val="000000"/>
          <w:sz w:val="18"/>
          <w:szCs w:val="18"/>
          <w:lang w:val="en-GB"/>
        </w:rPr>
        <w:t xml:space="preserve"> Parties</w:t>
      </w:r>
      <w:r w:rsidRPr="006661F8">
        <w:rPr>
          <w:rFonts w:asciiTheme="minorBidi" w:hAnsiTheme="minorBidi" w:cstheme="minorBidi"/>
          <w:color w:val="000000"/>
          <w:sz w:val="18"/>
          <w:szCs w:val="18"/>
          <w:lang w:val="en-GB"/>
        </w:rPr>
        <w:t xml:space="preserve"> had to have submitted a national file for the 2015 cycle to be a priority State for the 2016 cycle. As Bolivia, Brazil and Morocco did not submit any file for the 2015 cycle, the files they submitted for the 2016 cycle were not considered under the priority category (0). Each of these States </w:t>
      </w:r>
      <w:r w:rsidR="00926926" w:rsidRPr="006661F8">
        <w:rPr>
          <w:rFonts w:asciiTheme="minorBidi" w:hAnsiTheme="minorBidi" w:cstheme="minorBidi"/>
          <w:color w:val="000000"/>
          <w:sz w:val="18"/>
          <w:szCs w:val="18"/>
          <w:lang w:val="en-GB"/>
        </w:rPr>
        <w:t xml:space="preserve">Parties </w:t>
      </w:r>
      <w:r w:rsidRPr="006661F8">
        <w:rPr>
          <w:rFonts w:asciiTheme="minorBidi" w:hAnsiTheme="minorBidi" w:cstheme="minorBidi"/>
          <w:color w:val="000000"/>
          <w:sz w:val="18"/>
          <w:szCs w:val="18"/>
          <w:lang w:val="en-GB"/>
        </w:rPr>
        <w:t xml:space="preserve">had more than three inscribed elements and thus were situated low under the priority category (iii) and their files were not treated. In April 2016, the Secretariat changed this approach and considered that from then on it would not be necessary to have previously submitted files to be a priority State under the category (0); this is to dissuade States </w:t>
      </w:r>
      <w:r w:rsidR="00926926" w:rsidRPr="006661F8">
        <w:rPr>
          <w:rFonts w:asciiTheme="minorBidi" w:hAnsiTheme="minorBidi" w:cstheme="minorBidi"/>
          <w:color w:val="000000"/>
          <w:sz w:val="18"/>
          <w:szCs w:val="18"/>
          <w:lang w:val="en-GB"/>
        </w:rPr>
        <w:t xml:space="preserve">Parties </w:t>
      </w:r>
      <w:r w:rsidRPr="006661F8">
        <w:rPr>
          <w:rFonts w:asciiTheme="minorBidi" w:hAnsiTheme="minorBidi" w:cstheme="minorBidi"/>
          <w:color w:val="000000"/>
          <w:sz w:val="18"/>
          <w:szCs w:val="18"/>
          <w:lang w:val="en-GB"/>
        </w:rPr>
        <w:t>from submitting a file every cycle.</w:t>
      </w:r>
    </w:p>
  </w:footnote>
  <w:footnote w:id="8">
    <w:p w14:paraId="6D1F8726" w14:textId="77777777"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Although Brazil was a priority country for the 2017 cycle (no file treated in 2016), it decided to withdraw its file.</w:t>
      </w:r>
    </w:p>
  </w:footnote>
  <w:footnote w:id="9">
    <w:p w14:paraId="6D90B763" w14:textId="16F8EFF2"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Bosnia and Herzegovina, Côte d’Ivoire, Ireland, Kyrgyzstan, Malawi, Netherlands, Panama, Serbia, Turkmenistan, United Arab Emirates, Zambia</w:t>
      </w:r>
      <w:r w:rsidR="00735D39">
        <w:rPr>
          <w:rFonts w:asciiTheme="minorBidi" w:hAnsiTheme="minorBidi" w:cstheme="minorBidi"/>
          <w:color w:val="000000"/>
          <w:sz w:val="18"/>
          <w:szCs w:val="18"/>
          <w:lang w:val="en-GB"/>
        </w:rPr>
        <w:t>.</w:t>
      </w:r>
    </w:p>
  </w:footnote>
  <w:footnote w:id="10">
    <w:p w14:paraId="63D83119" w14:textId="6719DCAC"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China, France, Japan, Republic of Korea, Spain</w:t>
      </w:r>
      <w:r w:rsidR="00735D39">
        <w:rPr>
          <w:rFonts w:asciiTheme="minorBidi" w:hAnsiTheme="minorBidi" w:cstheme="minorBidi"/>
          <w:color w:val="000000"/>
          <w:sz w:val="18"/>
          <w:szCs w:val="18"/>
          <w:lang w:val="en-GB"/>
        </w:rPr>
        <w:t>.</w:t>
      </w:r>
    </w:p>
  </w:footnote>
  <w:footnote w:id="11">
    <w:p w14:paraId="77E067B7" w14:textId="6DD12D08"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 xml:space="preserve">Albania, Bahamas, Belarus, Cambodia, Croatia, Czechia, </w:t>
      </w:r>
      <w:r w:rsidR="00735D39" w:rsidRPr="006661F8">
        <w:rPr>
          <w:rFonts w:asciiTheme="minorBidi" w:hAnsiTheme="minorBidi" w:cstheme="minorBidi"/>
          <w:color w:val="000000"/>
          <w:sz w:val="18"/>
          <w:szCs w:val="18"/>
          <w:lang w:val="en-GB"/>
        </w:rPr>
        <w:t>Democratic People’s Republic of Korea</w:t>
      </w:r>
      <w:r w:rsidRPr="006661F8">
        <w:rPr>
          <w:rFonts w:asciiTheme="minorBidi" w:hAnsiTheme="minorBidi" w:cstheme="minorBidi"/>
          <w:color w:val="000000"/>
          <w:sz w:val="18"/>
          <w:szCs w:val="18"/>
          <w:lang w:val="en-GB"/>
        </w:rPr>
        <w:t>, Georgia, Jamaica, Jordan, Malaysia, Mexico, Oman, Pakistan, Poland, Sri Lanka, Sweden, Syrian Arab Republic, Thailand, Tunisia</w:t>
      </w:r>
      <w:r w:rsidR="00735D39">
        <w:rPr>
          <w:rFonts w:asciiTheme="minorBidi" w:hAnsiTheme="minorBidi" w:cstheme="minorBidi"/>
          <w:color w:val="000000"/>
          <w:sz w:val="18"/>
          <w:szCs w:val="18"/>
          <w:lang w:val="en-GB"/>
        </w:rPr>
        <w:t>.</w:t>
      </w:r>
    </w:p>
  </w:footnote>
  <w:footnote w:id="12">
    <w:p w14:paraId="76F7DD4D" w14:textId="633936B6"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Armenia, Belgium, Bolivia</w:t>
      </w:r>
      <w:r w:rsidR="00735D39">
        <w:rPr>
          <w:rFonts w:asciiTheme="minorBidi" w:hAnsiTheme="minorBidi" w:cstheme="minorBidi"/>
          <w:color w:val="000000"/>
          <w:sz w:val="18"/>
          <w:szCs w:val="18"/>
          <w:lang w:val="en-GB"/>
        </w:rPr>
        <w:t xml:space="preserve"> (Plurinational State of)</w:t>
      </w:r>
      <w:r w:rsidRPr="006661F8">
        <w:rPr>
          <w:rFonts w:asciiTheme="minorBidi" w:hAnsiTheme="minorBidi" w:cstheme="minorBidi"/>
          <w:color w:val="000000"/>
          <w:sz w:val="18"/>
          <w:szCs w:val="18"/>
          <w:lang w:val="en-GB"/>
        </w:rPr>
        <w:t>, Bulgaria, India, Indonesia, Iran</w:t>
      </w:r>
      <w:r w:rsidR="00735D39">
        <w:rPr>
          <w:rFonts w:asciiTheme="minorBidi" w:hAnsiTheme="minorBidi" w:cstheme="minorBidi"/>
          <w:color w:val="000000"/>
          <w:sz w:val="18"/>
          <w:szCs w:val="18"/>
          <w:lang w:val="en-GB"/>
        </w:rPr>
        <w:t xml:space="preserve"> (Islamic Republic of)</w:t>
      </w:r>
      <w:r w:rsidRPr="006661F8">
        <w:rPr>
          <w:rFonts w:asciiTheme="minorBidi" w:hAnsiTheme="minorBidi" w:cstheme="minorBidi"/>
          <w:color w:val="000000"/>
          <w:sz w:val="18"/>
          <w:szCs w:val="18"/>
          <w:lang w:val="en-GB"/>
        </w:rPr>
        <w:t>, Italy, Mongolia, Morocco, Peru, Turkey, Uzbekistan, Viet</w:t>
      </w:r>
      <w:r w:rsidR="005C6FB9" w:rsidRPr="006661F8">
        <w:rPr>
          <w:rFonts w:asciiTheme="minorBidi" w:hAnsiTheme="minorBidi" w:cstheme="minorBidi"/>
          <w:color w:val="000000"/>
          <w:sz w:val="18"/>
          <w:szCs w:val="18"/>
          <w:lang w:val="en-GB"/>
        </w:rPr>
        <w:t> </w:t>
      </w:r>
      <w:r w:rsidRPr="006661F8">
        <w:rPr>
          <w:rFonts w:asciiTheme="minorBidi" w:hAnsiTheme="minorBidi" w:cstheme="minorBidi"/>
          <w:color w:val="000000"/>
          <w:sz w:val="18"/>
          <w:szCs w:val="18"/>
          <w:lang w:val="en-GB"/>
        </w:rPr>
        <w:t>Nam</w:t>
      </w:r>
      <w:r w:rsidR="00735D39">
        <w:rPr>
          <w:rFonts w:asciiTheme="minorBidi" w:hAnsiTheme="minorBidi" w:cstheme="minorBidi"/>
          <w:color w:val="000000"/>
          <w:sz w:val="18"/>
          <w:szCs w:val="18"/>
          <w:lang w:val="en-GB"/>
        </w:rPr>
        <w:t>.</w:t>
      </w:r>
    </w:p>
  </w:footnote>
  <w:footnote w:id="13">
    <w:p w14:paraId="1DF1BCB3" w14:textId="77777777"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Botswana, Brazil, Burkina Faso, Cabo Verde, Colombia, Congo, Dominican Republic, Ethiopia, Germany, Iraq, Kyrgyzstan, Mauritius, Montenegro, Nigeria, Norway, Philippines, Portugal, Samoa, Seychelles, Slovakia, Switzerland, Turkmenistan, Ukraine, Venezuela (Bolivarian Republic of).</w:t>
      </w:r>
    </w:p>
  </w:footnote>
  <w:footnote w:id="14">
    <w:p w14:paraId="5DE0DDE4" w14:textId="0CB97DBA"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w:t>
      </w:r>
      <w:r w:rsidRPr="006661F8">
        <w:rPr>
          <w:rFonts w:asciiTheme="minorBidi" w:hAnsiTheme="minorBidi" w:cstheme="minorBidi"/>
          <w:color w:val="000000"/>
          <w:sz w:val="18"/>
          <w:szCs w:val="18"/>
          <w:lang w:val="en-GB"/>
        </w:rPr>
        <w:tab/>
        <w:t xml:space="preserve">Algeria, Azerbaijan, Bosnia and Herzegovina, Cambodia, China, Cuba, Croatia, Czechia, </w:t>
      </w:r>
      <w:r w:rsidR="00735D39" w:rsidRPr="006661F8">
        <w:rPr>
          <w:rFonts w:asciiTheme="minorBidi" w:hAnsiTheme="minorBidi" w:cstheme="minorBidi"/>
          <w:color w:val="000000"/>
          <w:sz w:val="18"/>
          <w:szCs w:val="18"/>
          <w:lang w:val="en-GB"/>
        </w:rPr>
        <w:t>Democratic People’s Republic of Korea</w:t>
      </w:r>
      <w:r w:rsidRPr="006661F8">
        <w:rPr>
          <w:rFonts w:asciiTheme="minorBidi" w:hAnsiTheme="minorBidi" w:cstheme="minorBidi"/>
          <w:color w:val="000000"/>
          <w:sz w:val="18"/>
          <w:szCs w:val="18"/>
          <w:lang w:val="en-GB"/>
        </w:rPr>
        <w:t>, France, Japan, Kazakhstan, Malawi, Mexico, Oman, Republic of Korea, Saudi Arabia, Serbia, Spain, United Arab Emirates</w:t>
      </w:r>
      <w:r w:rsidR="00735D39">
        <w:rPr>
          <w:rFonts w:asciiTheme="minorBidi" w:hAnsiTheme="minorBidi" w:cstheme="minorBidi"/>
          <w:color w:val="000000"/>
          <w:sz w:val="18"/>
          <w:szCs w:val="18"/>
          <w:lang w:val="en-GB"/>
        </w:rPr>
        <w:t>.</w:t>
      </w:r>
    </w:p>
  </w:footnote>
  <w:footnote w:id="15">
    <w:p w14:paraId="16AD5CE1" w14:textId="6D8DF94C"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Algeria, Azerbaijan, Bosnia and Herzegovina, Cambodia, China, Croatia, Cuba, Czechia, Democratic People’s Republic of Korea, France, Japan, Kazakhstan, Malawi, Mexico, Oman, Republic of Korea, Saudi Arabia, Serbia, Spain, United Arab Emirates.</w:t>
      </w:r>
    </w:p>
  </w:footnote>
  <w:footnote w:id="16">
    <w:p w14:paraId="13D0F08B" w14:textId="77777777"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Albania, Argentina, Bangladesh, Central African Republic, Finland, Georgia, Greece, Hungary, Malta, Namibia, Paraguay, Romania, Singapore, Tunisia, Zambia.</w:t>
      </w:r>
    </w:p>
  </w:footnote>
  <w:footnote w:id="17">
    <w:p w14:paraId="51A8BEF0" w14:textId="77777777"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Armenia, Belgium, Bolivia (Plurinational State of), Bulgaria, Ethiopia, India, Indonesia, Iran (Islamic Republic of), Italy, Kenya, Lao People’s Democratic Republic, Malaysia, Mongolia, Morocco, Nigeria, Panama, Peru, Philippines, Portugal, Syrian Arab Republic, Tajikistan, Thailand, Turkey, Turkmenistan, Ukraine, Uzbekistan, Viet Nam.</w:t>
      </w:r>
      <w:r w:rsidRPr="006661F8">
        <w:rPr>
          <w:rFonts w:asciiTheme="minorBidi" w:hAnsiTheme="minorBidi" w:cstheme="minorBidi"/>
          <w:sz w:val="18"/>
          <w:szCs w:val="18"/>
          <w:lang w:val="en-GB"/>
        </w:rPr>
        <w:t xml:space="preserve"> </w:t>
      </w:r>
    </w:p>
  </w:footnote>
  <w:footnote w:id="18">
    <w:p w14:paraId="51B1F11A" w14:textId="77777777"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w:t>
      </w:r>
      <w:r w:rsidRPr="006661F8">
        <w:rPr>
          <w:rFonts w:asciiTheme="minorBidi" w:hAnsiTheme="minorBidi" w:cstheme="minorBidi"/>
          <w:color w:val="000000"/>
          <w:sz w:val="18"/>
          <w:szCs w:val="18"/>
          <w:lang w:val="en-GB"/>
        </w:rPr>
        <w:tab/>
        <w:t>Armenia, Belgium, Bolivia (Plurinational State of), Bulgaria, Ethiopia, India, Indonesia, Iran (Islamic Republic of), Italy, Kenya, Lao People’s Democratic Republic, Malaysia, Mongolia, Morocco, Nigeria, Panama, Peru, Philippines, Portugal, Syrian Arab Republic, Tajikistan, Thailand, Turkey, Turkmenistan, Ukraine, Uzbekistan, Viet Nam.</w:t>
      </w:r>
      <w:r w:rsidRPr="006661F8">
        <w:rPr>
          <w:rFonts w:asciiTheme="minorBidi" w:hAnsiTheme="minorBidi" w:cstheme="minorBidi"/>
          <w:sz w:val="18"/>
          <w:szCs w:val="18"/>
          <w:lang w:val="en-GB"/>
        </w:rPr>
        <w:t xml:space="preserve"> </w:t>
      </w:r>
    </w:p>
  </w:footnote>
  <w:footnote w:id="19">
    <w:p w14:paraId="327B4C36" w14:textId="77777777"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Bahamas, Bahrain, Cameroon, Denmark, Djibouti, Ecuador, Estonia, Iraq, Jamaica, Kyrgyzstan, Madagascar, Mali, Mauritania, Micronesia (Federated States of), Montenegro, Myanmar, Netherlands, Palestine, Poland, Senegal, Seychelles, Sri Lanka, Sudan, Timor-Leste, Venezuela (Bolivarian Republic of), Yemen.</w:t>
      </w:r>
    </w:p>
  </w:footnote>
  <w:footnote w:id="20">
    <w:p w14:paraId="3F277E52" w14:textId="7AA1D2F7"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w:t>
      </w:r>
      <w:r w:rsidRPr="006661F8">
        <w:rPr>
          <w:rFonts w:asciiTheme="minorBidi" w:hAnsiTheme="minorBidi" w:cstheme="minorBidi"/>
          <w:color w:val="000000"/>
          <w:sz w:val="18"/>
          <w:szCs w:val="18"/>
          <w:lang w:val="en-GB"/>
        </w:rPr>
        <w:tab/>
        <w:t>Algeria, Azerbaijan, Bangladesh, Bosnia and Herzegovina, Cambodia, China, Cuba, Czechia, Democratic People’s Republic of Korea, Egypt, France, Georgia, Greece, Hungary, Japan, Kazakhstan, Republic of Korea, Saudi Arabia, Tunisia, United Arab Emirates, Zambia.</w:t>
      </w:r>
    </w:p>
  </w:footnote>
  <w:footnote w:id="21">
    <w:p w14:paraId="6F0D70D2" w14:textId="77777777" w:rsidR="001F1F3C" w:rsidRPr="006661F8" w:rsidRDefault="001F1F3C" w:rsidP="00C61D37">
      <w:pPr>
        <w:pStyle w:val="Notedebasdepage"/>
        <w:ind w:left="426" w:hanging="426"/>
        <w:jc w:val="both"/>
        <w:rPr>
          <w:rFonts w:asciiTheme="minorBidi" w:hAnsiTheme="minorBidi" w:cstheme="minorBidi"/>
          <w:color w:val="000000"/>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Algeria, Azerbaijan, Bosnia and Herzegovina, Cambodia, China, Cuba, Czechia, Democratic People’s Republic of Korea, Egypt, France, Georgia, Greece, Hungary, Japan, Kazakhstan, Republic of Korea, Saudi Arabia, Tunisia, United Arab Emirates, Zambia.</w:t>
      </w:r>
    </w:p>
  </w:footnote>
  <w:footnote w:id="22">
    <w:p w14:paraId="71AE1DEC" w14:textId="7FA0D546"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w:t>
      </w:r>
      <w:r w:rsidRPr="006661F8">
        <w:rPr>
          <w:rFonts w:asciiTheme="minorBidi" w:hAnsiTheme="minorBidi" w:cstheme="minorBidi"/>
          <w:color w:val="000000"/>
          <w:sz w:val="18"/>
          <w:szCs w:val="18"/>
          <w:lang w:val="en-GB"/>
        </w:rPr>
        <w:tab/>
        <w:t>Afghanistan, Albania, Belarus, Chile, Colombia, Croatia, Germany, Grenada, Guatemala, Haiti, Jordan, Kuwait, Malawi, Mozambique, Oman, Serbia, Slovenia, Spain.</w:t>
      </w:r>
    </w:p>
  </w:footnote>
  <w:footnote w:id="23">
    <w:p w14:paraId="3FBEEDD5" w14:textId="5822DCAF"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 xml:space="preserve">. </w:t>
      </w:r>
      <w:r w:rsidRPr="006661F8">
        <w:rPr>
          <w:rFonts w:asciiTheme="minorBidi" w:hAnsiTheme="minorBidi" w:cstheme="minorBidi"/>
          <w:color w:val="000000"/>
          <w:sz w:val="18"/>
          <w:szCs w:val="18"/>
          <w:lang w:val="en-GB"/>
        </w:rPr>
        <w:tab/>
        <w:t>Armenia, Belgium, Ethiopia, Iran (Islamic Republic of), India, Italy, Madagascar, Malaysia, Mali, Malta, Mauritania, Morocco, Netherlands, Nigeria, Panama, Philippines, Sudan, Tajikistan, Thailand, Ukraine, Uzbekistan, Venezuela (Bolivarian Republic of).</w:t>
      </w:r>
    </w:p>
  </w:footnote>
  <w:footnote w:id="24">
    <w:p w14:paraId="1AB6CB0A" w14:textId="3F2A9C3B" w:rsidR="001F1F3C" w:rsidRPr="006661F8" w:rsidRDefault="001F1F3C" w:rsidP="00C61D37">
      <w:pPr>
        <w:pStyle w:val="Notedebasdepage"/>
        <w:ind w:left="426" w:hanging="426"/>
        <w:jc w:val="both"/>
        <w:rPr>
          <w:rFonts w:asciiTheme="minorBidi" w:hAnsiTheme="minorBidi" w:cstheme="minorBidi"/>
          <w:sz w:val="18"/>
          <w:szCs w:val="18"/>
          <w:lang w:val="en-GB"/>
        </w:rPr>
      </w:pPr>
      <w:r w:rsidRPr="006661F8">
        <w:rPr>
          <w:rFonts w:asciiTheme="minorBidi" w:hAnsiTheme="minorBidi" w:cstheme="minorBidi"/>
          <w:color w:val="000000"/>
          <w:sz w:val="18"/>
          <w:szCs w:val="18"/>
        </w:rPr>
        <w:footnoteRef/>
      </w:r>
      <w:r w:rsidRPr="006661F8">
        <w:rPr>
          <w:rFonts w:asciiTheme="minorBidi" w:hAnsiTheme="minorBidi" w:cstheme="minorBidi"/>
          <w:color w:val="000000"/>
          <w:sz w:val="18"/>
          <w:szCs w:val="18"/>
          <w:lang w:val="en-GB"/>
        </w:rPr>
        <w:t>.</w:t>
      </w:r>
      <w:r w:rsidRPr="006661F8">
        <w:rPr>
          <w:rFonts w:asciiTheme="minorBidi" w:hAnsiTheme="minorBidi" w:cstheme="minorBidi"/>
          <w:color w:val="000000"/>
          <w:sz w:val="18"/>
          <w:szCs w:val="18"/>
          <w:lang w:val="en-GB"/>
        </w:rPr>
        <w:tab/>
        <w:t>Three separate groups of submitting States – Azerbaijan and Turkey (three files), the Islamic Republic of Iran and Tajikistan (two files), the United Arab Emirates, Oman and Saudi Arabia (two files) – submitted multiple multinational files for the 2022 cycle. Given the ceiling of at least 55 files per cycle (</w:t>
      </w:r>
      <w:r w:rsidR="005C6FB9" w:rsidRPr="006661F8">
        <w:rPr>
          <w:rFonts w:asciiTheme="minorBidi" w:hAnsiTheme="minorBidi" w:cstheme="minorBidi"/>
          <w:sz w:val="18"/>
          <w:szCs w:val="18"/>
          <w:lang w:val="en-GB"/>
        </w:rPr>
        <w:t xml:space="preserve">Decision </w:t>
      </w:r>
      <w:r w:rsidR="002F0CE5">
        <w:fldChar w:fldCharType="begin"/>
      </w:r>
      <w:r w:rsidR="002F0CE5" w:rsidRPr="009764F5">
        <w:rPr>
          <w:lang w:val="en-US"/>
        </w:rPr>
        <w:instrText xml:space="preserve"> HYPERLI</w:instrText>
      </w:r>
      <w:r w:rsidR="002F0CE5" w:rsidRPr="009764F5">
        <w:rPr>
          <w:lang w:val="en-US"/>
        </w:rPr>
        <w:instrText xml:space="preserve">NK "https://ich.unesco.org/en/Decisions/15.COM/9" </w:instrText>
      </w:r>
      <w:r w:rsidR="002F0CE5">
        <w:fldChar w:fldCharType="separate"/>
      </w:r>
      <w:r w:rsidR="005C6FB9" w:rsidRPr="006661F8">
        <w:rPr>
          <w:rStyle w:val="Lienhypertexte"/>
          <w:rFonts w:asciiTheme="minorBidi" w:hAnsiTheme="minorBidi" w:cstheme="minorBidi"/>
          <w:sz w:val="18"/>
          <w:szCs w:val="18"/>
          <w:lang w:val="en-GB"/>
        </w:rPr>
        <w:t>15.COM 9</w:t>
      </w:r>
      <w:r w:rsidR="002F0CE5">
        <w:rPr>
          <w:rStyle w:val="Lienhypertexte"/>
          <w:rFonts w:asciiTheme="minorBidi" w:hAnsiTheme="minorBidi" w:cstheme="minorBidi"/>
          <w:sz w:val="18"/>
          <w:szCs w:val="18"/>
          <w:lang w:val="en-GB"/>
        </w:rPr>
        <w:fldChar w:fldCharType="end"/>
      </w:r>
      <w:r w:rsidRPr="006661F8">
        <w:rPr>
          <w:rFonts w:asciiTheme="minorBidi" w:hAnsiTheme="minorBidi" w:cstheme="minorBidi"/>
          <w:color w:val="000000"/>
          <w:sz w:val="18"/>
          <w:szCs w:val="18"/>
          <w:lang w:val="en-GB"/>
        </w:rPr>
        <w:t>)</w:t>
      </w:r>
      <w:r w:rsidR="000C3976">
        <w:rPr>
          <w:rFonts w:asciiTheme="minorBidi" w:hAnsiTheme="minorBidi" w:cstheme="minorBidi"/>
          <w:color w:val="000000"/>
          <w:sz w:val="18"/>
          <w:szCs w:val="18"/>
          <w:lang w:val="en-GB"/>
        </w:rPr>
        <w:t xml:space="preserve"> and with an effort to contain the number of files treated below 60</w:t>
      </w:r>
      <w:r w:rsidRPr="006661F8">
        <w:rPr>
          <w:rFonts w:asciiTheme="minorBidi" w:hAnsiTheme="minorBidi" w:cstheme="minorBidi"/>
          <w:color w:val="000000"/>
          <w:sz w:val="18"/>
          <w:szCs w:val="18"/>
          <w:lang w:val="en-GB"/>
        </w:rPr>
        <w:t xml:space="preserve">, each group of submitting States was invited to identify one multinational file to be included in the 2022 cycle. </w:t>
      </w:r>
      <w:r w:rsidR="000C3976">
        <w:rPr>
          <w:rFonts w:asciiTheme="minorBidi" w:hAnsiTheme="minorBidi" w:cstheme="minorBidi"/>
          <w:color w:val="000000"/>
          <w:sz w:val="18"/>
          <w:szCs w:val="18"/>
          <w:lang w:val="en-GB"/>
        </w:rPr>
        <w:t xml:space="preserve">This exercise meant that </w:t>
      </w:r>
      <w:r w:rsidR="0034755E">
        <w:rPr>
          <w:rFonts w:asciiTheme="minorBidi" w:hAnsiTheme="minorBidi" w:cstheme="minorBidi"/>
          <w:color w:val="000000"/>
          <w:sz w:val="18"/>
          <w:szCs w:val="18"/>
          <w:lang w:val="en-GB"/>
        </w:rPr>
        <w:t>F</w:t>
      </w:r>
      <w:r w:rsidRPr="006661F8">
        <w:rPr>
          <w:rFonts w:asciiTheme="minorBidi" w:hAnsiTheme="minorBidi" w:cstheme="minorBidi"/>
          <w:color w:val="000000"/>
          <w:sz w:val="18"/>
          <w:szCs w:val="18"/>
          <w:lang w:val="en-GB"/>
        </w:rPr>
        <w:t>our multinational files could not be treated and were added to the backlog.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DAF" w14:textId="4458A41D" w:rsidR="00B6167A" w:rsidRPr="002B7155" w:rsidRDefault="007D6437" w:rsidP="007E4E37">
    <w:pPr>
      <w:pStyle w:val="En-tte"/>
      <w:rPr>
        <w:rFonts w:ascii="Arial" w:hAnsi="Arial" w:cs="Arial"/>
        <w:lang w:val="fr-FR"/>
      </w:rPr>
    </w:pPr>
    <w:r w:rsidRPr="0022663D">
      <w:rPr>
        <w:rFonts w:ascii="Arial" w:hAnsi="Arial" w:cs="Arial"/>
        <w:sz w:val="20"/>
        <w:szCs w:val="20"/>
        <w:lang w:val="pt-PT"/>
      </w:rPr>
      <w:t>LHE/22/</w:t>
    </w:r>
    <w:r w:rsidR="00A96316">
      <w:rPr>
        <w:rFonts w:ascii="Arial" w:hAnsi="Arial" w:cs="Arial"/>
        <w:sz w:val="20"/>
        <w:szCs w:val="20"/>
        <w:lang w:val="pt-PT"/>
      </w:rPr>
      <w:t>17</w:t>
    </w:r>
    <w:r w:rsidRPr="0022663D">
      <w:rPr>
        <w:rFonts w:ascii="Arial" w:hAnsi="Arial" w:cs="Arial"/>
        <w:sz w:val="20"/>
        <w:szCs w:val="20"/>
        <w:lang w:val="pt-PT"/>
      </w:rPr>
      <w:t>.COM</w:t>
    </w:r>
    <w:r w:rsidR="002F414B">
      <w:rPr>
        <w:rFonts w:ascii="Arial" w:hAnsi="Arial" w:cs="Arial"/>
        <w:sz w:val="20"/>
        <w:szCs w:val="20"/>
        <w:lang w:val="pt-PT"/>
      </w:rPr>
      <w:t xml:space="preserve"> WG</w:t>
    </w:r>
    <w:r w:rsidRPr="0022663D">
      <w:rPr>
        <w:rFonts w:ascii="Arial" w:hAnsi="Arial" w:cs="Arial"/>
        <w:sz w:val="20"/>
        <w:szCs w:val="20"/>
        <w:lang w:val="pt-PT"/>
      </w:rPr>
      <w:t>/</w:t>
    </w:r>
    <w:r w:rsidR="00A96316">
      <w:rPr>
        <w:rFonts w:ascii="Arial" w:hAnsi="Arial" w:cs="Arial"/>
        <w:sz w:val="20"/>
        <w:szCs w:val="20"/>
        <w:lang w:val="pt-PT"/>
      </w:rPr>
      <w:t>10</w:t>
    </w:r>
    <w:r w:rsidR="000A3C87">
      <w:rPr>
        <w:rFonts w:ascii="Arial" w:hAnsi="Arial" w:cs="Arial"/>
        <w:sz w:val="20"/>
        <w:szCs w:val="20"/>
        <w:lang w:val="pt-PT"/>
      </w:rPr>
      <w:t xml:space="preserve"> </w:t>
    </w:r>
    <w:r w:rsidR="00B6167A" w:rsidRPr="002B7155">
      <w:rPr>
        <w:rFonts w:ascii="Arial" w:hAnsi="Arial" w:cs="Arial"/>
        <w:sz w:val="20"/>
        <w:szCs w:val="20"/>
        <w:lang w:val="fr-FR"/>
      </w:rPr>
      <w:t xml:space="preserve">– page </w:t>
    </w:r>
    <w:r w:rsidR="00B6167A" w:rsidRPr="00D81948">
      <w:rPr>
        <w:rStyle w:val="Numrodepage"/>
        <w:rFonts w:ascii="Arial" w:hAnsi="Arial" w:cs="Arial"/>
        <w:sz w:val="20"/>
        <w:szCs w:val="20"/>
      </w:rPr>
      <w:fldChar w:fldCharType="begin"/>
    </w:r>
    <w:r w:rsidR="00B6167A" w:rsidRPr="002B7155">
      <w:rPr>
        <w:rStyle w:val="Numrodepage"/>
        <w:rFonts w:ascii="Arial" w:hAnsi="Arial" w:cs="Arial"/>
        <w:sz w:val="20"/>
        <w:szCs w:val="20"/>
        <w:lang w:val="fr-FR"/>
      </w:rPr>
      <w:instrText xml:space="preserve"> PAGE </w:instrText>
    </w:r>
    <w:r w:rsidR="00B6167A" w:rsidRPr="00D81948">
      <w:rPr>
        <w:rStyle w:val="Numrodepage"/>
        <w:rFonts w:ascii="Arial" w:hAnsi="Arial" w:cs="Arial"/>
        <w:sz w:val="20"/>
        <w:szCs w:val="20"/>
      </w:rPr>
      <w:fldChar w:fldCharType="separate"/>
    </w:r>
    <w:r w:rsidR="00084713" w:rsidRPr="002B7155">
      <w:rPr>
        <w:rStyle w:val="Numrodepage"/>
        <w:rFonts w:ascii="Arial" w:hAnsi="Arial" w:cs="Arial"/>
        <w:noProof/>
        <w:sz w:val="20"/>
        <w:szCs w:val="20"/>
        <w:lang w:val="fr-FR"/>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D0B" w14:textId="3D4934A5" w:rsidR="00B6167A" w:rsidRPr="007E4E37" w:rsidRDefault="00B10E01" w:rsidP="007250E3">
    <w:pPr>
      <w:pStyle w:val="En-tte"/>
      <w:ind w:left="2544" w:firstLine="3693"/>
      <w:jc w:val="right"/>
      <w:rPr>
        <w:rFonts w:ascii="Arial" w:hAnsi="Arial" w:cs="Arial"/>
      </w:rPr>
    </w:pPr>
    <w:r>
      <w:rPr>
        <w:rFonts w:ascii="Arial" w:hAnsi="Arial" w:cs="Arial"/>
        <w:sz w:val="20"/>
        <w:szCs w:val="20"/>
        <w:lang w:val="en-US"/>
      </w:rPr>
      <w:t>LHE</w:t>
    </w:r>
    <w:r w:rsidR="006C0911">
      <w:rPr>
        <w:rFonts w:ascii="Arial" w:hAnsi="Arial" w:cs="Arial"/>
        <w:sz w:val="20"/>
        <w:szCs w:val="20"/>
        <w:lang w:val="en-US"/>
      </w:rPr>
      <w:t>/</w:t>
    </w:r>
    <w:r w:rsidR="00CB500D">
      <w:rPr>
        <w:rFonts w:ascii="Arial" w:hAnsi="Arial" w:cs="Arial"/>
        <w:sz w:val="20"/>
        <w:szCs w:val="20"/>
        <w:lang w:val="en-US"/>
      </w:rPr>
      <w:t>2</w:t>
    </w:r>
    <w:r w:rsidR="00715592">
      <w:rPr>
        <w:rFonts w:ascii="Arial" w:hAnsi="Arial" w:cs="Arial"/>
        <w:sz w:val="20"/>
        <w:szCs w:val="20"/>
        <w:lang w:val="en-US"/>
      </w:rPr>
      <w:t>2</w:t>
    </w:r>
    <w:r w:rsidR="006C0911">
      <w:rPr>
        <w:rFonts w:ascii="Arial" w:hAnsi="Arial" w:cs="Arial"/>
        <w:sz w:val="20"/>
        <w:szCs w:val="20"/>
        <w:lang w:val="en-US"/>
      </w:rPr>
      <w:t>/1</w:t>
    </w:r>
    <w:r>
      <w:rPr>
        <w:rFonts w:ascii="Arial" w:eastAsiaTheme="minorEastAsia" w:hAnsi="Arial" w:cs="Arial"/>
        <w:sz w:val="20"/>
        <w:szCs w:val="20"/>
        <w:lang w:val="en-US" w:eastAsia="ko-KR"/>
      </w:rPr>
      <w:t>7</w:t>
    </w:r>
    <w:r w:rsidR="007E4E37">
      <w:rPr>
        <w:rFonts w:ascii="Arial" w:hAnsi="Arial" w:cs="Arial"/>
        <w:sz w:val="20"/>
        <w:szCs w:val="20"/>
        <w:lang w:val="en-US"/>
      </w:rPr>
      <w:t>.COM</w:t>
    </w:r>
    <w:r w:rsidR="007250E3">
      <w:rPr>
        <w:rFonts w:ascii="Arial" w:eastAsiaTheme="minorEastAsia" w:hAnsi="Arial" w:cs="Arial" w:hint="eastAsia"/>
        <w:sz w:val="20"/>
        <w:szCs w:val="20"/>
        <w:lang w:val="en-US" w:eastAsia="ko-KR"/>
      </w:rPr>
      <w:t xml:space="preserve"> WG</w:t>
    </w:r>
    <w:r w:rsidR="008B7346">
      <w:rPr>
        <w:rFonts w:ascii="Arial" w:hAnsi="Arial" w:cs="Arial"/>
        <w:sz w:val="20"/>
        <w:szCs w:val="20"/>
        <w:lang w:val="en-US"/>
      </w:rPr>
      <w:t>/</w:t>
    </w:r>
    <w:r>
      <w:rPr>
        <w:rFonts w:ascii="Arial" w:hAnsi="Arial" w:cs="Arial"/>
        <w:sz w:val="20"/>
        <w:szCs w:val="20"/>
        <w:lang w:val="en-US"/>
      </w:rPr>
      <w:t>10</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CA6FEF">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5531" w14:textId="5F84AF6D" w:rsidR="005F6415" w:rsidRDefault="005F6415" w:rsidP="005F6415">
    <w:pPr>
      <w:pStyle w:val="En-tte"/>
    </w:pPr>
    <w:r>
      <w:rPr>
        <w:noProof/>
      </w:rPr>
      <w:drawing>
        <wp:anchor distT="0" distB="0" distL="114300" distR="114300" simplePos="0" relativeHeight="251659264" behindDoc="0" locked="0" layoutInCell="1" allowOverlap="1" wp14:anchorId="02ACED82" wp14:editId="045AA91A">
          <wp:simplePos x="0" y="0"/>
          <wp:positionH relativeFrom="column">
            <wp:posOffset>18968</wp:posOffset>
          </wp:positionH>
          <wp:positionV relativeFrom="paragraph">
            <wp:posOffset>4914</wp:posOffset>
          </wp:positionV>
          <wp:extent cx="1687830" cy="1322070"/>
          <wp:effectExtent l="0" t="0" r="762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1322070"/>
                  </a:xfrm>
                  <a:prstGeom prst="rect">
                    <a:avLst/>
                  </a:prstGeom>
                  <a:noFill/>
                </pic:spPr>
              </pic:pic>
            </a:graphicData>
          </a:graphic>
          <wp14:sizeRelH relativeFrom="margin">
            <wp14:pctWidth>0</wp14:pctWidth>
          </wp14:sizeRelH>
          <wp14:sizeRelV relativeFrom="margin">
            <wp14:pctHeight>0</wp14:pctHeight>
          </wp14:sizeRelV>
        </wp:anchor>
      </w:drawing>
    </w:r>
  </w:p>
  <w:p w14:paraId="5670FEC9" w14:textId="77777777" w:rsidR="005F6415" w:rsidRDefault="005F6415" w:rsidP="005F6415">
    <w:pPr>
      <w:pStyle w:val="En-tte"/>
      <w:spacing w:after="520"/>
      <w:jc w:val="right"/>
      <w:rPr>
        <w:rFonts w:ascii="Arial" w:eastAsiaTheme="minorEastAsia" w:hAnsi="Arial" w:cs="Arial"/>
        <w:b/>
        <w:sz w:val="44"/>
        <w:szCs w:val="44"/>
        <w:lang w:val="pt-PT" w:eastAsia="ko-KR"/>
      </w:rPr>
    </w:pPr>
    <w:r>
      <w:rPr>
        <w:rFonts w:ascii="Arial" w:hAnsi="Arial" w:cs="Arial"/>
        <w:b/>
        <w:sz w:val="44"/>
        <w:szCs w:val="44"/>
        <w:lang w:val="pt-PT"/>
      </w:rPr>
      <w:t>1</w:t>
    </w:r>
    <w:r>
      <w:rPr>
        <w:rFonts w:ascii="Arial" w:eastAsiaTheme="minorEastAsia" w:hAnsi="Arial" w:cs="Arial"/>
        <w:b/>
        <w:sz w:val="44"/>
        <w:szCs w:val="44"/>
        <w:lang w:val="pt-PT" w:eastAsia="ko-KR"/>
      </w:rPr>
      <w:t>7</w:t>
    </w:r>
    <w:r>
      <w:rPr>
        <w:rFonts w:ascii="Arial" w:hAnsi="Arial" w:cs="Arial"/>
        <w:b/>
        <w:sz w:val="44"/>
        <w:szCs w:val="44"/>
        <w:lang w:val="pt-PT"/>
      </w:rPr>
      <w:t xml:space="preserve"> COM</w:t>
    </w:r>
    <w:r>
      <w:rPr>
        <w:rFonts w:ascii="Arial" w:eastAsiaTheme="minorEastAsia" w:hAnsi="Arial" w:cs="Arial"/>
        <w:b/>
        <w:sz w:val="44"/>
        <w:szCs w:val="44"/>
        <w:lang w:val="pt-PT" w:eastAsia="ko-KR"/>
      </w:rPr>
      <w:t xml:space="preserve"> WG</w:t>
    </w:r>
  </w:p>
  <w:p w14:paraId="47EB4886" w14:textId="7FE4521D" w:rsidR="005F6415" w:rsidRDefault="005F6415" w:rsidP="005F6415">
    <w:pPr>
      <w:spacing w:after="0"/>
      <w:jc w:val="right"/>
      <w:rPr>
        <w:rFonts w:ascii="Arial" w:eastAsiaTheme="minorEastAsia" w:hAnsi="Arial" w:cs="Arial"/>
        <w:b/>
        <w:szCs w:val="22"/>
        <w:lang w:val="pt-BR" w:eastAsia="ko-KR"/>
      </w:rPr>
    </w:pPr>
    <w:r>
      <w:rPr>
        <w:rFonts w:ascii="Arial" w:hAnsi="Arial" w:cs="Arial"/>
        <w:b/>
        <w:szCs w:val="22"/>
        <w:lang w:val="pt-BR"/>
      </w:rPr>
      <w:t>LHE/22/1</w:t>
    </w:r>
    <w:r>
      <w:rPr>
        <w:rFonts w:ascii="Arial" w:eastAsiaTheme="minorEastAsia" w:hAnsi="Arial" w:cs="Arial"/>
        <w:b/>
        <w:szCs w:val="22"/>
        <w:lang w:val="pt-BR" w:eastAsia="ko-KR"/>
      </w:rPr>
      <w:t>7</w:t>
    </w:r>
    <w:r>
      <w:rPr>
        <w:rFonts w:ascii="Arial" w:hAnsi="Arial" w:cs="Arial"/>
        <w:b/>
        <w:szCs w:val="22"/>
        <w:lang w:val="pt-BR"/>
      </w:rPr>
      <w:t>.COM</w:t>
    </w:r>
    <w:r>
      <w:rPr>
        <w:rFonts w:ascii="Arial" w:eastAsiaTheme="minorEastAsia" w:hAnsi="Arial" w:cs="Arial"/>
        <w:b/>
        <w:szCs w:val="22"/>
        <w:lang w:val="pt-BR" w:eastAsia="ko-KR"/>
      </w:rPr>
      <w:t xml:space="preserve"> WG</w:t>
    </w:r>
    <w:r>
      <w:rPr>
        <w:rFonts w:ascii="Arial" w:hAnsi="Arial" w:cs="Arial"/>
        <w:b/>
        <w:szCs w:val="22"/>
        <w:lang w:val="pt-BR"/>
      </w:rPr>
      <w:t>/</w:t>
    </w:r>
    <w:r>
      <w:rPr>
        <w:rFonts w:ascii="Arial" w:eastAsiaTheme="minorEastAsia" w:hAnsi="Arial" w:cs="Arial"/>
        <w:b/>
        <w:szCs w:val="22"/>
        <w:lang w:val="pt-BR" w:eastAsia="ko-KR"/>
      </w:rPr>
      <w:t>10</w:t>
    </w:r>
  </w:p>
  <w:p w14:paraId="284A1EEA" w14:textId="17DBA05E" w:rsidR="005F6415" w:rsidRDefault="005F6415" w:rsidP="005F6415">
    <w:pPr>
      <w:spacing w:after="0"/>
      <w:jc w:val="right"/>
      <w:rPr>
        <w:rFonts w:ascii="Arial" w:eastAsiaTheme="minorEastAsia" w:hAnsi="Arial" w:cs="Arial"/>
        <w:b/>
        <w:szCs w:val="22"/>
        <w:lang w:eastAsia="ko-KR"/>
      </w:rPr>
    </w:pPr>
    <w:r>
      <w:rPr>
        <w:rFonts w:ascii="Arial" w:hAnsi="Arial" w:cs="Arial"/>
        <w:b/>
        <w:szCs w:val="22"/>
      </w:rPr>
      <w:t>Paris</w:t>
    </w:r>
    <w:r w:rsidRPr="00E422F2">
      <w:rPr>
        <w:rFonts w:ascii="Arial" w:hAnsi="Arial" w:cs="Arial"/>
        <w:b/>
        <w:szCs w:val="22"/>
      </w:rPr>
      <w:t xml:space="preserve">, </w:t>
    </w:r>
    <w:r w:rsidR="00735D39">
      <w:rPr>
        <w:rFonts w:ascii="Arial" w:hAnsi="Arial" w:cs="Arial"/>
        <w:b/>
        <w:szCs w:val="22"/>
      </w:rPr>
      <w:t>14</w:t>
    </w:r>
    <w:r w:rsidR="00735D39" w:rsidRPr="00E422F2">
      <w:rPr>
        <w:rFonts w:ascii="Arial" w:hAnsi="Arial" w:cs="Arial"/>
        <w:b/>
        <w:szCs w:val="22"/>
      </w:rPr>
      <w:t xml:space="preserve"> </w:t>
    </w:r>
    <w:r w:rsidR="00E422F2" w:rsidRPr="00E422F2">
      <w:rPr>
        <w:rFonts w:ascii="Arial" w:hAnsi="Arial" w:cs="Arial"/>
        <w:b/>
        <w:szCs w:val="22"/>
      </w:rPr>
      <w:t>April</w:t>
    </w:r>
    <w:r w:rsidRPr="00E422F2">
      <w:rPr>
        <w:rFonts w:ascii="Arial" w:hAnsi="Arial" w:cs="Arial"/>
        <w:b/>
        <w:szCs w:val="22"/>
      </w:rPr>
      <w:t xml:space="preserve"> 2022</w:t>
    </w:r>
  </w:p>
  <w:p w14:paraId="3D76CF75" w14:textId="752F2FEC" w:rsidR="00B6167A" w:rsidRPr="005F6415" w:rsidRDefault="005F6415" w:rsidP="001653E5">
    <w:pPr>
      <w:jc w:val="right"/>
      <w:rPr>
        <w:rFonts w:ascii="Arial" w:hAnsi="Arial" w:cs="Arial"/>
        <w:b/>
        <w:szCs w:val="22"/>
      </w:rPr>
    </w:pPr>
    <w:r>
      <w:rPr>
        <w:rFonts w:ascii="Arial" w:hAnsi="Arial" w:cs="Arial"/>
        <w:b/>
        <w:szCs w:val="22"/>
      </w:rPr>
      <w:t>Original: English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F1D8" w14:textId="45DC7670" w:rsidR="00804DA8" w:rsidRPr="007E4E37" w:rsidRDefault="00804DA8" w:rsidP="00804DA8">
    <w:pPr>
      <w:pStyle w:val="En-tte"/>
      <w:ind w:left="2544" w:firstLine="3693"/>
      <w:jc w:val="right"/>
      <w:rPr>
        <w:rFonts w:ascii="Arial" w:hAnsi="Arial" w:cs="Arial"/>
      </w:rPr>
    </w:pPr>
    <w:r>
      <w:rPr>
        <w:rFonts w:ascii="Arial" w:hAnsi="Arial" w:cs="Arial"/>
        <w:sz w:val="20"/>
        <w:szCs w:val="20"/>
        <w:lang w:val="en-US"/>
      </w:rPr>
      <w:t>LHE/2</w:t>
    </w:r>
    <w:r w:rsidR="007166B9">
      <w:rPr>
        <w:rFonts w:ascii="Arial" w:hAnsi="Arial" w:cs="Arial"/>
        <w:sz w:val="20"/>
        <w:szCs w:val="20"/>
        <w:lang w:val="en-US"/>
      </w:rPr>
      <w:t>2</w:t>
    </w:r>
    <w:r>
      <w:rPr>
        <w:rFonts w:ascii="Arial" w:hAnsi="Arial" w:cs="Arial"/>
        <w:sz w:val="20"/>
        <w:szCs w:val="20"/>
        <w:lang w:val="en-US"/>
      </w:rPr>
      <w:t>/1</w:t>
    </w:r>
    <w:r>
      <w:rPr>
        <w:rFonts w:ascii="Arial" w:eastAsiaTheme="minorEastAsia" w:hAnsi="Arial" w:cs="Arial"/>
        <w:sz w:val="20"/>
        <w:szCs w:val="20"/>
        <w:lang w:val="en-US" w:eastAsia="ko-KR"/>
      </w:rPr>
      <w:t>7</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 xml:space="preserve">/10 </w:t>
    </w:r>
    <w:r w:rsidRPr="00EF563B">
      <w:rPr>
        <w:rFonts w:ascii="Arial" w:hAnsi="Arial" w:cs="Arial"/>
        <w:sz w:val="20"/>
        <w:szCs w:val="20"/>
        <w:lang w:val="en-US"/>
      </w:rPr>
      <w:t xml:space="preserve">–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Pr>
        <w:rStyle w:val="Numrodepage"/>
        <w:rFonts w:ascii="Arial" w:hAnsi="Arial" w:cs="Arial"/>
        <w:sz w:val="20"/>
        <w:szCs w:val="20"/>
      </w:rPr>
      <w:t>11</w:t>
    </w:r>
    <w:r w:rsidRPr="00EF563B">
      <w:rPr>
        <w:rStyle w:val="Numrodepage"/>
        <w:rFonts w:ascii="Arial" w:hAnsi="Arial" w:cs="Arial"/>
        <w:sz w:val="20"/>
        <w:szCs w:val="20"/>
      </w:rPr>
      <w:fldChar w:fldCharType="end"/>
    </w:r>
  </w:p>
  <w:p w14:paraId="2218D704" w14:textId="1ADAC6A2" w:rsidR="00804DA8" w:rsidRPr="005F6415" w:rsidRDefault="00804DA8" w:rsidP="0055063A">
    <w:pPr>
      <w:jc w:val="right"/>
      <w:rPr>
        <w:rFonts w:ascii="Arial" w:hAnsi="Arial"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DAD"/>
    <w:multiLevelType w:val="hybridMultilevel"/>
    <w:tmpl w:val="6AF266F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C96B9B"/>
    <w:multiLevelType w:val="hybridMultilevel"/>
    <w:tmpl w:val="AAE24B1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D8E1702"/>
    <w:multiLevelType w:val="hybridMultilevel"/>
    <w:tmpl w:val="B732A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0235C"/>
    <w:multiLevelType w:val="hybridMultilevel"/>
    <w:tmpl w:val="5A107B9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B2A21DA"/>
    <w:multiLevelType w:val="hybridMultilevel"/>
    <w:tmpl w:val="C3344356"/>
    <w:lvl w:ilvl="0" w:tplc="040C0017">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3450B0B"/>
    <w:multiLevelType w:val="hybridMultilevel"/>
    <w:tmpl w:val="D4E4A88C"/>
    <w:lvl w:ilvl="0" w:tplc="040C0017">
      <w:start w:val="1"/>
      <w:numFmt w:val="lowerLetter"/>
      <w:lvlText w:val="%1)"/>
      <w:lvlJc w:val="left"/>
      <w:pPr>
        <w:ind w:left="1287" w:hanging="360"/>
      </w:pPr>
      <w:rPr>
        <w:rFonts w:hint="default"/>
      </w:rPr>
    </w:lvl>
    <w:lvl w:ilvl="1" w:tplc="79B6C122">
      <w:numFmt w:val="bullet"/>
      <w:lvlText w:val="-"/>
      <w:lvlJc w:val="left"/>
      <w:pPr>
        <w:ind w:left="2007" w:hanging="360"/>
      </w:pPr>
      <w:rPr>
        <w:rFonts w:ascii="Arial" w:eastAsia="Times New Roman"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FB5076"/>
    <w:multiLevelType w:val="hybridMultilevel"/>
    <w:tmpl w:val="15BAD60A"/>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534F456E"/>
    <w:multiLevelType w:val="hybridMultilevel"/>
    <w:tmpl w:val="C3344356"/>
    <w:lvl w:ilvl="0" w:tplc="040C0017">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0137971"/>
    <w:multiLevelType w:val="hybridMultilevel"/>
    <w:tmpl w:val="933498A0"/>
    <w:lvl w:ilvl="0" w:tplc="040C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628F47C5"/>
    <w:multiLevelType w:val="hybridMultilevel"/>
    <w:tmpl w:val="3C3C16AC"/>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7C629FF"/>
    <w:multiLevelType w:val="hybridMultilevel"/>
    <w:tmpl w:val="8932C822"/>
    <w:lvl w:ilvl="0" w:tplc="3E90726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8"/>
  </w:num>
  <w:num w:numId="9">
    <w:abstractNumId w:val="6"/>
  </w:num>
  <w:num w:numId="10">
    <w:abstractNumId w:val="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1"/>
  </w:num>
  <w:num w:numId="32">
    <w:abstractNumId w:val="4"/>
  </w:num>
  <w:num w:numId="33">
    <w:abstractNumId w:val="11"/>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10"/>
  </w:num>
  <w:num w:numId="64">
    <w:abstractNumId w:val="7"/>
  </w:num>
  <w:num w:numId="65">
    <w:abstractNumId w:val="7"/>
  </w:num>
  <w:num w:numId="66">
    <w:abstractNumId w:val="7"/>
  </w:num>
  <w:num w:numId="67">
    <w:abstractNumId w:val="7"/>
  </w:num>
  <w:num w:numId="68">
    <w:abstractNumId w:val="7"/>
  </w:num>
  <w:num w:numId="69">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12937"/>
    <w:rsid w:val="00013F5D"/>
    <w:rsid w:val="000164AB"/>
    <w:rsid w:val="00017C7D"/>
    <w:rsid w:val="00020199"/>
    <w:rsid w:val="00021831"/>
    <w:rsid w:val="00022D89"/>
    <w:rsid w:val="00023BD2"/>
    <w:rsid w:val="00023E52"/>
    <w:rsid w:val="00024D0B"/>
    <w:rsid w:val="00027589"/>
    <w:rsid w:val="00027E74"/>
    <w:rsid w:val="00027EDB"/>
    <w:rsid w:val="00030526"/>
    <w:rsid w:val="00034868"/>
    <w:rsid w:val="000363B8"/>
    <w:rsid w:val="00037120"/>
    <w:rsid w:val="00041839"/>
    <w:rsid w:val="000468E9"/>
    <w:rsid w:val="00047E58"/>
    <w:rsid w:val="00053651"/>
    <w:rsid w:val="00055DF0"/>
    <w:rsid w:val="00056868"/>
    <w:rsid w:val="00065551"/>
    <w:rsid w:val="00066054"/>
    <w:rsid w:val="00071A30"/>
    <w:rsid w:val="00071F55"/>
    <w:rsid w:val="00073D20"/>
    <w:rsid w:val="00074E49"/>
    <w:rsid w:val="000755E1"/>
    <w:rsid w:val="00084713"/>
    <w:rsid w:val="00085541"/>
    <w:rsid w:val="00086E7A"/>
    <w:rsid w:val="00087B90"/>
    <w:rsid w:val="000904F2"/>
    <w:rsid w:val="0009139E"/>
    <w:rsid w:val="00093063"/>
    <w:rsid w:val="00096312"/>
    <w:rsid w:val="000A0E59"/>
    <w:rsid w:val="000A34CE"/>
    <w:rsid w:val="000A3C87"/>
    <w:rsid w:val="000A48A8"/>
    <w:rsid w:val="000A7EFC"/>
    <w:rsid w:val="000B1DD4"/>
    <w:rsid w:val="000B631B"/>
    <w:rsid w:val="000B76F9"/>
    <w:rsid w:val="000C1F0A"/>
    <w:rsid w:val="000C2E81"/>
    <w:rsid w:val="000C3976"/>
    <w:rsid w:val="000C4AB0"/>
    <w:rsid w:val="000C6058"/>
    <w:rsid w:val="000C65E4"/>
    <w:rsid w:val="000C70C5"/>
    <w:rsid w:val="000D3410"/>
    <w:rsid w:val="000D42D9"/>
    <w:rsid w:val="000D6F46"/>
    <w:rsid w:val="000E13B9"/>
    <w:rsid w:val="000E24C9"/>
    <w:rsid w:val="000E43DB"/>
    <w:rsid w:val="000E49E0"/>
    <w:rsid w:val="000E507B"/>
    <w:rsid w:val="000E7077"/>
    <w:rsid w:val="000F01F2"/>
    <w:rsid w:val="001019A0"/>
    <w:rsid w:val="001020BB"/>
    <w:rsid w:val="0010240A"/>
    <w:rsid w:val="00102D21"/>
    <w:rsid w:val="00104B5F"/>
    <w:rsid w:val="001068DE"/>
    <w:rsid w:val="00106B72"/>
    <w:rsid w:val="00106B83"/>
    <w:rsid w:val="00111725"/>
    <w:rsid w:val="00114ADB"/>
    <w:rsid w:val="0011750D"/>
    <w:rsid w:val="001202CD"/>
    <w:rsid w:val="00121798"/>
    <w:rsid w:val="001219FB"/>
    <w:rsid w:val="00125C8F"/>
    <w:rsid w:val="001311BF"/>
    <w:rsid w:val="00132A37"/>
    <w:rsid w:val="00132E93"/>
    <w:rsid w:val="00134A17"/>
    <w:rsid w:val="00134D86"/>
    <w:rsid w:val="001379DA"/>
    <w:rsid w:val="0014072A"/>
    <w:rsid w:val="00140D6D"/>
    <w:rsid w:val="001412DE"/>
    <w:rsid w:val="001433D3"/>
    <w:rsid w:val="00143E8F"/>
    <w:rsid w:val="00144A4D"/>
    <w:rsid w:val="00151351"/>
    <w:rsid w:val="001653CD"/>
    <w:rsid w:val="001653E5"/>
    <w:rsid w:val="00165B4C"/>
    <w:rsid w:val="001709F0"/>
    <w:rsid w:val="00174B39"/>
    <w:rsid w:val="00177F08"/>
    <w:rsid w:val="00183D11"/>
    <w:rsid w:val="001850F2"/>
    <w:rsid w:val="0018541D"/>
    <w:rsid w:val="00187F9D"/>
    <w:rsid w:val="00190394"/>
    <w:rsid w:val="00194609"/>
    <w:rsid w:val="001A11B8"/>
    <w:rsid w:val="001A1884"/>
    <w:rsid w:val="001A26F1"/>
    <w:rsid w:val="001A27E8"/>
    <w:rsid w:val="001A431C"/>
    <w:rsid w:val="001A70EF"/>
    <w:rsid w:val="001A76B5"/>
    <w:rsid w:val="001B14A0"/>
    <w:rsid w:val="001B2F76"/>
    <w:rsid w:val="001B3587"/>
    <w:rsid w:val="001B3AB8"/>
    <w:rsid w:val="001B4D5B"/>
    <w:rsid w:val="001B4DAA"/>
    <w:rsid w:val="001B72F3"/>
    <w:rsid w:val="001B7308"/>
    <w:rsid w:val="001B7BE0"/>
    <w:rsid w:val="001B7DCC"/>
    <w:rsid w:val="001C067F"/>
    <w:rsid w:val="001C1380"/>
    <w:rsid w:val="001C204F"/>
    <w:rsid w:val="001C4FB4"/>
    <w:rsid w:val="001C6A51"/>
    <w:rsid w:val="001D00B5"/>
    <w:rsid w:val="001D0464"/>
    <w:rsid w:val="001D11C1"/>
    <w:rsid w:val="001D3B29"/>
    <w:rsid w:val="001D59C8"/>
    <w:rsid w:val="001D7564"/>
    <w:rsid w:val="001E390D"/>
    <w:rsid w:val="001E43B0"/>
    <w:rsid w:val="001E4EEB"/>
    <w:rsid w:val="001E516E"/>
    <w:rsid w:val="001E6026"/>
    <w:rsid w:val="001E6BCD"/>
    <w:rsid w:val="001F1F3C"/>
    <w:rsid w:val="001F2A2E"/>
    <w:rsid w:val="001F3696"/>
    <w:rsid w:val="001F37CA"/>
    <w:rsid w:val="001F4007"/>
    <w:rsid w:val="001F4E3D"/>
    <w:rsid w:val="00201129"/>
    <w:rsid w:val="00201258"/>
    <w:rsid w:val="002014DA"/>
    <w:rsid w:val="00201B53"/>
    <w:rsid w:val="00203838"/>
    <w:rsid w:val="00203C30"/>
    <w:rsid w:val="00203E37"/>
    <w:rsid w:val="00204B37"/>
    <w:rsid w:val="00205538"/>
    <w:rsid w:val="002062DD"/>
    <w:rsid w:val="002064F8"/>
    <w:rsid w:val="002119C5"/>
    <w:rsid w:val="0021575B"/>
    <w:rsid w:val="00215856"/>
    <w:rsid w:val="00215A00"/>
    <w:rsid w:val="00216060"/>
    <w:rsid w:val="00216558"/>
    <w:rsid w:val="00217EE5"/>
    <w:rsid w:val="00220276"/>
    <w:rsid w:val="00223BD5"/>
    <w:rsid w:val="0023248D"/>
    <w:rsid w:val="00232DA6"/>
    <w:rsid w:val="00236C58"/>
    <w:rsid w:val="00237E43"/>
    <w:rsid w:val="0024008D"/>
    <w:rsid w:val="00244E94"/>
    <w:rsid w:val="00251081"/>
    <w:rsid w:val="00251C9B"/>
    <w:rsid w:val="0025264E"/>
    <w:rsid w:val="00253348"/>
    <w:rsid w:val="002545D9"/>
    <w:rsid w:val="00267AED"/>
    <w:rsid w:val="002703AE"/>
    <w:rsid w:val="0027198B"/>
    <w:rsid w:val="00273FCC"/>
    <w:rsid w:val="002750BE"/>
    <w:rsid w:val="00277F70"/>
    <w:rsid w:val="00280489"/>
    <w:rsid w:val="002827E7"/>
    <w:rsid w:val="00283B1E"/>
    <w:rsid w:val="0028497F"/>
    <w:rsid w:val="00285910"/>
    <w:rsid w:val="00286A02"/>
    <w:rsid w:val="00286C0C"/>
    <w:rsid w:val="00290D5F"/>
    <w:rsid w:val="00292683"/>
    <w:rsid w:val="00292DE8"/>
    <w:rsid w:val="002938F2"/>
    <w:rsid w:val="00294639"/>
    <w:rsid w:val="00295074"/>
    <w:rsid w:val="00295704"/>
    <w:rsid w:val="0029674F"/>
    <w:rsid w:val="00297EC3"/>
    <w:rsid w:val="002A09C5"/>
    <w:rsid w:val="002A16B2"/>
    <w:rsid w:val="002B1C5B"/>
    <w:rsid w:val="002B30FF"/>
    <w:rsid w:val="002B4730"/>
    <w:rsid w:val="002B5AD0"/>
    <w:rsid w:val="002B7155"/>
    <w:rsid w:val="002B7D91"/>
    <w:rsid w:val="002C0CF7"/>
    <w:rsid w:val="002C1713"/>
    <w:rsid w:val="002C5280"/>
    <w:rsid w:val="002D1F8A"/>
    <w:rsid w:val="002D396D"/>
    <w:rsid w:val="002D4FD8"/>
    <w:rsid w:val="002E11DC"/>
    <w:rsid w:val="002E2721"/>
    <w:rsid w:val="002E30B6"/>
    <w:rsid w:val="002E666D"/>
    <w:rsid w:val="002F0CE5"/>
    <w:rsid w:val="002F414B"/>
    <w:rsid w:val="002F7F01"/>
    <w:rsid w:val="0030362D"/>
    <w:rsid w:val="00304F3C"/>
    <w:rsid w:val="00305C32"/>
    <w:rsid w:val="003063CD"/>
    <w:rsid w:val="00306E0D"/>
    <w:rsid w:val="00306EF6"/>
    <w:rsid w:val="00311786"/>
    <w:rsid w:val="003147AF"/>
    <w:rsid w:val="00315971"/>
    <w:rsid w:val="00321133"/>
    <w:rsid w:val="00323734"/>
    <w:rsid w:val="00325082"/>
    <w:rsid w:val="003262E5"/>
    <w:rsid w:val="0032757F"/>
    <w:rsid w:val="00330005"/>
    <w:rsid w:val="00331DF7"/>
    <w:rsid w:val="0033218D"/>
    <w:rsid w:val="00334A65"/>
    <w:rsid w:val="00337D9F"/>
    <w:rsid w:val="00340270"/>
    <w:rsid w:val="0034096E"/>
    <w:rsid w:val="00341185"/>
    <w:rsid w:val="0034394D"/>
    <w:rsid w:val="0034755E"/>
    <w:rsid w:val="0034784B"/>
    <w:rsid w:val="00353992"/>
    <w:rsid w:val="00353A69"/>
    <w:rsid w:val="0035565E"/>
    <w:rsid w:val="0035648A"/>
    <w:rsid w:val="003604BE"/>
    <w:rsid w:val="00361291"/>
    <w:rsid w:val="003626B1"/>
    <w:rsid w:val="00363995"/>
    <w:rsid w:val="003655E0"/>
    <w:rsid w:val="00365B94"/>
    <w:rsid w:val="00365D2D"/>
    <w:rsid w:val="00367B88"/>
    <w:rsid w:val="00370EF2"/>
    <w:rsid w:val="00373A59"/>
    <w:rsid w:val="003757AF"/>
    <w:rsid w:val="0037642A"/>
    <w:rsid w:val="00381168"/>
    <w:rsid w:val="00381827"/>
    <w:rsid w:val="003828B7"/>
    <w:rsid w:val="00383131"/>
    <w:rsid w:val="00390077"/>
    <w:rsid w:val="0039446E"/>
    <w:rsid w:val="003972D5"/>
    <w:rsid w:val="003A27E0"/>
    <w:rsid w:val="003A4F7D"/>
    <w:rsid w:val="003B0739"/>
    <w:rsid w:val="003B0989"/>
    <w:rsid w:val="003B2C48"/>
    <w:rsid w:val="003B3F48"/>
    <w:rsid w:val="003B45FF"/>
    <w:rsid w:val="003B4E02"/>
    <w:rsid w:val="003B5599"/>
    <w:rsid w:val="003B669E"/>
    <w:rsid w:val="003C25E5"/>
    <w:rsid w:val="003C299C"/>
    <w:rsid w:val="003C3CEC"/>
    <w:rsid w:val="003C7065"/>
    <w:rsid w:val="003D16F6"/>
    <w:rsid w:val="003D325F"/>
    <w:rsid w:val="003D4DB8"/>
    <w:rsid w:val="003E2204"/>
    <w:rsid w:val="003E5503"/>
    <w:rsid w:val="003F0EBF"/>
    <w:rsid w:val="003F5061"/>
    <w:rsid w:val="003F67FB"/>
    <w:rsid w:val="00401F1C"/>
    <w:rsid w:val="00404BB0"/>
    <w:rsid w:val="00406BB5"/>
    <w:rsid w:val="004108B6"/>
    <w:rsid w:val="0041494B"/>
    <w:rsid w:val="0042014E"/>
    <w:rsid w:val="004204DC"/>
    <w:rsid w:val="00420F46"/>
    <w:rsid w:val="0042789D"/>
    <w:rsid w:val="00431E04"/>
    <w:rsid w:val="00434773"/>
    <w:rsid w:val="00435AD8"/>
    <w:rsid w:val="004379A8"/>
    <w:rsid w:val="004419EA"/>
    <w:rsid w:val="004468CE"/>
    <w:rsid w:val="004471AD"/>
    <w:rsid w:val="00447273"/>
    <w:rsid w:val="00447C66"/>
    <w:rsid w:val="004514E3"/>
    <w:rsid w:val="0045189E"/>
    <w:rsid w:val="0045736D"/>
    <w:rsid w:val="00460907"/>
    <w:rsid w:val="0046220B"/>
    <w:rsid w:val="004649E6"/>
    <w:rsid w:val="004658A9"/>
    <w:rsid w:val="00470C14"/>
    <w:rsid w:val="00471B34"/>
    <w:rsid w:val="004720DA"/>
    <w:rsid w:val="00475223"/>
    <w:rsid w:val="00475DF0"/>
    <w:rsid w:val="004773E1"/>
    <w:rsid w:val="00477EE6"/>
    <w:rsid w:val="004840D3"/>
    <w:rsid w:val="0048477F"/>
    <w:rsid w:val="00485D75"/>
    <w:rsid w:val="004905C3"/>
    <w:rsid w:val="00491988"/>
    <w:rsid w:val="00492180"/>
    <w:rsid w:val="00494A7A"/>
    <w:rsid w:val="004964DC"/>
    <w:rsid w:val="00496CBB"/>
    <w:rsid w:val="004A04D4"/>
    <w:rsid w:val="004A0A80"/>
    <w:rsid w:val="004A1F89"/>
    <w:rsid w:val="004A29E9"/>
    <w:rsid w:val="004A32D6"/>
    <w:rsid w:val="004A344C"/>
    <w:rsid w:val="004B6535"/>
    <w:rsid w:val="004B6CF3"/>
    <w:rsid w:val="004C06E4"/>
    <w:rsid w:val="004C10DA"/>
    <w:rsid w:val="004C1E0C"/>
    <w:rsid w:val="004C2D1C"/>
    <w:rsid w:val="004C51DE"/>
    <w:rsid w:val="004D0BC5"/>
    <w:rsid w:val="004D2CCB"/>
    <w:rsid w:val="004D3FAB"/>
    <w:rsid w:val="004E01B5"/>
    <w:rsid w:val="004E056C"/>
    <w:rsid w:val="004E2817"/>
    <w:rsid w:val="004E4EC7"/>
    <w:rsid w:val="004F0754"/>
    <w:rsid w:val="004F09A3"/>
    <w:rsid w:val="004F21F7"/>
    <w:rsid w:val="004F402E"/>
    <w:rsid w:val="004F4922"/>
    <w:rsid w:val="004F7CAD"/>
    <w:rsid w:val="005016FB"/>
    <w:rsid w:val="00501AEB"/>
    <w:rsid w:val="00502D6B"/>
    <w:rsid w:val="005031B8"/>
    <w:rsid w:val="005069D7"/>
    <w:rsid w:val="00507ED3"/>
    <w:rsid w:val="00511701"/>
    <w:rsid w:val="00511D17"/>
    <w:rsid w:val="00511F98"/>
    <w:rsid w:val="00512C5F"/>
    <w:rsid w:val="00513099"/>
    <w:rsid w:val="0051699F"/>
    <w:rsid w:val="005175E9"/>
    <w:rsid w:val="0053057A"/>
    <w:rsid w:val="005369E0"/>
    <w:rsid w:val="00540C17"/>
    <w:rsid w:val="00541493"/>
    <w:rsid w:val="005414A1"/>
    <w:rsid w:val="00550631"/>
    <w:rsid w:val="0055063A"/>
    <w:rsid w:val="0055412A"/>
    <w:rsid w:val="00556D44"/>
    <w:rsid w:val="005574A0"/>
    <w:rsid w:val="005613F0"/>
    <w:rsid w:val="005616F1"/>
    <w:rsid w:val="00562312"/>
    <w:rsid w:val="00563DDD"/>
    <w:rsid w:val="005657A8"/>
    <w:rsid w:val="00565CBA"/>
    <w:rsid w:val="00572103"/>
    <w:rsid w:val="005729DC"/>
    <w:rsid w:val="005739A2"/>
    <w:rsid w:val="00577450"/>
    <w:rsid w:val="0058065C"/>
    <w:rsid w:val="00580C73"/>
    <w:rsid w:val="005829A8"/>
    <w:rsid w:val="005908B4"/>
    <w:rsid w:val="00590918"/>
    <w:rsid w:val="00595B97"/>
    <w:rsid w:val="005A0A2D"/>
    <w:rsid w:val="005A1645"/>
    <w:rsid w:val="005A193A"/>
    <w:rsid w:val="005A53B0"/>
    <w:rsid w:val="005A56DF"/>
    <w:rsid w:val="005A6868"/>
    <w:rsid w:val="005B2515"/>
    <w:rsid w:val="005B2AFC"/>
    <w:rsid w:val="005B3E12"/>
    <w:rsid w:val="005B6752"/>
    <w:rsid w:val="005B6CFE"/>
    <w:rsid w:val="005C041C"/>
    <w:rsid w:val="005C0629"/>
    <w:rsid w:val="005C0660"/>
    <w:rsid w:val="005C2009"/>
    <w:rsid w:val="005C2852"/>
    <w:rsid w:val="005C44B9"/>
    <w:rsid w:val="005C51CC"/>
    <w:rsid w:val="005C6C1B"/>
    <w:rsid w:val="005C6FB9"/>
    <w:rsid w:val="005D019C"/>
    <w:rsid w:val="005D0AEB"/>
    <w:rsid w:val="005D1AB0"/>
    <w:rsid w:val="005E34F9"/>
    <w:rsid w:val="005E38AE"/>
    <w:rsid w:val="005E7F30"/>
    <w:rsid w:val="005F6415"/>
    <w:rsid w:val="005F6F27"/>
    <w:rsid w:val="005F7DAB"/>
    <w:rsid w:val="006008BE"/>
    <w:rsid w:val="00601DD6"/>
    <w:rsid w:val="00603F71"/>
    <w:rsid w:val="0060646A"/>
    <w:rsid w:val="00615499"/>
    <w:rsid w:val="00615808"/>
    <w:rsid w:val="00620DF8"/>
    <w:rsid w:val="006213F2"/>
    <w:rsid w:val="00621588"/>
    <w:rsid w:val="00621CD1"/>
    <w:rsid w:val="00622043"/>
    <w:rsid w:val="00624523"/>
    <w:rsid w:val="00630DA3"/>
    <w:rsid w:val="00630E20"/>
    <w:rsid w:val="0063175F"/>
    <w:rsid w:val="006327ED"/>
    <w:rsid w:val="00633199"/>
    <w:rsid w:val="00634BF8"/>
    <w:rsid w:val="00635222"/>
    <w:rsid w:val="00635EA9"/>
    <w:rsid w:val="00636760"/>
    <w:rsid w:val="0064013C"/>
    <w:rsid w:val="0064105D"/>
    <w:rsid w:val="006432D6"/>
    <w:rsid w:val="006436D7"/>
    <w:rsid w:val="006515C9"/>
    <w:rsid w:val="00652318"/>
    <w:rsid w:val="006530D3"/>
    <w:rsid w:val="006557D3"/>
    <w:rsid w:val="00660523"/>
    <w:rsid w:val="00662B0F"/>
    <w:rsid w:val="00664ADF"/>
    <w:rsid w:val="006661F8"/>
    <w:rsid w:val="00666BE7"/>
    <w:rsid w:val="0067005F"/>
    <w:rsid w:val="00672C5A"/>
    <w:rsid w:val="00677218"/>
    <w:rsid w:val="00677C3B"/>
    <w:rsid w:val="00686DB8"/>
    <w:rsid w:val="00687C6E"/>
    <w:rsid w:val="006929F9"/>
    <w:rsid w:val="00693F84"/>
    <w:rsid w:val="006A0D86"/>
    <w:rsid w:val="006A4548"/>
    <w:rsid w:val="006A4ADE"/>
    <w:rsid w:val="006A4D78"/>
    <w:rsid w:val="006A5843"/>
    <w:rsid w:val="006B0E54"/>
    <w:rsid w:val="006B0F10"/>
    <w:rsid w:val="006B28B4"/>
    <w:rsid w:val="006B349F"/>
    <w:rsid w:val="006B3A11"/>
    <w:rsid w:val="006B5ECF"/>
    <w:rsid w:val="006C0911"/>
    <w:rsid w:val="006C1B63"/>
    <w:rsid w:val="006D46FB"/>
    <w:rsid w:val="006E1DA6"/>
    <w:rsid w:val="006E3647"/>
    <w:rsid w:val="006E7C4F"/>
    <w:rsid w:val="006F3B39"/>
    <w:rsid w:val="00700FE4"/>
    <w:rsid w:val="0070169A"/>
    <w:rsid w:val="00704B66"/>
    <w:rsid w:val="00705E7D"/>
    <w:rsid w:val="007133F8"/>
    <w:rsid w:val="00714A80"/>
    <w:rsid w:val="00715592"/>
    <w:rsid w:val="007166B9"/>
    <w:rsid w:val="00716D62"/>
    <w:rsid w:val="0072480D"/>
    <w:rsid w:val="007250E3"/>
    <w:rsid w:val="00725260"/>
    <w:rsid w:val="00733C1E"/>
    <w:rsid w:val="00735D39"/>
    <w:rsid w:val="0073620C"/>
    <w:rsid w:val="0074490E"/>
    <w:rsid w:val="00744E31"/>
    <w:rsid w:val="00746204"/>
    <w:rsid w:val="00746B6F"/>
    <w:rsid w:val="00747715"/>
    <w:rsid w:val="007500AD"/>
    <w:rsid w:val="00750138"/>
    <w:rsid w:val="00751DDC"/>
    <w:rsid w:val="007527C6"/>
    <w:rsid w:val="00753615"/>
    <w:rsid w:val="00753D58"/>
    <w:rsid w:val="00753DA3"/>
    <w:rsid w:val="00753FEA"/>
    <w:rsid w:val="0075414B"/>
    <w:rsid w:val="007554F0"/>
    <w:rsid w:val="00761940"/>
    <w:rsid w:val="00764674"/>
    <w:rsid w:val="00764F50"/>
    <w:rsid w:val="00770A92"/>
    <w:rsid w:val="00772CE1"/>
    <w:rsid w:val="00774782"/>
    <w:rsid w:val="00776225"/>
    <w:rsid w:val="0077635E"/>
    <w:rsid w:val="007765A0"/>
    <w:rsid w:val="00776CB1"/>
    <w:rsid w:val="00781638"/>
    <w:rsid w:val="007852BB"/>
    <w:rsid w:val="00786B8F"/>
    <w:rsid w:val="00787D60"/>
    <w:rsid w:val="007908D8"/>
    <w:rsid w:val="00790C65"/>
    <w:rsid w:val="007926B1"/>
    <w:rsid w:val="00794C80"/>
    <w:rsid w:val="0079717B"/>
    <w:rsid w:val="007A1252"/>
    <w:rsid w:val="007A1845"/>
    <w:rsid w:val="007A4F86"/>
    <w:rsid w:val="007A5074"/>
    <w:rsid w:val="007A7557"/>
    <w:rsid w:val="007A7D45"/>
    <w:rsid w:val="007B018C"/>
    <w:rsid w:val="007B210A"/>
    <w:rsid w:val="007B43F7"/>
    <w:rsid w:val="007B44CC"/>
    <w:rsid w:val="007B76FE"/>
    <w:rsid w:val="007C1B00"/>
    <w:rsid w:val="007C23D4"/>
    <w:rsid w:val="007C2EF8"/>
    <w:rsid w:val="007C6183"/>
    <w:rsid w:val="007C72B0"/>
    <w:rsid w:val="007D31CE"/>
    <w:rsid w:val="007D3C4C"/>
    <w:rsid w:val="007D5BB7"/>
    <w:rsid w:val="007D6437"/>
    <w:rsid w:val="007E0621"/>
    <w:rsid w:val="007E4E37"/>
    <w:rsid w:val="007E70C3"/>
    <w:rsid w:val="007E7CBE"/>
    <w:rsid w:val="007F4B07"/>
    <w:rsid w:val="007F7F90"/>
    <w:rsid w:val="00802300"/>
    <w:rsid w:val="00803D53"/>
    <w:rsid w:val="00804DA8"/>
    <w:rsid w:val="008072D8"/>
    <w:rsid w:val="00810B94"/>
    <w:rsid w:val="008122F4"/>
    <w:rsid w:val="00812564"/>
    <w:rsid w:val="008127BE"/>
    <w:rsid w:val="008158FC"/>
    <w:rsid w:val="00815CF8"/>
    <w:rsid w:val="0082312E"/>
    <w:rsid w:val="0082722E"/>
    <w:rsid w:val="00830C67"/>
    <w:rsid w:val="00832B4D"/>
    <w:rsid w:val="008336B0"/>
    <w:rsid w:val="00834333"/>
    <w:rsid w:val="0083488D"/>
    <w:rsid w:val="0083532D"/>
    <w:rsid w:val="0083648C"/>
    <w:rsid w:val="00837293"/>
    <w:rsid w:val="0083737D"/>
    <w:rsid w:val="00841CDA"/>
    <w:rsid w:val="00843A5C"/>
    <w:rsid w:val="00843B71"/>
    <w:rsid w:val="00844C68"/>
    <w:rsid w:val="008466C3"/>
    <w:rsid w:val="0084707B"/>
    <w:rsid w:val="008477A8"/>
    <w:rsid w:val="0085008F"/>
    <w:rsid w:val="00851458"/>
    <w:rsid w:val="00852AAD"/>
    <w:rsid w:val="00860EE1"/>
    <w:rsid w:val="008611C1"/>
    <w:rsid w:val="008617C9"/>
    <w:rsid w:val="00861A47"/>
    <w:rsid w:val="00861B3F"/>
    <w:rsid w:val="0086385A"/>
    <w:rsid w:val="0086523F"/>
    <w:rsid w:val="00865459"/>
    <w:rsid w:val="00866059"/>
    <w:rsid w:val="00866657"/>
    <w:rsid w:val="00867A55"/>
    <w:rsid w:val="00867CEB"/>
    <w:rsid w:val="008707FF"/>
    <w:rsid w:val="00870C95"/>
    <w:rsid w:val="00871014"/>
    <w:rsid w:val="008724E5"/>
    <w:rsid w:val="008743CC"/>
    <w:rsid w:val="00875375"/>
    <w:rsid w:val="00880CD3"/>
    <w:rsid w:val="00883691"/>
    <w:rsid w:val="008837E1"/>
    <w:rsid w:val="00891A2D"/>
    <w:rsid w:val="0089383F"/>
    <w:rsid w:val="00895D24"/>
    <w:rsid w:val="0089725B"/>
    <w:rsid w:val="008A3DEA"/>
    <w:rsid w:val="008A430B"/>
    <w:rsid w:val="008A5FB2"/>
    <w:rsid w:val="008A6551"/>
    <w:rsid w:val="008A6CCE"/>
    <w:rsid w:val="008B06AB"/>
    <w:rsid w:val="008B3B8C"/>
    <w:rsid w:val="008B7346"/>
    <w:rsid w:val="008C0321"/>
    <w:rsid w:val="008C06D5"/>
    <w:rsid w:val="008C06DF"/>
    <w:rsid w:val="008C0F27"/>
    <w:rsid w:val="008C3E6E"/>
    <w:rsid w:val="008C4D11"/>
    <w:rsid w:val="008C5ECC"/>
    <w:rsid w:val="008C60E2"/>
    <w:rsid w:val="008D2939"/>
    <w:rsid w:val="008D3BF7"/>
    <w:rsid w:val="008D7EB0"/>
    <w:rsid w:val="008E28E5"/>
    <w:rsid w:val="008E6FC8"/>
    <w:rsid w:val="008E7245"/>
    <w:rsid w:val="008E7E40"/>
    <w:rsid w:val="008F16C6"/>
    <w:rsid w:val="008F2504"/>
    <w:rsid w:val="008F34A1"/>
    <w:rsid w:val="008F4399"/>
    <w:rsid w:val="008F4FD1"/>
    <w:rsid w:val="008F62F6"/>
    <w:rsid w:val="008F6AA6"/>
    <w:rsid w:val="008F7303"/>
    <w:rsid w:val="00900AAB"/>
    <w:rsid w:val="00901EEB"/>
    <w:rsid w:val="009037E5"/>
    <w:rsid w:val="0090584C"/>
    <w:rsid w:val="009121CE"/>
    <w:rsid w:val="009127D8"/>
    <w:rsid w:val="00913EEF"/>
    <w:rsid w:val="009160EB"/>
    <w:rsid w:val="00920196"/>
    <w:rsid w:val="009214E3"/>
    <w:rsid w:val="00921F65"/>
    <w:rsid w:val="00921FF3"/>
    <w:rsid w:val="009225D9"/>
    <w:rsid w:val="00922CCE"/>
    <w:rsid w:val="009234A2"/>
    <w:rsid w:val="009235FA"/>
    <w:rsid w:val="00925332"/>
    <w:rsid w:val="009264BE"/>
    <w:rsid w:val="0092672B"/>
    <w:rsid w:val="00926926"/>
    <w:rsid w:val="00927FE5"/>
    <w:rsid w:val="009358F1"/>
    <w:rsid w:val="00935DEC"/>
    <w:rsid w:val="00937C9E"/>
    <w:rsid w:val="009443E0"/>
    <w:rsid w:val="009459E2"/>
    <w:rsid w:val="00946FB7"/>
    <w:rsid w:val="009523E6"/>
    <w:rsid w:val="009526F1"/>
    <w:rsid w:val="00961C85"/>
    <w:rsid w:val="00963E80"/>
    <w:rsid w:val="00964AF6"/>
    <w:rsid w:val="009710B5"/>
    <w:rsid w:val="00971B94"/>
    <w:rsid w:val="0097349C"/>
    <w:rsid w:val="00975903"/>
    <w:rsid w:val="009764F5"/>
    <w:rsid w:val="00981106"/>
    <w:rsid w:val="009822B7"/>
    <w:rsid w:val="009847D0"/>
    <w:rsid w:val="00985D15"/>
    <w:rsid w:val="00990183"/>
    <w:rsid w:val="00990259"/>
    <w:rsid w:val="00991932"/>
    <w:rsid w:val="0099564A"/>
    <w:rsid w:val="009A522D"/>
    <w:rsid w:val="009A57B5"/>
    <w:rsid w:val="009B0BDF"/>
    <w:rsid w:val="009B4F53"/>
    <w:rsid w:val="009B5133"/>
    <w:rsid w:val="009B70CA"/>
    <w:rsid w:val="009B73B0"/>
    <w:rsid w:val="009C1313"/>
    <w:rsid w:val="009C3A7D"/>
    <w:rsid w:val="009D17C1"/>
    <w:rsid w:val="009D221B"/>
    <w:rsid w:val="009D4547"/>
    <w:rsid w:val="009D5E38"/>
    <w:rsid w:val="009E111D"/>
    <w:rsid w:val="009E1B3E"/>
    <w:rsid w:val="009E5FBC"/>
    <w:rsid w:val="009F34A4"/>
    <w:rsid w:val="009F3988"/>
    <w:rsid w:val="00A00D55"/>
    <w:rsid w:val="00A0489A"/>
    <w:rsid w:val="00A1341C"/>
    <w:rsid w:val="00A13D3F"/>
    <w:rsid w:val="00A141F4"/>
    <w:rsid w:val="00A150C7"/>
    <w:rsid w:val="00A161C5"/>
    <w:rsid w:val="00A2330B"/>
    <w:rsid w:val="00A2495E"/>
    <w:rsid w:val="00A40446"/>
    <w:rsid w:val="00A44C01"/>
    <w:rsid w:val="00A44CD4"/>
    <w:rsid w:val="00A454CF"/>
    <w:rsid w:val="00A519A2"/>
    <w:rsid w:val="00A51CF4"/>
    <w:rsid w:val="00A52B94"/>
    <w:rsid w:val="00A5334F"/>
    <w:rsid w:val="00A53EE6"/>
    <w:rsid w:val="00A54E19"/>
    <w:rsid w:val="00A5567F"/>
    <w:rsid w:val="00A5601D"/>
    <w:rsid w:val="00A621A9"/>
    <w:rsid w:val="00A67A3B"/>
    <w:rsid w:val="00A70883"/>
    <w:rsid w:val="00A715CE"/>
    <w:rsid w:val="00A73040"/>
    <w:rsid w:val="00A731B0"/>
    <w:rsid w:val="00A741F9"/>
    <w:rsid w:val="00A7475B"/>
    <w:rsid w:val="00A74ADC"/>
    <w:rsid w:val="00A74EF8"/>
    <w:rsid w:val="00A77AEB"/>
    <w:rsid w:val="00A83DED"/>
    <w:rsid w:val="00A85656"/>
    <w:rsid w:val="00A86042"/>
    <w:rsid w:val="00A908EE"/>
    <w:rsid w:val="00A94860"/>
    <w:rsid w:val="00A955DA"/>
    <w:rsid w:val="00A96316"/>
    <w:rsid w:val="00A96363"/>
    <w:rsid w:val="00AA05DB"/>
    <w:rsid w:val="00AA444A"/>
    <w:rsid w:val="00AA44C2"/>
    <w:rsid w:val="00AA4B99"/>
    <w:rsid w:val="00AA539D"/>
    <w:rsid w:val="00AA661D"/>
    <w:rsid w:val="00AA6C3C"/>
    <w:rsid w:val="00AA6E27"/>
    <w:rsid w:val="00AA7289"/>
    <w:rsid w:val="00AB1305"/>
    <w:rsid w:val="00AB1528"/>
    <w:rsid w:val="00AB3BB4"/>
    <w:rsid w:val="00AC0C6E"/>
    <w:rsid w:val="00AC0D85"/>
    <w:rsid w:val="00AC2626"/>
    <w:rsid w:val="00AC307D"/>
    <w:rsid w:val="00AC3AEA"/>
    <w:rsid w:val="00AC4294"/>
    <w:rsid w:val="00AC56AB"/>
    <w:rsid w:val="00AD0B1C"/>
    <w:rsid w:val="00AD3E07"/>
    <w:rsid w:val="00AD48B8"/>
    <w:rsid w:val="00AD537C"/>
    <w:rsid w:val="00AD703D"/>
    <w:rsid w:val="00AE0919"/>
    <w:rsid w:val="00AE1AA6"/>
    <w:rsid w:val="00AE1B18"/>
    <w:rsid w:val="00AE21CB"/>
    <w:rsid w:val="00AE31B9"/>
    <w:rsid w:val="00AE47B7"/>
    <w:rsid w:val="00AF1C32"/>
    <w:rsid w:val="00AF5857"/>
    <w:rsid w:val="00AF6F11"/>
    <w:rsid w:val="00B01F99"/>
    <w:rsid w:val="00B0442F"/>
    <w:rsid w:val="00B05FAD"/>
    <w:rsid w:val="00B10E01"/>
    <w:rsid w:val="00B11AE3"/>
    <w:rsid w:val="00B136AF"/>
    <w:rsid w:val="00B1398C"/>
    <w:rsid w:val="00B14A39"/>
    <w:rsid w:val="00B234E7"/>
    <w:rsid w:val="00B25357"/>
    <w:rsid w:val="00B25C8D"/>
    <w:rsid w:val="00B30246"/>
    <w:rsid w:val="00B307BD"/>
    <w:rsid w:val="00B3212A"/>
    <w:rsid w:val="00B41614"/>
    <w:rsid w:val="00B452F7"/>
    <w:rsid w:val="00B46C04"/>
    <w:rsid w:val="00B5152C"/>
    <w:rsid w:val="00B52922"/>
    <w:rsid w:val="00B56891"/>
    <w:rsid w:val="00B6167A"/>
    <w:rsid w:val="00B66B4F"/>
    <w:rsid w:val="00B739D2"/>
    <w:rsid w:val="00B73ED3"/>
    <w:rsid w:val="00B806EF"/>
    <w:rsid w:val="00B85F50"/>
    <w:rsid w:val="00B8793E"/>
    <w:rsid w:val="00B973B5"/>
    <w:rsid w:val="00BA0352"/>
    <w:rsid w:val="00BA06B8"/>
    <w:rsid w:val="00BA243A"/>
    <w:rsid w:val="00BA57A5"/>
    <w:rsid w:val="00BA65DD"/>
    <w:rsid w:val="00BA6C09"/>
    <w:rsid w:val="00BB0A29"/>
    <w:rsid w:val="00BB2EFB"/>
    <w:rsid w:val="00BB3E67"/>
    <w:rsid w:val="00BB3FBB"/>
    <w:rsid w:val="00BB4B78"/>
    <w:rsid w:val="00BB51D5"/>
    <w:rsid w:val="00BC1C3D"/>
    <w:rsid w:val="00BD0E35"/>
    <w:rsid w:val="00BD4416"/>
    <w:rsid w:val="00BD5947"/>
    <w:rsid w:val="00BD59BD"/>
    <w:rsid w:val="00BD73D1"/>
    <w:rsid w:val="00BD790F"/>
    <w:rsid w:val="00BE2456"/>
    <w:rsid w:val="00BE2BBF"/>
    <w:rsid w:val="00BF082F"/>
    <w:rsid w:val="00BF40F2"/>
    <w:rsid w:val="00C10FB8"/>
    <w:rsid w:val="00C1289D"/>
    <w:rsid w:val="00C23052"/>
    <w:rsid w:val="00C231CB"/>
    <w:rsid w:val="00C240A3"/>
    <w:rsid w:val="00C24E7B"/>
    <w:rsid w:val="00C26EE2"/>
    <w:rsid w:val="00C3451D"/>
    <w:rsid w:val="00C345A0"/>
    <w:rsid w:val="00C3532A"/>
    <w:rsid w:val="00C36BEB"/>
    <w:rsid w:val="00C37E96"/>
    <w:rsid w:val="00C40EBE"/>
    <w:rsid w:val="00C4260A"/>
    <w:rsid w:val="00C43F4E"/>
    <w:rsid w:val="00C46022"/>
    <w:rsid w:val="00C465F7"/>
    <w:rsid w:val="00C47145"/>
    <w:rsid w:val="00C50C40"/>
    <w:rsid w:val="00C53355"/>
    <w:rsid w:val="00C54590"/>
    <w:rsid w:val="00C564D3"/>
    <w:rsid w:val="00C61D37"/>
    <w:rsid w:val="00C630D8"/>
    <w:rsid w:val="00C63551"/>
    <w:rsid w:val="00C6478B"/>
    <w:rsid w:val="00C66BD0"/>
    <w:rsid w:val="00C716F3"/>
    <w:rsid w:val="00C71A77"/>
    <w:rsid w:val="00C73BC4"/>
    <w:rsid w:val="00C75AFF"/>
    <w:rsid w:val="00C77DD8"/>
    <w:rsid w:val="00C81439"/>
    <w:rsid w:val="00C84157"/>
    <w:rsid w:val="00C85CEB"/>
    <w:rsid w:val="00C87036"/>
    <w:rsid w:val="00C91D02"/>
    <w:rsid w:val="00C93A0A"/>
    <w:rsid w:val="00C94C85"/>
    <w:rsid w:val="00CA078D"/>
    <w:rsid w:val="00CA0AB2"/>
    <w:rsid w:val="00CA6FEF"/>
    <w:rsid w:val="00CA7605"/>
    <w:rsid w:val="00CB0DCC"/>
    <w:rsid w:val="00CB0F37"/>
    <w:rsid w:val="00CB17EF"/>
    <w:rsid w:val="00CB3089"/>
    <w:rsid w:val="00CB500D"/>
    <w:rsid w:val="00CB644A"/>
    <w:rsid w:val="00CB68B7"/>
    <w:rsid w:val="00CB6DB2"/>
    <w:rsid w:val="00CC1F53"/>
    <w:rsid w:val="00CC2BC6"/>
    <w:rsid w:val="00CC5B95"/>
    <w:rsid w:val="00CC6253"/>
    <w:rsid w:val="00CC6DAF"/>
    <w:rsid w:val="00CD2CC5"/>
    <w:rsid w:val="00CD3094"/>
    <w:rsid w:val="00CD4335"/>
    <w:rsid w:val="00CD703D"/>
    <w:rsid w:val="00CE214C"/>
    <w:rsid w:val="00CE2586"/>
    <w:rsid w:val="00CE3D53"/>
    <w:rsid w:val="00CE5596"/>
    <w:rsid w:val="00CE7428"/>
    <w:rsid w:val="00CF16FA"/>
    <w:rsid w:val="00CF3D3B"/>
    <w:rsid w:val="00CF4D87"/>
    <w:rsid w:val="00CF754A"/>
    <w:rsid w:val="00CF7C7E"/>
    <w:rsid w:val="00CF7DA9"/>
    <w:rsid w:val="00D0184F"/>
    <w:rsid w:val="00D01A30"/>
    <w:rsid w:val="00D043F4"/>
    <w:rsid w:val="00D04482"/>
    <w:rsid w:val="00D063D3"/>
    <w:rsid w:val="00D11438"/>
    <w:rsid w:val="00D14DCD"/>
    <w:rsid w:val="00D156D1"/>
    <w:rsid w:val="00D1609B"/>
    <w:rsid w:val="00D244DC"/>
    <w:rsid w:val="00D26003"/>
    <w:rsid w:val="00D27DE0"/>
    <w:rsid w:val="00D3189C"/>
    <w:rsid w:val="00D321BF"/>
    <w:rsid w:val="00D33524"/>
    <w:rsid w:val="00D34A6D"/>
    <w:rsid w:val="00D35DB1"/>
    <w:rsid w:val="00D36B7C"/>
    <w:rsid w:val="00D36EF9"/>
    <w:rsid w:val="00D36FD7"/>
    <w:rsid w:val="00D37F86"/>
    <w:rsid w:val="00D404B7"/>
    <w:rsid w:val="00D46C86"/>
    <w:rsid w:val="00D4737F"/>
    <w:rsid w:val="00D554EC"/>
    <w:rsid w:val="00D55570"/>
    <w:rsid w:val="00D55FAA"/>
    <w:rsid w:val="00D561CF"/>
    <w:rsid w:val="00D571CE"/>
    <w:rsid w:val="00D578EB"/>
    <w:rsid w:val="00D57D6C"/>
    <w:rsid w:val="00D61666"/>
    <w:rsid w:val="00D63398"/>
    <w:rsid w:val="00D65586"/>
    <w:rsid w:val="00D67C00"/>
    <w:rsid w:val="00D70FCF"/>
    <w:rsid w:val="00D72239"/>
    <w:rsid w:val="00D728D5"/>
    <w:rsid w:val="00D7664F"/>
    <w:rsid w:val="00D809E5"/>
    <w:rsid w:val="00D81948"/>
    <w:rsid w:val="00D84C76"/>
    <w:rsid w:val="00D86BF5"/>
    <w:rsid w:val="00D910EC"/>
    <w:rsid w:val="00D93A36"/>
    <w:rsid w:val="00D93C0F"/>
    <w:rsid w:val="00D9501F"/>
    <w:rsid w:val="00D969DF"/>
    <w:rsid w:val="00DA120D"/>
    <w:rsid w:val="00DA1ED4"/>
    <w:rsid w:val="00DA4157"/>
    <w:rsid w:val="00DA49D7"/>
    <w:rsid w:val="00DA76E9"/>
    <w:rsid w:val="00DA7F27"/>
    <w:rsid w:val="00DB47DE"/>
    <w:rsid w:val="00DB50D5"/>
    <w:rsid w:val="00DB59E2"/>
    <w:rsid w:val="00DC0424"/>
    <w:rsid w:val="00DC26B4"/>
    <w:rsid w:val="00DC5348"/>
    <w:rsid w:val="00DD4EB7"/>
    <w:rsid w:val="00DE1C28"/>
    <w:rsid w:val="00DE1DF1"/>
    <w:rsid w:val="00DE21DC"/>
    <w:rsid w:val="00DE3A78"/>
    <w:rsid w:val="00DF05B6"/>
    <w:rsid w:val="00DF06A3"/>
    <w:rsid w:val="00DF3DA3"/>
    <w:rsid w:val="00DF4CF6"/>
    <w:rsid w:val="00DF581A"/>
    <w:rsid w:val="00DF6C88"/>
    <w:rsid w:val="00E00EB9"/>
    <w:rsid w:val="00E04139"/>
    <w:rsid w:val="00E0679C"/>
    <w:rsid w:val="00E06A00"/>
    <w:rsid w:val="00E109C6"/>
    <w:rsid w:val="00E12D11"/>
    <w:rsid w:val="00E14831"/>
    <w:rsid w:val="00E15D2C"/>
    <w:rsid w:val="00E22B99"/>
    <w:rsid w:val="00E237C6"/>
    <w:rsid w:val="00E258D9"/>
    <w:rsid w:val="00E34215"/>
    <w:rsid w:val="00E3533D"/>
    <w:rsid w:val="00E37B70"/>
    <w:rsid w:val="00E422F2"/>
    <w:rsid w:val="00E439CA"/>
    <w:rsid w:val="00E43D80"/>
    <w:rsid w:val="00E44C98"/>
    <w:rsid w:val="00E47C00"/>
    <w:rsid w:val="00E50017"/>
    <w:rsid w:val="00E502B8"/>
    <w:rsid w:val="00E5219B"/>
    <w:rsid w:val="00E52504"/>
    <w:rsid w:val="00E5367C"/>
    <w:rsid w:val="00E54C26"/>
    <w:rsid w:val="00E56B35"/>
    <w:rsid w:val="00E57C94"/>
    <w:rsid w:val="00E61F43"/>
    <w:rsid w:val="00E63AB5"/>
    <w:rsid w:val="00E64EDF"/>
    <w:rsid w:val="00E65AFB"/>
    <w:rsid w:val="00E71491"/>
    <w:rsid w:val="00E7419E"/>
    <w:rsid w:val="00E75AD5"/>
    <w:rsid w:val="00E807DE"/>
    <w:rsid w:val="00E824FB"/>
    <w:rsid w:val="00E83153"/>
    <w:rsid w:val="00E85247"/>
    <w:rsid w:val="00E85C6C"/>
    <w:rsid w:val="00E85DB9"/>
    <w:rsid w:val="00E86BC5"/>
    <w:rsid w:val="00E86DB4"/>
    <w:rsid w:val="00E91EDF"/>
    <w:rsid w:val="00E92B90"/>
    <w:rsid w:val="00E937F7"/>
    <w:rsid w:val="00E95C59"/>
    <w:rsid w:val="00E96448"/>
    <w:rsid w:val="00E965A0"/>
    <w:rsid w:val="00EA024D"/>
    <w:rsid w:val="00EA0946"/>
    <w:rsid w:val="00EA0C37"/>
    <w:rsid w:val="00EA176B"/>
    <w:rsid w:val="00EA198F"/>
    <w:rsid w:val="00EA48C0"/>
    <w:rsid w:val="00EB2942"/>
    <w:rsid w:val="00EB3622"/>
    <w:rsid w:val="00EB54BC"/>
    <w:rsid w:val="00EB5832"/>
    <w:rsid w:val="00EB5EE6"/>
    <w:rsid w:val="00EB5F43"/>
    <w:rsid w:val="00EB6263"/>
    <w:rsid w:val="00EB6366"/>
    <w:rsid w:val="00EC57AF"/>
    <w:rsid w:val="00ED0846"/>
    <w:rsid w:val="00ED1D90"/>
    <w:rsid w:val="00ED236E"/>
    <w:rsid w:val="00ED41EF"/>
    <w:rsid w:val="00ED69A1"/>
    <w:rsid w:val="00ED6A6C"/>
    <w:rsid w:val="00ED73CC"/>
    <w:rsid w:val="00EE0B0F"/>
    <w:rsid w:val="00EE43BF"/>
    <w:rsid w:val="00EE4C94"/>
    <w:rsid w:val="00EE6008"/>
    <w:rsid w:val="00EE76D8"/>
    <w:rsid w:val="00EF0BCB"/>
    <w:rsid w:val="00EF0E5D"/>
    <w:rsid w:val="00EF0E74"/>
    <w:rsid w:val="00EF0E85"/>
    <w:rsid w:val="00EF37FC"/>
    <w:rsid w:val="00EF3800"/>
    <w:rsid w:val="00EF4387"/>
    <w:rsid w:val="00F00E8A"/>
    <w:rsid w:val="00F01C3E"/>
    <w:rsid w:val="00F05D28"/>
    <w:rsid w:val="00F063AD"/>
    <w:rsid w:val="00F10CD4"/>
    <w:rsid w:val="00F12F10"/>
    <w:rsid w:val="00F150C6"/>
    <w:rsid w:val="00F15282"/>
    <w:rsid w:val="00F2060F"/>
    <w:rsid w:val="00F22F6E"/>
    <w:rsid w:val="00F2788C"/>
    <w:rsid w:val="00F32759"/>
    <w:rsid w:val="00F33650"/>
    <w:rsid w:val="00F340E9"/>
    <w:rsid w:val="00F40D1D"/>
    <w:rsid w:val="00F42D85"/>
    <w:rsid w:val="00F42EC3"/>
    <w:rsid w:val="00F43F9F"/>
    <w:rsid w:val="00F45AE2"/>
    <w:rsid w:val="00F473CB"/>
    <w:rsid w:val="00F47C64"/>
    <w:rsid w:val="00F50245"/>
    <w:rsid w:val="00F53804"/>
    <w:rsid w:val="00F55243"/>
    <w:rsid w:val="00F55C4B"/>
    <w:rsid w:val="00F57F55"/>
    <w:rsid w:val="00F618BE"/>
    <w:rsid w:val="00F62896"/>
    <w:rsid w:val="00F63DDA"/>
    <w:rsid w:val="00F67FF9"/>
    <w:rsid w:val="00F70858"/>
    <w:rsid w:val="00F70E87"/>
    <w:rsid w:val="00F70E8E"/>
    <w:rsid w:val="00F7397F"/>
    <w:rsid w:val="00F75949"/>
    <w:rsid w:val="00F75CF4"/>
    <w:rsid w:val="00F769EE"/>
    <w:rsid w:val="00F77513"/>
    <w:rsid w:val="00F77D9B"/>
    <w:rsid w:val="00F80DA8"/>
    <w:rsid w:val="00F80DDE"/>
    <w:rsid w:val="00F81FEE"/>
    <w:rsid w:val="00F83159"/>
    <w:rsid w:val="00F87886"/>
    <w:rsid w:val="00F9086E"/>
    <w:rsid w:val="00F93F25"/>
    <w:rsid w:val="00F941F0"/>
    <w:rsid w:val="00F94D5D"/>
    <w:rsid w:val="00F95258"/>
    <w:rsid w:val="00F96133"/>
    <w:rsid w:val="00F97A97"/>
    <w:rsid w:val="00FA07F9"/>
    <w:rsid w:val="00FA17D8"/>
    <w:rsid w:val="00FA31AE"/>
    <w:rsid w:val="00FA3ED4"/>
    <w:rsid w:val="00FA5FB6"/>
    <w:rsid w:val="00FA69A9"/>
    <w:rsid w:val="00FB0566"/>
    <w:rsid w:val="00FB1B89"/>
    <w:rsid w:val="00FC206B"/>
    <w:rsid w:val="00FC3FF4"/>
    <w:rsid w:val="00FC5F1B"/>
    <w:rsid w:val="00FC66AF"/>
    <w:rsid w:val="00FC7FB7"/>
    <w:rsid w:val="00FD46E1"/>
    <w:rsid w:val="00FD6DB9"/>
    <w:rsid w:val="00FE173A"/>
    <w:rsid w:val="00FE23DD"/>
    <w:rsid w:val="00FE4CE6"/>
    <w:rsid w:val="00FE5338"/>
    <w:rsid w:val="00FF0B98"/>
    <w:rsid w:val="00FF2B1D"/>
    <w:rsid w:val="00FF37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1">
    <w:name w:val="heading 1"/>
    <w:basedOn w:val="Normal"/>
    <w:next w:val="Normal"/>
    <w:link w:val="Titre1Car"/>
    <w:qFormat/>
    <w:rsid w:val="00AE3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aliases w:val=" Car Car3 Char, Car Car3 Char Char Char Char"/>
    <w:link w:val="CarCar3"/>
    <w:uiPriority w:val="99"/>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aliases w:val="CRITERES"/>
    <w:basedOn w:val="Normal"/>
    <w:uiPriority w:val="34"/>
    <w:qFormat/>
    <w:rsid w:val="005908B4"/>
    <w:pPr>
      <w:ind w:left="720"/>
      <w:contextualSpacing/>
    </w:pPr>
  </w:style>
  <w:style w:type="paragraph" w:styleId="Date">
    <w:name w:val="Date"/>
    <w:basedOn w:val="Normal"/>
    <w:next w:val="Normal"/>
    <w:link w:val="DateCar"/>
    <w:rsid w:val="007D6437"/>
  </w:style>
  <w:style w:type="character" w:customStyle="1" w:styleId="DateCar">
    <w:name w:val="Date Car"/>
    <w:basedOn w:val="Policepardfaut"/>
    <w:link w:val="Date"/>
    <w:rsid w:val="007D6437"/>
    <w:rPr>
      <w:rFonts w:ascii="Times New Roman" w:eastAsia="Times New Roman" w:hAnsi="Times New Roman"/>
      <w:sz w:val="22"/>
      <w:szCs w:val="24"/>
      <w:lang w:val="en-GB"/>
    </w:rPr>
  </w:style>
  <w:style w:type="paragraph" w:customStyle="1" w:styleId="xmsolistparagraph">
    <w:name w:val="x_msolistparagraph"/>
    <w:basedOn w:val="Normal"/>
    <w:uiPriority w:val="99"/>
    <w:rsid w:val="00672C5A"/>
    <w:pPr>
      <w:spacing w:after="0"/>
    </w:pPr>
    <w:rPr>
      <w:rFonts w:eastAsiaTheme="minorHAnsi"/>
      <w:sz w:val="24"/>
      <w:lang w:val="en-US" w:eastAsia="en-US"/>
    </w:rPr>
  </w:style>
  <w:style w:type="character" w:styleId="Mentionnonrsolue">
    <w:name w:val="Unresolved Mention"/>
    <w:basedOn w:val="Policepardfaut"/>
    <w:uiPriority w:val="99"/>
    <w:semiHidden/>
    <w:unhideWhenUsed/>
    <w:rsid w:val="00FA17D8"/>
    <w:rPr>
      <w:color w:val="605E5C"/>
      <w:shd w:val="clear" w:color="auto" w:fill="E1DFDD"/>
    </w:rPr>
  </w:style>
  <w:style w:type="paragraph" w:customStyle="1" w:styleId="CarCar3">
    <w:name w:val="Car Car3"/>
    <w:aliases w:val=" Car Car3 Char Char"/>
    <w:basedOn w:val="Normal"/>
    <w:link w:val="Lienhypertexte"/>
    <w:rsid w:val="00A908EE"/>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paragraph" w:styleId="NormalWeb">
    <w:name w:val="Normal (Web)"/>
    <w:basedOn w:val="Normal"/>
    <w:uiPriority w:val="99"/>
    <w:semiHidden/>
    <w:unhideWhenUsed/>
    <w:rsid w:val="00975903"/>
    <w:pPr>
      <w:spacing w:before="100" w:beforeAutospacing="1" w:after="100" w:afterAutospacing="1"/>
    </w:pPr>
    <w:rPr>
      <w:sz w:val="24"/>
      <w:lang w:val="fr-FR" w:eastAsia="zh-CN"/>
    </w:rPr>
  </w:style>
  <w:style w:type="character" w:customStyle="1" w:styleId="Titre1Car">
    <w:name w:val="Titre 1 Car"/>
    <w:basedOn w:val="Policepardfaut"/>
    <w:link w:val="Titre1"/>
    <w:rsid w:val="00AE31B9"/>
    <w:rPr>
      <w:rFonts w:asciiTheme="majorHAnsi" w:eastAsiaTheme="majorEastAsia" w:hAnsiTheme="majorHAnsi" w:cstheme="majorBidi"/>
      <w:color w:val="365F91" w:themeColor="accent1" w:themeShade="BF"/>
      <w:sz w:val="32"/>
      <w:szCs w:val="32"/>
      <w:lang w:val="en-GB"/>
    </w:rPr>
  </w:style>
  <w:style w:type="paragraph" w:styleId="Rvision">
    <w:name w:val="Revision"/>
    <w:hidden/>
    <w:semiHidden/>
    <w:rsid w:val="00DF06A3"/>
    <w:rPr>
      <w:rFonts w:ascii="Times New Roman" w:eastAsia="Times New Roman" w:hAnsi="Times New Roman"/>
      <w:sz w:val="22"/>
      <w:szCs w:val="24"/>
      <w:lang w:val="en-GB"/>
    </w:rPr>
  </w:style>
  <w:style w:type="character" w:styleId="Lienhypertextesuivivisit">
    <w:name w:val="FollowedHyperlink"/>
    <w:basedOn w:val="Policepardfaut"/>
    <w:semiHidden/>
    <w:unhideWhenUsed/>
    <w:rsid w:val="000C1F0A"/>
    <w:rPr>
      <w:color w:val="800080" w:themeColor="followedHyperlink"/>
      <w:u w:val="single"/>
    </w:rPr>
  </w:style>
  <w:style w:type="paragraph" w:styleId="Notedefin">
    <w:name w:val="endnote text"/>
    <w:basedOn w:val="Normal"/>
    <w:link w:val="NotedefinCar"/>
    <w:semiHidden/>
    <w:unhideWhenUsed/>
    <w:rsid w:val="00D244DC"/>
    <w:pPr>
      <w:spacing w:after="0"/>
    </w:pPr>
    <w:rPr>
      <w:sz w:val="20"/>
      <w:szCs w:val="20"/>
    </w:rPr>
  </w:style>
  <w:style w:type="character" w:customStyle="1" w:styleId="NotedefinCar">
    <w:name w:val="Note de fin Car"/>
    <w:basedOn w:val="Policepardfaut"/>
    <w:link w:val="Notedefin"/>
    <w:semiHidden/>
    <w:rsid w:val="00D244DC"/>
    <w:rPr>
      <w:rFonts w:ascii="Times New Roman" w:eastAsia="Times New Roman" w:hAnsi="Times New Roman"/>
      <w:lang w:val="en-GB"/>
    </w:rPr>
  </w:style>
  <w:style w:type="character" w:styleId="Appeldenotedefin">
    <w:name w:val="endnote reference"/>
    <w:basedOn w:val="Policepardfaut"/>
    <w:semiHidden/>
    <w:unhideWhenUsed/>
    <w:rsid w:val="00D24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4803">
      <w:bodyDiv w:val="1"/>
      <w:marLeft w:val="0"/>
      <w:marRight w:val="0"/>
      <w:marTop w:val="0"/>
      <w:marBottom w:val="0"/>
      <w:divBdr>
        <w:top w:val="none" w:sz="0" w:space="0" w:color="auto"/>
        <w:left w:val="none" w:sz="0" w:space="0" w:color="auto"/>
        <w:bottom w:val="none" w:sz="0" w:space="0" w:color="auto"/>
        <w:right w:val="none" w:sz="0" w:space="0" w:color="auto"/>
      </w:divBdr>
    </w:div>
    <w:div w:id="946043420">
      <w:bodyDiv w:val="1"/>
      <w:marLeft w:val="0"/>
      <w:marRight w:val="0"/>
      <w:marTop w:val="0"/>
      <w:marBottom w:val="0"/>
      <w:divBdr>
        <w:top w:val="none" w:sz="0" w:space="0" w:color="auto"/>
        <w:left w:val="none" w:sz="0" w:space="0" w:color="auto"/>
        <w:bottom w:val="none" w:sz="0" w:space="0" w:color="auto"/>
        <w:right w:val="none" w:sz="0" w:space="0" w:color="auto"/>
      </w:divBdr>
    </w:div>
    <w:div w:id="1049382187">
      <w:bodyDiv w:val="1"/>
      <w:marLeft w:val="0"/>
      <w:marRight w:val="0"/>
      <w:marTop w:val="0"/>
      <w:marBottom w:val="0"/>
      <w:divBdr>
        <w:top w:val="none" w:sz="0" w:space="0" w:color="auto"/>
        <w:left w:val="none" w:sz="0" w:space="0" w:color="auto"/>
        <w:bottom w:val="none" w:sz="0" w:space="0" w:color="auto"/>
        <w:right w:val="none" w:sz="0" w:space="0" w:color="auto"/>
      </w:divBdr>
    </w:div>
    <w:div w:id="1372071059">
      <w:bodyDiv w:val="1"/>
      <w:marLeft w:val="0"/>
      <w:marRight w:val="0"/>
      <w:marTop w:val="0"/>
      <w:marBottom w:val="0"/>
      <w:divBdr>
        <w:top w:val="none" w:sz="0" w:space="0" w:color="auto"/>
        <w:left w:val="none" w:sz="0" w:space="0" w:color="auto"/>
        <w:bottom w:val="none" w:sz="0" w:space="0" w:color="auto"/>
        <w:right w:val="none" w:sz="0" w:space="0" w:color="auto"/>
      </w:divBdr>
    </w:div>
    <w:div w:id="1559902924">
      <w:bodyDiv w:val="1"/>
      <w:marLeft w:val="0"/>
      <w:marRight w:val="0"/>
      <w:marTop w:val="0"/>
      <w:marBottom w:val="0"/>
      <w:divBdr>
        <w:top w:val="none" w:sz="0" w:space="0" w:color="auto"/>
        <w:left w:val="none" w:sz="0" w:space="0" w:color="auto"/>
        <w:bottom w:val="none" w:sz="0" w:space="0" w:color="auto"/>
        <w:right w:val="none" w:sz="0" w:space="0" w:color="auto"/>
      </w:divBdr>
    </w:div>
    <w:div w:id="158298565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82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4" TargetMode="External"/><Relationship Id="rId13" Type="http://schemas.openxmlformats.org/officeDocument/2006/relationships/hyperlink" Target="https://ich.unesco.org/en/Decisions/5.COM/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ich.unesco.org/en/Decisions/16.COM/8" TargetMode="External"/><Relationship Id="rId17" Type="http://schemas.openxmlformats.org/officeDocument/2006/relationships/hyperlink" Target="https://ich.unesco.org/en/Decisions/16.COM/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1-16.COM-10_Rev.-EN.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0.COM/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5.GA/5.1" TargetMode="External"/><Relationship Id="rId23" Type="http://schemas.openxmlformats.org/officeDocument/2006/relationships/header" Target="header4.xml"/><Relationship Id="rId10" Type="http://schemas.openxmlformats.org/officeDocument/2006/relationships/hyperlink" Target="https://ich.unesco.org/doc/src/ITH-18-13.COM-15-EN.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0-15.COM-9-EN.docx" TargetMode="External"/><Relationship Id="rId14" Type="http://schemas.openxmlformats.org/officeDocument/2006/relationships/hyperlink" Target="https://ich.unesco.org/en/Resolutions/4.GA/5" TargetMode="External"/><Relationship Id="rId22" Type="http://schemas.openxmlformats.org/officeDocument/2006/relationships/hyperlink" Target="https://ich.unesco.org/doc/src/LHE-21-16.COM-INF.10_Rev.-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5.COM/9" TargetMode="External"/><Relationship Id="rId3" Type="http://schemas.openxmlformats.org/officeDocument/2006/relationships/hyperlink" Target="http://ich.unesco.org/en/events/5.COM-4.WG-00134" TargetMode="External"/><Relationship Id="rId7" Type="http://schemas.openxmlformats.org/officeDocument/2006/relationships/hyperlink" Target="https://ich.unesco.org/en/Decisions/13.COM/15" TargetMode="External"/><Relationship Id="rId2" Type="http://schemas.openxmlformats.org/officeDocument/2006/relationships/hyperlink" Target="http://ich.unesco.org/en/events/5.COM-3.1.WG-00133" TargetMode="External"/><Relationship Id="rId1" Type="http://schemas.openxmlformats.org/officeDocument/2006/relationships/hyperlink" Target="https://ich.unesco.org/en/events/expert-meeting-on-the-2003-convention-00129" TargetMode="External"/><Relationship Id="rId6" Type="http://schemas.openxmlformats.org/officeDocument/2006/relationships/hyperlink" Target="https://ich.unesco.org/en/Decisions/11.COM/12" TargetMode="External"/><Relationship Id="rId5" Type="http://schemas.openxmlformats.org/officeDocument/2006/relationships/hyperlink" Target="https://ich.unesco.org/en/Decisions/10.COM/13" TargetMode="External"/><Relationship Id="rId4" Type="http://schemas.openxmlformats.org/officeDocument/2006/relationships/hyperlink" Target="https://ich.unesco.org/en/Decisions/9.COM/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6081</Words>
  <Characters>33449</Characters>
  <Application>Microsoft Office Word</Application>
  <DocSecurity>0</DocSecurity>
  <Lines>278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2022-04-11T14:19:00Z</dcterms:created>
  <dcterms:modified xsi:type="dcterms:W3CDTF">2022-04-14T12:45:00Z</dcterms:modified>
</cp:coreProperties>
</file>