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5E36E" w14:textId="2C143DE3" w:rsidR="00EC6F8D" w:rsidRPr="00066CC7" w:rsidRDefault="00EC6F8D" w:rsidP="00EC6F8D">
      <w:pPr>
        <w:spacing w:before="1440"/>
        <w:jc w:val="center"/>
        <w:rPr>
          <w:rFonts w:asciiTheme="minorBidi" w:hAnsiTheme="minorBidi" w:cstheme="minorBidi"/>
          <w:b/>
          <w:sz w:val="22"/>
          <w:szCs w:val="22"/>
        </w:rPr>
      </w:pPr>
      <w:r w:rsidRPr="00066CC7">
        <w:rPr>
          <w:rFonts w:asciiTheme="minorBidi" w:hAnsiTheme="minorBidi"/>
          <w:b/>
          <w:sz w:val="22"/>
        </w:rPr>
        <w:t>CONVENTION POUR LA SAUVEGARDE DU</w:t>
      </w:r>
      <w:r w:rsidRPr="00066CC7">
        <w:rPr>
          <w:rFonts w:asciiTheme="minorBidi" w:hAnsiTheme="minorBidi"/>
          <w:b/>
          <w:sz w:val="22"/>
        </w:rPr>
        <w:br/>
        <w:t>PATRIMOINE CULTUREL IMMATÉRIEL</w:t>
      </w:r>
    </w:p>
    <w:p w14:paraId="5CE33500" w14:textId="77777777" w:rsidR="00847ACC" w:rsidRPr="00066CC7" w:rsidRDefault="00847ACC" w:rsidP="00847ACC">
      <w:pPr>
        <w:spacing w:before="1200"/>
        <w:jc w:val="center"/>
        <w:rPr>
          <w:rFonts w:ascii="Arial" w:hAnsi="Arial"/>
          <w:b/>
          <w:sz w:val="22"/>
        </w:rPr>
      </w:pPr>
      <w:r w:rsidRPr="00066CC7">
        <w:rPr>
          <w:rFonts w:ascii="Arial" w:hAnsi="Arial"/>
          <w:b/>
          <w:sz w:val="22"/>
        </w:rPr>
        <w:t>COMITÉ INTERGOUVERNEMENTAL DE SAUVEGARDE</w:t>
      </w:r>
    </w:p>
    <w:p w14:paraId="13752329" w14:textId="77777777" w:rsidR="00847ACC" w:rsidRPr="00066CC7" w:rsidRDefault="00847ACC" w:rsidP="00847ACC">
      <w:pPr>
        <w:spacing w:before="1200"/>
        <w:contextualSpacing/>
        <w:jc w:val="center"/>
        <w:rPr>
          <w:rFonts w:ascii="Arial" w:hAnsi="Arial" w:cs="Arial"/>
          <w:b/>
          <w:sz w:val="22"/>
          <w:szCs w:val="22"/>
        </w:rPr>
      </w:pPr>
      <w:r w:rsidRPr="00066CC7">
        <w:rPr>
          <w:rFonts w:ascii="Arial" w:hAnsi="Arial"/>
          <w:b/>
          <w:sz w:val="22"/>
        </w:rPr>
        <w:t xml:space="preserve"> DU PATRIMOINE CULTUREL IMMATÉRIEL</w:t>
      </w:r>
    </w:p>
    <w:p w14:paraId="2E1CD4B4" w14:textId="0D8D1D3D" w:rsidR="00EC6F8D" w:rsidRPr="00066CC7" w:rsidRDefault="00B2172B" w:rsidP="001D14FE">
      <w:pPr>
        <w:spacing w:before="840"/>
        <w:jc w:val="center"/>
        <w:rPr>
          <w:rFonts w:asciiTheme="minorBidi" w:hAnsiTheme="minorBidi" w:cstheme="minorBidi"/>
          <w:b/>
          <w:sz w:val="22"/>
          <w:szCs w:val="22"/>
        </w:rPr>
      </w:pPr>
      <w:r w:rsidRPr="00066CC7">
        <w:rPr>
          <w:rFonts w:asciiTheme="minorBidi" w:hAnsiTheme="minorBidi"/>
          <w:b/>
          <w:sz w:val="22"/>
        </w:rPr>
        <w:t>Seizième session</w:t>
      </w:r>
    </w:p>
    <w:p w14:paraId="1FD89575" w14:textId="3715DDB8" w:rsidR="00B2172B" w:rsidRPr="00066CC7" w:rsidRDefault="009D4CF5" w:rsidP="00B2172B">
      <w:pPr>
        <w:jc w:val="center"/>
        <w:rPr>
          <w:rFonts w:asciiTheme="minorBidi" w:hAnsiTheme="minorBidi" w:cstheme="minorBidi"/>
          <w:b/>
          <w:sz w:val="22"/>
          <w:szCs w:val="22"/>
        </w:rPr>
      </w:pPr>
      <w:r>
        <w:rPr>
          <w:rFonts w:asciiTheme="minorBidi" w:hAnsiTheme="minorBidi"/>
          <w:b/>
          <w:sz w:val="22"/>
        </w:rPr>
        <w:t>En ligne</w:t>
      </w:r>
    </w:p>
    <w:p w14:paraId="52EA6D50" w14:textId="77777777" w:rsidR="00B2172B" w:rsidRPr="00066CC7" w:rsidRDefault="00B2172B" w:rsidP="00B2172B">
      <w:pPr>
        <w:jc w:val="center"/>
        <w:rPr>
          <w:rFonts w:asciiTheme="minorBidi" w:hAnsiTheme="minorBidi" w:cstheme="minorBidi"/>
          <w:b/>
          <w:sz w:val="22"/>
          <w:szCs w:val="22"/>
        </w:rPr>
      </w:pPr>
      <w:r w:rsidRPr="00066CC7">
        <w:rPr>
          <w:rFonts w:asciiTheme="minorBidi" w:hAnsiTheme="minorBidi"/>
          <w:b/>
          <w:sz w:val="22"/>
        </w:rPr>
        <w:t>13 - 18 décembre 2021</w:t>
      </w:r>
    </w:p>
    <w:p w14:paraId="0365203A" w14:textId="4CACA97D" w:rsidR="00EC6F8D" w:rsidRPr="00066CC7" w:rsidRDefault="00EC6F8D" w:rsidP="00EC6F8D">
      <w:pPr>
        <w:pStyle w:val="Sansinterligne2"/>
        <w:spacing w:before="1200"/>
        <w:jc w:val="center"/>
        <w:rPr>
          <w:rFonts w:asciiTheme="minorBidi" w:hAnsiTheme="minorBidi" w:cstheme="minorBidi"/>
          <w:b/>
          <w:sz w:val="22"/>
          <w:szCs w:val="22"/>
        </w:rPr>
      </w:pPr>
      <w:r w:rsidRPr="00066CC7">
        <w:rPr>
          <w:rFonts w:asciiTheme="minorBidi" w:hAnsiTheme="minorBidi"/>
          <w:b/>
          <w:sz w:val="22"/>
          <w:u w:val="single"/>
        </w:rPr>
        <w:t>Point 5.b de l’ordre du jour provisoire</w:t>
      </w:r>
      <w:r w:rsidRPr="00CE4C2B">
        <w:rPr>
          <w:rFonts w:asciiTheme="minorBidi" w:hAnsiTheme="minorBidi"/>
          <w:b/>
          <w:sz w:val="22"/>
        </w:rPr>
        <w:t> </w:t>
      </w:r>
      <w:r w:rsidRPr="00066CC7">
        <w:rPr>
          <w:rFonts w:asciiTheme="minorBidi" w:hAnsiTheme="minorBidi"/>
          <w:b/>
          <w:sz w:val="22"/>
        </w:rPr>
        <w:t>:</w:t>
      </w:r>
    </w:p>
    <w:p w14:paraId="0529DC9A" w14:textId="77777777" w:rsidR="008E6803" w:rsidRPr="00066CC7" w:rsidRDefault="008E6803" w:rsidP="008E6803">
      <w:pPr>
        <w:pStyle w:val="Sansinterligne2"/>
        <w:jc w:val="center"/>
        <w:rPr>
          <w:rFonts w:asciiTheme="minorBidi" w:hAnsiTheme="minorBidi" w:cstheme="minorBidi"/>
          <w:b/>
          <w:sz w:val="22"/>
          <w:szCs w:val="22"/>
        </w:rPr>
      </w:pPr>
      <w:r w:rsidRPr="00066CC7">
        <w:rPr>
          <w:rFonts w:asciiTheme="minorBidi" w:hAnsiTheme="minorBidi"/>
          <w:b/>
          <w:sz w:val="22"/>
        </w:rPr>
        <w:t>Rapport du Secrétariat sur ses activités</w:t>
      </w:r>
    </w:p>
    <w:p w14:paraId="59920478" w14:textId="670B10E4" w:rsidR="004A2875" w:rsidRPr="00066CC7" w:rsidRDefault="008E6803" w:rsidP="004A2875">
      <w:pPr>
        <w:pStyle w:val="Sansinterligne2"/>
        <w:spacing w:after="960"/>
        <w:jc w:val="center"/>
        <w:rPr>
          <w:rFonts w:asciiTheme="minorBidi" w:hAnsiTheme="minorBidi" w:cstheme="minorBidi"/>
          <w:b/>
          <w:sz w:val="22"/>
          <w:szCs w:val="22"/>
        </w:rPr>
      </w:pPr>
      <w:r w:rsidRPr="00066CC7">
        <w:rPr>
          <w:rFonts w:asciiTheme="minorBidi" w:hAnsiTheme="minorBidi"/>
          <w:b/>
          <w:sz w:val="22"/>
        </w:rPr>
        <w:t>(</w:t>
      </w:r>
      <w:r w:rsidR="00CB72CE" w:rsidRPr="00066CC7">
        <w:rPr>
          <w:rFonts w:asciiTheme="minorBidi" w:hAnsiTheme="minorBidi"/>
          <w:b/>
          <w:sz w:val="22"/>
        </w:rPr>
        <w:t>de j</w:t>
      </w:r>
      <w:r w:rsidRPr="00066CC7">
        <w:rPr>
          <w:rFonts w:asciiTheme="minorBidi" w:hAnsiTheme="minorBidi"/>
          <w:b/>
          <w:sz w:val="22"/>
        </w:rPr>
        <w:t>anvier 2020 à juin 2021)</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066CC7" w14:paraId="75AC6221" w14:textId="77777777" w:rsidTr="00EC6F8D">
        <w:trPr>
          <w:jc w:val="center"/>
        </w:trPr>
        <w:tc>
          <w:tcPr>
            <w:tcW w:w="5670" w:type="dxa"/>
            <w:vAlign w:val="center"/>
          </w:tcPr>
          <w:p w14:paraId="51C260A9" w14:textId="11F41187" w:rsidR="00EC6F8D" w:rsidRPr="00066CC7" w:rsidRDefault="00EC6F8D" w:rsidP="00CA56BB">
            <w:pPr>
              <w:pStyle w:val="Sansinterligne1"/>
              <w:spacing w:before="200" w:after="200"/>
              <w:jc w:val="center"/>
              <w:rPr>
                <w:rFonts w:asciiTheme="minorBidi" w:hAnsiTheme="minorBidi" w:cstheme="minorBidi"/>
                <w:b/>
                <w:sz w:val="22"/>
                <w:szCs w:val="22"/>
              </w:rPr>
            </w:pPr>
            <w:r w:rsidRPr="00066CC7">
              <w:rPr>
                <w:rFonts w:asciiTheme="minorBidi" w:hAnsiTheme="minorBidi"/>
                <w:b/>
                <w:sz w:val="22"/>
              </w:rPr>
              <w:t>Résumé</w:t>
            </w:r>
          </w:p>
          <w:p w14:paraId="5B512675" w14:textId="721B7FD4" w:rsidR="00171AF0" w:rsidRPr="00066CC7" w:rsidRDefault="00171AF0" w:rsidP="00171AF0">
            <w:pPr>
              <w:pStyle w:val="Sansinterligne1"/>
              <w:spacing w:before="200" w:after="200"/>
              <w:jc w:val="both"/>
              <w:rPr>
                <w:rFonts w:asciiTheme="minorBidi" w:hAnsiTheme="minorBidi" w:cstheme="minorBidi"/>
                <w:bCs/>
                <w:sz w:val="22"/>
                <w:szCs w:val="22"/>
              </w:rPr>
            </w:pPr>
            <w:r w:rsidRPr="00066CC7">
              <w:rPr>
                <w:rFonts w:asciiTheme="minorBidi" w:hAnsiTheme="minorBidi"/>
                <w:sz w:val="22"/>
              </w:rPr>
              <w:t>Le présent document offre un aperçu des activités entreprises par le Secrétariat de la Convention de 2003 du 1</w:t>
            </w:r>
            <w:r w:rsidR="00F00697" w:rsidRPr="00066CC7">
              <w:rPr>
                <w:rFonts w:asciiTheme="minorBidi" w:hAnsiTheme="minorBidi"/>
                <w:sz w:val="22"/>
              </w:rPr>
              <w:t>er</w:t>
            </w:r>
            <w:r w:rsidRPr="00066CC7">
              <w:rPr>
                <w:rFonts w:asciiTheme="minorBidi" w:hAnsiTheme="minorBidi"/>
                <w:sz w:val="22"/>
              </w:rPr>
              <w:t> janvier 2020 au 30 juin 2021, et notamment la réponse apportée à la pandémie de COVID-19.</w:t>
            </w:r>
          </w:p>
          <w:p w14:paraId="290310E8" w14:textId="4B9E0CA2" w:rsidR="00EC6F8D" w:rsidRPr="00066CC7" w:rsidRDefault="00EC6F8D" w:rsidP="00CA56BB">
            <w:pPr>
              <w:pStyle w:val="Sansinterligne2"/>
              <w:spacing w:before="200" w:after="200"/>
              <w:jc w:val="both"/>
              <w:rPr>
                <w:rFonts w:asciiTheme="minorBidi" w:hAnsiTheme="minorBidi" w:cstheme="minorBidi"/>
                <w:b/>
                <w:sz w:val="22"/>
                <w:szCs w:val="22"/>
              </w:rPr>
            </w:pPr>
            <w:r w:rsidRPr="00066CC7">
              <w:rPr>
                <w:rFonts w:asciiTheme="minorBidi" w:hAnsiTheme="minorBidi"/>
                <w:b/>
                <w:bCs/>
                <w:sz w:val="22"/>
              </w:rPr>
              <w:t>Décision requise</w:t>
            </w:r>
            <w:r w:rsidRPr="00066CC7">
              <w:rPr>
                <w:rFonts w:asciiTheme="minorBidi" w:hAnsiTheme="minorBidi"/>
                <w:sz w:val="22"/>
              </w:rPr>
              <w:t> :</w:t>
            </w:r>
            <w:r w:rsidRPr="00066CC7">
              <w:rPr>
                <w:rFonts w:asciiTheme="minorBidi" w:hAnsiTheme="minorBidi"/>
                <w:b/>
                <w:bCs/>
                <w:sz w:val="22"/>
              </w:rPr>
              <w:t xml:space="preserve"> </w:t>
            </w:r>
            <w:r w:rsidRPr="00066CC7">
              <w:rPr>
                <w:rFonts w:asciiTheme="minorBidi" w:hAnsiTheme="minorBidi"/>
                <w:sz w:val="22"/>
              </w:rPr>
              <w:t>paragraphe 4</w:t>
            </w:r>
            <w:r w:rsidR="007C7081" w:rsidRPr="00066CC7">
              <w:rPr>
                <w:rFonts w:asciiTheme="minorBidi" w:hAnsiTheme="minorBidi"/>
                <w:sz w:val="22"/>
              </w:rPr>
              <w:t>2</w:t>
            </w:r>
          </w:p>
        </w:tc>
      </w:tr>
    </w:tbl>
    <w:p w14:paraId="713D819F" w14:textId="77777777" w:rsidR="004A2875" w:rsidRPr="00066CC7" w:rsidRDefault="00655736" w:rsidP="00FA0871">
      <w:pPr>
        <w:pStyle w:val="ListParagraph"/>
        <w:keepLines/>
        <w:numPr>
          <w:ilvl w:val="0"/>
          <w:numId w:val="5"/>
        </w:numPr>
        <w:spacing w:after="240"/>
        <w:ind w:left="567" w:hanging="567"/>
        <w:contextualSpacing w:val="0"/>
        <w:rPr>
          <w:rFonts w:asciiTheme="minorBidi" w:hAnsiTheme="minorBidi" w:cstheme="minorBidi"/>
          <w:b/>
          <w:snapToGrid w:val="0"/>
          <w:sz w:val="22"/>
          <w:szCs w:val="22"/>
        </w:rPr>
      </w:pPr>
      <w:r w:rsidRPr="00066CC7">
        <w:br w:type="page"/>
      </w:r>
    </w:p>
    <w:p w14:paraId="347605C4" w14:textId="569B871E" w:rsidR="00310CA5" w:rsidRPr="00066CC7" w:rsidRDefault="00310CA5" w:rsidP="00F45BC2">
      <w:pPr>
        <w:pStyle w:val="COMPara"/>
        <w:numPr>
          <w:ilvl w:val="0"/>
          <w:numId w:val="6"/>
        </w:numPr>
        <w:spacing w:before="240"/>
        <w:ind w:left="576" w:hanging="432"/>
        <w:jc w:val="both"/>
        <w:rPr>
          <w:rFonts w:asciiTheme="minorBidi" w:hAnsiTheme="minorBidi" w:cstheme="minorBidi"/>
          <w:b/>
          <w:bCs/>
        </w:rPr>
      </w:pPr>
      <w:r w:rsidRPr="00066CC7">
        <w:rPr>
          <w:rFonts w:asciiTheme="minorBidi" w:hAnsiTheme="minorBidi"/>
          <w:b/>
        </w:rPr>
        <w:lastRenderedPageBreak/>
        <w:t>Introduction</w:t>
      </w:r>
    </w:p>
    <w:p w14:paraId="2443C576" w14:textId="54D02D3A" w:rsidR="00C93594" w:rsidRPr="00066CC7" w:rsidRDefault="00F67986" w:rsidP="00CD4AD5">
      <w:pPr>
        <w:pStyle w:val="COMPara"/>
        <w:ind w:left="567" w:hanging="567"/>
        <w:jc w:val="both"/>
        <w:rPr>
          <w:rFonts w:asciiTheme="minorBidi" w:hAnsiTheme="minorBidi" w:cstheme="minorBidi"/>
        </w:rPr>
      </w:pPr>
      <w:r w:rsidRPr="00066CC7">
        <w:rPr>
          <w:rFonts w:asciiTheme="minorBidi" w:hAnsiTheme="minorBidi"/>
        </w:rPr>
        <w:t>Le présent rapport</w:t>
      </w:r>
      <w:r w:rsidR="000A1D29" w:rsidRPr="00066CC7">
        <w:rPr>
          <w:rStyle w:val="FootnoteReference"/>
          <w:rFonts w:asciiTheme="minorBidi" w:hAnsiTheme="minorBidi" w:cstheme="minorBidi"/>
        </w:rPr>
        <w:footnoteReference w:id="1"/>
      </w:r>
      <w:r w:rsidRPr="00066CC7">
        <w:rPr>
          <w:rFonts w:asciiTheme="minorBidi" w:hAnsiTheme="minorBidi"/>
        </w:rPr>
        <w:t xml:space="preserve"> est axé sur le travail accompli par le Secrétariat de la Convention de 2003 entre janvier 2020 et juin 2021 et fait suite au rapport présenté par le Secrétariat à la huitième session de l’Assemblée générale en septembre 2020, qui couvrait la période allant de janvier 2018 à décembre 2019. La période considérée correspond à celle du </w:t>
      </w:r>
      <w:hyperlink r:id="rId8" w:history="1">
        <w:r w:rsidRPr="00066CC7">
          <w:rPr>
            <w:rStyle w:val="Hyperlink"/>
            <w:rFonts w:asciiTheme="minorBidi" w:hAnsiTheme="minorBidi"/>
          </w:rPr>
          <w:t>40 C/5 approuvé : Programme et Budget 2020-2021</w:t>
        </w:r>
      </w:hyperlink>
      <w:r w:rsidRPr="00066CC7">
        <w:t>,</w:t>
      </w:r>
      <w:r w:rsidRPr="00066CC7">
        <w:rPr>
          <w:rFonts w:asciiTheme="minorBidi" w:hAnsiTheme="minorBidi"/>
        </w:rPr>
        <w:t xml:space="preserve"> et est alignée sur les autres principaux processus statutaires d’établissement de rapports de l’UNESCO – à savoir les rapports de la Directrice générale destinés au Conseil exécutif sur l’exécution du programme adopté par la Conférence générale (EX/4) –, comme cela a été approuvé par le Conseil exécutif de l’UNESCO à sa 212</w:t>
      </w:r>
      <w:r w:rsidRPr="00066CC7">
        <w:rPr>
          <w:rFonts w:asciiTheme="minorBidi" w:hAnsiTheme="minorBidi"/>
          <w:vertAlign w:val="superscript"/>
        </w:rPr>
        <w:t>e</w:t>
      </w:r>
      <w:r w:rsidRPr="00066CC7">
        <w:rPr>
          <w:rFonts w:asciiTheme="minorBidi" w:hAnsiTheme="minorBidi"/>
        </w:rPr>
        <w:t> session (</w:t>
      </w:r>
      <w:hyperlink r:id="rId9" w:history="1">
        <w:r w:rsidRPr="00066CC7">
          <w:rPr>
            <w:rStyle w:val="Hyperlink"/>
            <w:rFonts w:asciiTheme="minorBidi" w:hAnsiTheme="minorBidi"/>
          </w:rPr>
          <w:t>212 EX/SR.4</w:t>
        </w:r>
      </w:hyperlink>
      <w:r w:rsidRPr="00066CC7">
        <w:rPr>
          <w:rFonts w:asciiTheme="minorBidi" w:hAnsiTheme="minorBidi"/>
        </w:rPr>
        <w:t>). Le rapport vise à donner un aperçu stratégique des activités du Secrétariat, de ses principales réalisations et des difficultés auxquelles il a été confronté. L’annexe</w:t>
      </w:r>
      <w:r w:rsidR="007C7081" w:rsidRPr="00066CC7">
        <w:rPr>
          <w:rFonts w:asciiTheme="minorBidi" w:hAnsiTheme="minorBidi"/>
        </w:rPr>
        <w:t xml:space="preserve"> I</w:t>
      </w:r>
      <w:r w:rsidRPr="00066CC7">
        <w:rPr>
          <w:rFonts w:asciiTheme="minorBidi" w:hAnsiTheme="minorBidi"/>
        </w:rPr>
        <w:t xml:space="preserve"> présente en outre le travail du Secrétariat par rapport au cadre de résultats 40 C/5 et, en particulier, les indicateurs de performance du Résultat escompté 6 dans le cadre du Grand programme IV.</w:t>
      </w:r>
    </w:p>
    <w:p w14:paraId="47723C07" w14:textId="01E2FF89" w:rsidR="00180563" w:rsidRPr="00066CC7" w:rsidRDefault="00CD4AD5" w:rsidP="009D02BE">
      <w:pPr>
        <w:pStyle w:val="COMPara"/>
        <w:ind w:left="567" w:hanging="567"/>
        <w:jc w:val="both"/>
        <w:rPr>
          <w:rFonts w:asciiTheme="minorBidi" w:hAnsiTheme="minorBidi" w:cstheme="minorBidi"/>
        </w:rPr>
      </w:pPr>
      <w:r w:rsidRPr="00066CC7">
        <w:rPr>
          <w:rFonts w:asciiTheme="minorBidi" w:hAnsiTheme="minorBidi"/>
        </w:rPr>
        <w:t>L’Entité du patrimoine vivant</w:t>
      </w:r>
      <w:r w:rsidR="00B674F8" w:rsidRPr="00066CC7">
        <w:rPr>
          <w:rStyle w:val="FootnoteReference"/>
          <w:rFonts w:asciiTheme="minorBidi" w:hAnsiTheme="minorBidi" w:cstheme="minorBidi"/>
        </w:rPr>
        <w:footnoteReference w:id="2"/>
      </w:r>
      <w:r w:rsidRPr="00066CC7">
        <w:rPr>
          <w:rFonts w:asciiTheme="minorBidi" w:hAnsiTheme="minorBidi"/>
        </w:rPr>
        <w:t xml:space="preserve"> assume la fonction de Secrétariat de la Convention. Elle est structurée autour de deux unités et deux équipes : l’Unité de gestion du programme (incluant l’Équipe de soutien statutaire) et l’Unité de renforcement des capacités et de la politique du patrimoine, ainsi que l’Équipe chargée de la sauvegarde, de la mise en œuvre et du suivi et l’Équipe de gestion des connaissances et de sensibilisation.</w:t>
      </w:r>
    </w:p>
    <w:p w14:paraId="4875C2EC" w14:textId="34FAC70F" w:rsidR="00EE4588" w:rsidRPr="00066CC7" w:rsidRDefault="0056127D" w:rsidP="009D02BE">
      <w:pPr>
        <w:pStyle w:val="COMPara"/>
        <w:ind w:left="567" w:hanging="567"/>
        <w:jc w:val="both"/>
        <w:rPr>
          <w:rFonts w:asciiTheme="minorBidi" w:hAnsiTheme="minorBidi" w:cstheme="minorBidi"/>
        </w:rPr>
      </w:pPr>
      <w:r w:rsidRPr="00066CC7">
        <w:rPr>
          <w:rFonts w:asciiTheme="minorBidi" w:hAnsiTheme="minorBidi"/>
        </w:rPr>
        <w:t>Alors que la période considérée était marquée par l’apparition et la propagation de la pandémie de COVID-19, le Secrétariat s’est efforcé d’apporter une réponse adéquate aux nouveaux défis posés par cet événement (voir la section II). Dans ce contexte, les principales activités du Secrétariat se sont articulés autour de quatre grands axes : la gouvernance de la Convention de 2003 (section III), la mise en œuvre des priorités opérationnelles en matière de renforcement des capacités ainsi que le patrimoine culturel immatériel et l’éducation (section IV), et la communication et la sensibilisation (section V). En outre, le Secrétariat s’est efforcé de lancer et de renforcer des initiatives thématiques établissant un lien entre le patrimoine et le développement durable (section VI) et de renforcer les synergies avec d’autres instruments normatifs de l’UNESCO dans le domaine de la culture (section VII).</w:t>
      </w:r>
    </w:p>
    <w:p w14:paraId="0A892B27" w14:textId="53725DF4" w:rsidR="002F69C3" w:rsidRPr="00066CC7" w:rsidRDefault="002F69C3" w:rsidP="00FA0871">
      <w:pPr>
        <w:pStyle w:val="COMPara"/>
        <w:numPr>
          <w:ilvl w:val="0"/>
          <w:numId w:val="6"/>
        </w:numPr>
        <w:spacing w:before="240"/>
        <w:ind w:left="567" w:hanging="425"/>
        <w:jc w:val="both"/>
        <w:rPr>
          <w:rFonts w:asciiTheme="minorBidi" w:hAnsiTheme="minorBidi" w:cstheme="minorBidi"/>
          <w:b/>
          <w:bCs/>
        </w:rPr>
      </w:pPr>
      <w:r w:rsidRPr="00066CC7">
        <w:rPr>
          <w:rFonts w:asciiTheme="minorBidi" w:hAnsiTheme="minorBidi"/>
          <w:b/>
        </w:rPr>
        <w:t>Impact de la pandémie de COVID-19 et réponse apportée</w:t>
      </w:r>
    </w:p>
    <w:p w14:paraId="036C1640" w14:textId="05591E77" w:rsidR="009B4DB0" w:rsidRPr="00066CC7" w:rsidRDefault="009B4DB0" w:rsidP="00F829DB">
      <w:pPr>
        <w:pStyle w:val="COMPara"/>
        <w:ind w:left="567" w:hanging="567"/>
        <w:jc w:val="both"/>
        <w:rPr>
          <w:rFonts w:asciiTheme="minorBidi" w:hAnsiTheme="minorBidi" w:cstheme="minorBidi"/>
          <w:bCs/>
        </w:rPr>
      </w:pPr>
      <w:r w:rsidRPr="00066CC7">
        <w:rPr>
          <w:rFonts w:asciiTheme="minorBidi" w:hAnsiTheme="minorBidi"/>
          <w:b/>
          <w:bCs/>
        </w:rPr>
        <w:t>Impact sur la charge de travail du Secrétariat</w:t>
      </w:r>
      <w:r w:rsidR="00F00697" w:rsidRPr="00066CC7">
        <w:rPr>
          <w:rFonts w:asciiTheme="minorBidi" w:hAnsiTheme="minorBidi"/>
        </w:rPr>
        <w:t>. L</w:t>
      </w:r>
      <w:r w:rsidRPr="00066CC7">
        <w:rPr>
          <w:rFonts w:asciiTheme="minorBidi" w:hAnsiTheme="minorBidi"/>
        </w:rPr>
        <w:t xml:space="preserve">a pandémie a eu et a toujours une forte incidence sur les activités menées par le Secrétariat pour la mise en œuvre de la Convention. Un rapport intermédiaire sur les mesures prises par le Secrétariat a été présenté à l’Assemblée générale en 2020 (voir le document </w:t>
      </w:r>
      <w:hyperlink r:id="rId10" w:history="1">
        <w:r w:rsidRPr="00066CC7">
          <w:rPr>
            <w:rStyle w:val="Hyperlink"/>
            <w:rFonts w:asciiTheme="minorBidi" w:hAnsiTheme="minorBidi"/>
          </w:rPr>
          <w:t>LHE/20/8.GA/6+Add.</w:t>
        </w:r>
      </w:hyperlink>
      <w:r w:rsidRPr="00066CC7">
        <w:rPr>
          <w:rFonts w:asciiTheme="minorBidi" w:hAnsiTheme="minorBidi"/>
        </w:rPr>
        <w:t xml:space="preserve">). Ces mesures impliquaient d’accroître le soutien technologique, de concevoir de nouveaux contenus, outils et interfaces adaptés aux réunions en ligne et de modifier les modalités de réunion (en présentiel, en ligne, hybride) dans un délai très court. En outre, les coûts de la plupart des événements de renforcement des capacités devaient être partagés avec les pays hôtes, qui ont tout naturellement annulé leur participation prévue lorsque les événements n’étaient plus organisés dans leur pays. Cela signifie que, dans l’ensemble, les adaptations dues à la crise et la reprogrammation des événements ne se sont pas traduites par d’importantes économies et ont même considérablement accru la charge de travail du Secrétariat. Néanmoins, le Secrétariat a démontré par ses actions qu’il est possible d’adapter les modalités et les méthodes de travail lorsqu’elles sont soigneusement planifiées, et que les nouvelles manières </w:t>
      </w:r>
      <w:r w:rsidRPr="00066CC7">
        <w:rPr>
          <w:rFonts w:asciiTheme="minorBidi" w:hAnsiTheme="minorBidi"/>
        </w:rPr>
        <w:lastRenderedPageBreak/>
        <w:t>de travailler peuvent faire apparaître de nouvelles approches intéressantes pour la réalisation des activités dans le cadre de la Convention. L’impact de la pandémie sur des réunions, des activités et des mécanismes particuliers, ainsi que les mesures correctives prises, est détaillé dans les sections appropriées de ce rapport.</w:t>
      </w:r>
    </w:p>
    <w:p w14:paraId="5BDA0F63" w14:textId="2329AFDE" w:rsidR="006C77FA" w:rsidRPr="00066CC7" w:rsidRDefault="00AB6288" w:rsidP="00AB6288">
      <w:pPr>
        <w:pStyle w:val="COMPara"/>
        <w:ind w:left="567" w:hanging="567"/>
        <w:jc w:val="both"/>
        <w:rPr>
          <w:rFonts w:asciiTheme="minorBidi" w:hAnsiTheme="minorBidi" w:cstheme="minorBidi"/>
        </w:rPr>
      </w:pPr>
      <w:r w:rsidRPr="00066CC7">
        <w:rPr>
          <w:rFonts w:asciiTheme="minorBidi" w:hAnsiTheme="minorBidi"/>
          <w:b/>
          <w:bCs/>
        </w:rPr>
        <w:t>Réponse à la pandémie</w:t>
      </w:r>
      <w:r w:rsidR="00F00697" w:rsidRPr="00066CC7">
        <w:rPr>
          <w:rFonts w:asciiTheme="minorBidi" w:hAnsiTheme="minorBidi"/>
        </w:rPr>
        <w:t>. L</w:t>
      </w:r>
      <w:r w:rsidRPr="00066CC7">
        <w:rPr>
          <w:rFonts w:asciiTheme="minorBidi" w:hAnsiTheme="minorBidi"/>
        </w:rPr>
        <w:t>’UNESCO dans son ensemble a mobilisé la communauté internationale pour promouvoir la solidarité internationale par l’éducation, la science, la culture ainsi que la communication et l’information en réponse à la crise mondiale de la COVID-19. L’Entité du patrimoine vivant a activement participé au groupe de travail qui a été formé au sein du Secteur de la culture et a contribué au lancement d’une campagne de communication immédiate ainsi qu’à l’initiative sur le libre accès, avec la diffusion publique de tous ses outils de renforcement des capacités sur la sauvegarde du patrimoine culturel immatériel.</w:t>
      </w:r>
    </w:p>
    <w:p w14:paraId="7BDE01AB" w14:textId="0D6DCE9E" w:rsidR="001E222D" w:rsidRPr="00066CC7" w:rsidRDefault="00DF3813" w:rsidP="001E222D">
      <w:pPr>
        <w:pStyle w:val="COMPara"/>
        <w:ind w:left="567" w:hanging="567"/>
        <w:jc w:val="both"/>
        <w:rPr>
          <w:rFonts w:asciiTheme="minorBidi" w:hAnsiTheme="minorBidi" w:cstheme="minorBidi"/>
        </w:rPr>
      </w:pPr>
      <w:r w:rsidRPr="00066CC7">
        <w:rPr>
          <w:rFonts w:asciiTheme="minorBidi" w:hAnsiTheme="minorBidi"/>
        </w:rPr>
        <w:t xml:space="preserve">En avril 2020, le Secrétariat a lancé une enquête en ligne intitulée « Expériences vécues liées au patrimoine vivant pendant la pandémie de COVID-19 », qui cible les praticiens et les communautés, conformément à l’accent mis par la Convention sur la participation communautaire. L’objectif était de se pencher sur l’impact de la crise sur le patrimoine vivant et sur son rôle de soutien des communautés pendant la pandémie par l’intermédiaire d’une plateforme permettant aux personnes d’évoquer leur expérience et de mettre ainsi les opinions des communautés au premier plan. Un grand nombre d’acteurs culturels ont répondu à cette enquête, ce qui a permis de recueillir plus de 230 témoignages provenant de soixante-dix-huit pays, tous accessibles à partir d’une </w:t>
      </w:r>
      <w:hyperlink r:id="rId11" w:history="1">
        <w:r w:rsidRPr="00066CC7">
          <w:rPr>
            <w:rStyle w:val="Hyperlink"/>
            <w:rFonts w:asciiTheme="minorBidi" w:hAnsiTheme="minorBidi"/>
          </w:rPr>
          <w:t>interface</w:t>
        </w:r>
      </w:hyperlink>
      <w:r w:rsidRPr="00066CC7">
        <w:t xml:space="preserve"> dédiée</w:t>
      </w:r>
      <w:r w:rsidRPr="00066CC7">
        <w:rPr>
          <w:rFonts w:asciiTheme="minorBidi" w:hAnsiTheme="minorBidi"/>
        </w:rPr>
        <w:t xml:space="preserve">. Dans le cadre de la réponse apportée par l’ensemble de l’UNESCO à la COVID-19, les conclusions préliminaires de cette enquête ont été publiées dans la section « Focus sur le patrimoine vivant » du quatrième numéro de </w:t>
      </w:r>
      <w:hyperlink r:id="rId12" w:history="1">
        <w:r w:rsidRPr="00066CC7">
          <w:rPr>
            <w:rStyle w:val="Hyperlink"/>
            <w:rFonts w:asciiTheme="minorBidi" w:hAnsiTheme="minorBidi"/>
          </w:rPr>
          <w:t>Culture &amp; COVID :</w:t>
        </w:r>
      </w:hyperlink>
      <w:hyperlink r:id="rId13" w:history="1">
        <w:r w:rsidRPr="00066CC7">
          <w:rPr>
            <w:rStyle w:val="Hyperlink"/>
            <w:rFonts w:asciiTheme="minorBidi" w:hAnsiTheme="minorBidi"/>
          </w:rPr>
          <w:t>Impact et réponse</w:t>
        </w:r>
      </w:hyperlink>
      <w:r w:rsidRPr="00066CC7">
        <w:rPr>
          <w:rFonts w:asciiTheme="minorBidi" w:hAnsiTheme="minorBidi"/>
        </w:rPr>
        <w:t xml:space="preserve"> (</w:t>
      </w:r>
      <w:r w:rsidR="007C7081" w:rsidRPr="00066CC7">
        <w:rPr>
          <w:rFonts w:asciiTheme="minorBidi" w:hAnsiTheme="minorBidi"/>
        </w:rPr>
        <w:t xml:space="preserve">Numéro 4, </w:t>
      </w:r>
      <w:r w:rsidRPr="00066CC7">
        <w:rPr>
          <w:rFonts w:asciiTheme="minorBidi" w:hAnsiTheme="minorBidi"/>
        </w:rPr>
        <w:t xml:space="preserve">6 mai 2020) et dans un article de </w:t>
      </w:r>
      <w:hyperlink r:id="rId14" w:history="1">
        <w:r w:rsidRPr="00066CC7">
          <w:rPr>
            <w:rStyle w:val="Hyperlink"/>
            <w:rFonts w:asciiTheme="minorBidi" w:hAnsiTheme="minorBidi"/>
            <w:i/>
          </w:rPr>
          <w:t>Patrimoine Mondial</w:t>
        </w:r>
      </w:hyperlink>
      <w:r w:rsidRPr="00066CC7">
        <w:rPr>
          <w:rFonts w:asciiTheme="minorBidi" w:hAnsiTheme="minorBidi"/>
        </w:rPr>
        <w:t xml:space="preserve"> (n°95) ; un dialogue ResiliArt sur la pandémie a par ailleurs été organisé en ligne lors de la huitième session de l’Assemblée générale en septembre 2020.</w:t>
      </w:r>
    </w:p>
    <w:p w14:paraId="2B52ED40" w14:textId="59D4D8EF" w:rsidR="001C5067" w:rsidRPr="00066CC7" w:rsidRDefault="001C5067" w:rsidP="00D17791">
      <w:pPr>
        <w:pStyle w:val="COMPara"/>
        <w:ind w:left="567" w:hanging="567"/>
        <w:jc w:val="both"/>
        <w:rPr>
          <w:rFonts w:asciiTheme="minorBidi" w:hAnsiTheme="minorBidi" w:cstheme="minorBidi"/>
        </w:rPr>
      </w:pPr>
      <w:r w:rsidRPr="00066CC7">
        <w:rPr>
          <w:rFonts w:asciiTheme="minorBidi" w:hAnsiTheme="minorBidi"/>
        </w:rPr>
        <w:t xml:space="preserve">Publié en mai 2021, le rapport de l’UNESCO intitulé </w:t>
      </w:r>
      <w:r w:rsidRPr="00066CC7">
        <w:t>« </w:t>
      </w:r>
      <w:hyperlink r:id="rId15" w:history="1">
        <w:r w:rsidRPr="00066CC7">
          <w:rPr>
            <w:rStyle w:val="Hyperlink"/>
            <w:rFonts w:asciiTheme="minorBidi" w:hAnsiTheme="minorBidi"/>
          </w:rPr>
          <w:t>Le patrimoine vivant face à la COVID-19</w:t>
        </w:r>
      </w:hyperlink>
      <w:r w:rsidRPr="00066CC7">
        <w:t> »</w:t>
      </w:r>
      <w:r w:rsidRPr="00066CC7">
        <w:rPr>
          <w:rFonts w:asciiTheme="minorBidi" w:hAnsiTheme="minorBidi"/>
        </w:rPr>
        <w:t xml:space="preserve"> présente en détail les résultats de cette enquête. Il montre que la pandémie a eu des effets considérables sur le patrimoine vivant des communautés du monde entier. Dans de nombreux cas, les communautés ont adapté leur pratique du patrimoine vivant à des contextes spécifiques, mettant en évidence la résilience de nombreuses formes de patrimoine vivant dans des situations complexes. La pratique du patrimoine vivant est aussi devenue un important moyen de résilience permettant de surmonter les défis sociaux et psychologiques dans le contexte de la pandémie et de maintenir les relations sociales. Ce rapport recommande aux gouvernements, à la société civile, au secteur privé et aux détenteurs trois grands domaines d’action pour reconstruire en mieux pendant la phase de relèvement et au-delà : (a) renforcer les mécanismes de soutien direct aux détenteurs du patrimoine vivant ; (b) tirer parti des possibilités offertes par les technologies numériques pour soutenir la résilience et la sauvegarde ; (c) intégrer la sauvegarde du patrimoine vivant dans les plans de préparation, d’intervention et de relèvement dans les situations d’urgence</w:t>
      </w:r>
      <w:r w:rsidR="00343CD3" w:rsidRPr="00066CC7">
        <w:rPr>
          <w:rFonts w:asciiTheme="minorBidi" w:hAnsiTheme="minorBidi"/>
        </w:rPr>
        <w:t xml:space="preserve"> (voir Annexe II)</w:t>
      </w:r>
      <w:r w:rsidRPr="00066CC7">
        <w:rPr>
          <w:rFonts w:asciiTheme="minorBidi" w:hAnsiTheme="minorBidi"/>
        </w:rPr>
        <w:t>.</w:t>
      </w:r>
    </w:p>
    <w:p w14:paraId="628A028C" w14:textId="541B2AA8" w:rsidR="009802E2" w:rsidRPr="00066CC7" w:rsidRDefault="006C77FA" w:rsidP="009802E2">
      <w:pPr>
        <w:pStyle w:val="COMPara"/>
        <w:ind w:left="567" w:hanging="567"/>
        <w:jc w:val="both"/>
        <w:rPr>
          <w:rFonts w:asciiTheme="minorBidi" w:hAnsiTheme="minorBidi" w:cstheme="minorBidi"/>
          <w:bCs/>
        </w:rPr>
      </w:pPr>
      <w:r w:rsidRPr="00066CC7">
        <w:rPr>
          <w:rFonts w:asciiTheme="minorBidi" w:hAnsiTheme="minorBidi"/>
        </w:rPr>
        <w:t xml:space="preserve">Après consultation des Bureaux hors siège et des autorités nationales, l’UNESCO a décidé d’allouer 80 000 dollars des États-Unis provenant du programme ordinaire de l’UNESCO pour faire suite à ces recommandations par l’intermédiaire de </w:t>
      </w:r>
      <w:hyperlink r:id="rId16" w:history="1">
        <w:r w:rsidRPr="00066CC7">
          <w:rPr>
            <w:rStyle w:val="Hyperlink"/>
            <w:rFonts w:asciiTheme="minorBidi" w:hAnsiTheme="minorBidi"/>
          </w:rPr>
          <w:t>huit activités</w:t>
        </w:r>
      </w:hyperlink>
      <w:r w:rsidRPr="00066CC7">
        <w:rPr>
          <w:rFonts w:asciiTheme="minorBidi" w:hAnsiTheme="minorBidi"/>
        </w:rPr>
        <w:t xml:space="preserve"> menées </w:t>
      </w:r>
      <w:r w:rsidR="00D33948">
        <w:rPr>
          <w:rFonts w:asciiTheme="minorBidi" w:hAnsiTheme="minorBidi"/>
        </w:rPr>
        <w:t xml:space="preserve">à la </w:t>
      </w:r>
      <w:r w:rsidR="00343CD3" w:rsidRPr="00066CC7">
        <w:rPr>
          <w:rFonts w:asciiTheme="minorBidi" w:hAnsiTheme="minorBidi"/>
        </w:rPr>
        <w:t xml:space="preserve">Barbade, </w:t>
      </w:r>
      <w:r w:rsidR="00D33948">
        <w:rPr>
          <w:rFonts w:asciiTheme="minorBidi" w:hAnsiTheme="minorBidi"/>
        </w:rPr>
        <w:t>dans l’</w:t>
      </w:r>
      <w:r w:rsidR="00C61E7C" w:rsidRPr="00066CC7">
        <w:rPr>
          <w:rFonts w:asciiTheme="minorBidi" w:hAnsiTheme="minorBidi"/>
        </w:rPr>
        <w:t xml:space="preserve">État plurinational de </w:t>
      </w:r>
      <w:r w:rsidR="00343CD3" w:rsidRPr="00066CC7">
        <w:rPr>
          <w:rFonts w:asciiTheme="minorBidi" w:hAnsiTheme="minorBidi"/>
        </w:rPr>
        <w:t xml:space="preserve">Bolivie, </w:t>
      </w:r>
      <w:r w:rsidR="00D33948">
        <w:rPr>
          <w:rFonts w:asciiTheme="minorBidi" w:hAnsiTheme="minorBidi"/>
        </w:rPr>
        <w:t xml:space="preserve">en </w:t>
      </w:r>
      <w:r w:rsidR="00343CD3" w:rsidRPr="00066CC7">
        <w:rPr>
          <w:rFonts w:asciiTheme="minorBidi" w:hAnsiTheme="minorBidi"/>
        </w:rPr>
        <w:t xml:space="preserve">Bosnie-Herzégovine, </w:t>
      </w:r>
      <w:r w:rsidR="00D33948">
        <w:rPr>
          <w:rFonts w:asciiTheme="minorBidi" w:hAnsiTheme="minorBidi"/>
        </w:rPr>
        <w:t xml:space="preserve">en </w:t>
      </w:r>
      <w:r w:rsidR="00343CD3" w:rsidRPr="00066CC7">
        <w:rPr>
          <w:rFonts w:asciiTheme="minorBidi" w:hAnsiTheme="minorBidi"/>
        </w:rPr>
        <w:t xml:space="preserve">Colombie, </w:t>
      </w:r>
      <w:r w:rsidR="00D33948">
        <w:rPr>
          <w:rFonts w:asciiTheme="minorBidi" w:hAnsiTheme="minorBidi"/>
        </w:rPr>
        <w:t xml:space="preserve">en </w:t>
      </w:r>
      <w:r w:rsidR="00343CD3" w:rsidRPr="00066CC7">
        <w:rPr>
          <w:rFonts w:asciiTheme="minorBidi" w:hAnsiTheme="minorBidi"/>
        </w:rPr>
        <w:t xml:space="preserve">Équateur, </w:t>
      </w:r>
      <w:r w:rsidR="00D33948">
        <w:rPr>
          <w:rFonts w:asciiTheme="minorBidi" w:hAnsiTheme="minorBidi"/>
        </w:rPr>
        <w:t xml:space="preserve">en </w:t>
      </w:r>
      <w:r w:rsidR="00343CD3" w:rsidRPr="00066CC7">
        <w:rPr>
          <w:rFonts w:asciiTheme="minorBidi" w:hAnsiTheme="minorBidi"/>
        </w:rPr>
        <w:t xml:space="preserve">Gambie, </w:t>
      </w:r>
      <w:r w:rsidR="00D33948">
        <w:rPr>
          <w:rFonts w:asciiTheme="minorBidi" w:hAnsiTheme="minorBidi"/>
        </w:rPr>
        <w:t xml:space="preserve">en </w:t>
      </w:r>
      <w:r w:rsidR="00343CD3" w:rsidRPr="00066CC7">
        <w:rPr>
          <w:rFonts w:asciiTheme="minorBidi" w:hAnsiTheme="minorBidi"/>
        </w:rPr>
        <w:t xml:space="preserve">Indonésie, </w:t>
      </w:r>
      <w:r w:rsidR="00D33948">
        <w:rPr>
          <w:rFonts w:asciiTheme="minorBidi" w:hAnsiTheme="minorBidi"/>
        </w:rPr>
        <w:t xml:space="preserve">en </w:t>
      </w:r>
      <w:r w:rsidR="00343CD3" w:rsidRPr="00066CC7">
        <w:rPr>
          <w:rFonts w:asciiTheme="minorBidi" w:hAnsiTheme="minorBidi"/>
        </w:rPr>
        <w:t xml:space="preserve">Jamaïque, </w:t>
      </w:r>
      <w:r w:rsidR="00D33948">
        <w:rPr>
          <w:rFonts w:asciiTheme="minorBidi" w:hAnsiTheme="minorBidi"/>
        </w:rPr>
        <w:t xml:space="preserve">à </w:t>
      </w:r>
      <w:r w:rsidR="00343CD3" w:rsidRPr="00066CC7">
        <w:rPr>
          <w:rFonts w:asciiTheme="minorBidi" w:hAnsiTheme="minorBidi"/>
        </w:rPr>
        <w:t xml:space="preserve">Saint-Vincent-et-les Grenadines </w:t>
      </w:r>
      <w:r w:rsidR="0078767E">
        <w:rPr>
          <w:rFonts w:asciiTheme="minorBidi" w:hAnsiTheme="minorBidi"/>
        </w:rPr>
        <w:t xml:space="preserve">et </w:t>
      </w:r>
      <w:r w:rsidR="00D33948">
        <w:rPr>
          <w:rFonts w:asciiTheme="minorBidi" w:hAnsiTheme="minorBidi"/>
        </w:rPr>
        <w:t xml:space="preserve">à </w:t>
      </w:r>
      <w:r w:rsidR="00343CD3" w:rsidRPr="00066CC7">
        <w:rPr>
          <w:rFonts w:asciiTheme="minorBidi" w:hAnsiTheme="minorBidi"/>
        </w:rPr>
        <w:t>Saint-Martin</w:t>
      </w:r>
      <w:r w:rsidRPr="00066CC7">
        <w:rPr>
          <w:rFonts w:asciiTheme="minorBidi" w:hAnsiTheme="minorBidi"/>
        </w:rPr>
        <w:t xml:space="preserve">. Lancés en juin 2021, ces projets donnent déjà des résultats concrets avec la production de matériel audiovisuel expliquant les impacts de la crise en Bolivie, en Colombie, en Équateur, </w:t>
      </w:r>
      <w:r w:rsidR="0078767E">
        <w:rPr>
          <w:rFonts w:asciiTheme="minorBidi" w:hAnsiTheme="minorBidi"/>
        </w:rPr>
        <w:t xml:space="preserve">et </w:t>
      </w:r>
      <w:r w:rsidRPr="00066CC7">
        <w:rPr>
          <w:rFonts w:asciiTheme="minorBidi" w:hAnsiTheme="minorBidi"/>
        </w:rPr>
        <w:t>à Saint-Martin, des ateliers et des discussions virtuelles entre les autorités et les communautés à la Barbade et en Bosnie-Herzégovine, et l’établissement d’un inventaire avec les communautés en Gambie afin d’identifier les connaissances et les savoir-faire qui pourraient contribuer à la réduction des risques de catastrophe et au relèvement après une crise.</w:t>
      </w:r>
    </w:p>
    <w:p w14:paraId="13B4E8A4" w14:textId="56B2202C" w:rsidR="00310CA5" w:rsidRPr="00066CC7" w:rsidRDefault="00310CA5" w:rsidP="00921877">
      <w:pPr>
        <w:pStyle w:val="COMPara"/>
        <w:keepNext/>
        <w:numPr>
          <w:ilvl w:val="0"/>
          <w:numId w:val="6"/>
        </w:numPr>
        <w:spacing w:before="240"/>
        <w:ind w:left="567" w:hanging="425"/>
        <w:jc w:val="both"/>
        <w:rPr>
          <w:rFonts w:asciiTheme="minorBidi" w:hAnsiTheme="minorBidi" w:cstheme="minorBidi"/>
          <w:b/>
          <w:bCs/>
        </w:rPr>
      </w:pPr>
      <w:r w:rsidRPr="00066CC7">
        <w:rPr>
          <w:rFonts w:asciiTheme="minorBidi" w:hAnsiTheme="minorBidi"/>
          <w:b/>
        </w:rPr>
        <w:lastRenderedPageBreak/>
        <w:t>Gouvernance de la Convention : soutien statutaire</w:t>
      </w:r>
    </w:p>
    <w:p w14:paraId="299DAF5B" w14:textId="604F4323" w:rsidR="000C4013" w:rsidRPr="00066CC7" w:rsidRDefault="007B1277" w:rsidP="00921877">
      <w:pPr>
        <w:pStyle w:val="COMPara"/>
        <w:keepNext/>
        <w:ind w:left="567" w:hanging="567"/>
        <w:jc w:val="both"/>
        <w:rPr>
          <w:rFonts w:asciiTheme="minorBidi" w:hAnsiTheme="minorBidi" w:cstheme="minorBidi"/>
        </w:rPr>
      </w:pPr>
      <w:r w:rsidRPr="00066CC7">
        <w:rPr>
          <w:rFonts w:asciiTheme="minorBidi" w:hAnsiTheme="minorBidi"/>
          <w:b/>
        </w:rPr>
        <w:t>Réunions et mécanismes de la Convention de 2003</w:t>
      </w:r>
      <w:r w:rsidR="00F00697" w:rsidRPr="00066CC7">
        <w:rPr>
          <w:rFonts w:asciiTheme="minorBidi" w:hAnsiTheme="minorBidi"/>
        </w:rPr>
        <w:t>. C</w:t>
      </w:r>
      <w:r w:rsidRPr="00066CC7">
        <w:rPr>
          <w:rFonts w:asciiTheme="minorBidi" w:hAnsiTheme="minorBidi"/>
        </w:rPr>
        <w:t>onformément aux conclusions de l’</w:t>
      </w:r>
      <w:hyperlink r:id="rId17" w:history="1">
        <w:r w:rsidR="00F00697" w:rsidRPr="00066CC7">
          <w:rPr>
            <w:rStyle w:val="Hyperlink"/>
            <w:rFonts w:asciiTheme="minorBidi" w:hAnsiTheme="minorBidi"/>
          </w:rPr>
          <w:t>é</w:t>
        </w:r>
        <w:r w:rsidRPr="00066CC7">
          <w:rPr>
            <w:rStyle w:val="Hyperlink"/>
            <w:rFonts w:asciiTheme="minorBidi" w:hAnsiTheme="minorBidi"/>
          </w:rPr>
          <w:t>valuation par l’IOS (2021)</w:t>
        </w:r>
      </w:hyperlink>
      <w:r w:rsidRPr="00066CC7">
        <w:rPr>
          <w:rFonts w:asciiTheme="minorBidi" w:hAnsiTheme="minorBidi"/>
        </w:rPr>
        <w:t xml:space="preserve"> de l’action de l’UNESCO dans le cadre de la Convention de 2003 pour la sauvegarde du patrimoine culturel immatériel (ci-après dénommée « l’Évaluation de l’IOS »), le Secrétariat a considérablement aidé les organes directeurs de la Convention à mener à bien leurs travaux en prenant une série de décisions clés au cours des quatorze réunions statutaires organisées, notamment, pour l’Assemblée générale, le Comité, le Bureau du Comité et l’Organe d’évaluation, mais aussi lors des réunions d’échange d’informations sur des questions statutaires et lors des réunions préparatoires prévues spécifiquement pour discuter de l’organisation des réunions statutaires par l’intermédiaire d’Internet. Pour tenir compte de l’évolution de la situation sanitaire, les réunions statutaires ont été organisées selon différentes modalités, ce qui a permis de ne pas interrompre la vie statutaire de la Convention malgré les circonstances défavorables : deux réunions se sont déroulées en présentiel avec des mesures de distanciation sociale (notamment la huitième session de l’Assemblée générale), une réunion s’est tenue en présentiel avant l’apparition de la pandémie, et onze réunions ont eu lieu en ligne (notamment la quinzième session du Comité).</w:t>
      </w:r>
    </w:p>
    <w:p w14:paraId="146C8C40" w14:textId="215F45B2" w:rsidR="00D51184" w:rsidRPr="00066CC7" w:rsidRDefault="00E315B0" w:rsidP="00D17791">
      <w:pPr>
        <w:pStyle w:val="COMPara"/>
        <w:ind w:left="567" w:hanging="567"/>
        <w:jc w:val="both"/>
        <w:rPr>
          <w:rFonts w:asciiTheme="minorBidi" w:hAnsiTheme="minorBidi" w:cstheme="minorBidi"/>
        </w:rPr>
      </w:pPr>
      <w:r w:rsidRPr="00066CC7">
        <w:rPr>
          <w:rFonts w:asciiTheme="minorBidi" w:hAnsiTheme="minorBidi"/>
        </w:rPr>
        <w:t>La huitième session de l’Assemblée générale, en septembre 2020, et la quinzième session du Comité, en décembre 2020, ont été déterminantes dans la définition des orientations du développement à venir de la Convention. L’Assemblée générale a adopté des Principes et modalités opérationnels pour la sauvegarde du patrimoine culturel immatériel dans les situations d’urgence et a instauré un processus de dialogue entre l’Organe d’évaluation et les États soumissionnaires dans le cadre du processus d’évaluation. Parallèlement, la quinzième session du Comité, qui a examiné un nombre réduit de points en raison de la modalité en ligne de la session, a inscrit le plus grand nombre d’éléments multinationaux – quatorze –, ce qui témoigne de la capacité du patrimoine culturel immatériel à rassembler les gens et à promouvoir la coopération internationale.</w:t>
      </w:r>
    </w:p>
    <w:p w14:paraId="6842BCF2" w14:textId="5F018D76" w:rsidR="00F00392" w:rsidRPr="00066CC7" w:rsidRDefault="0046485B" w:rsidP="004A39C7">
      <w:pPr>
        <w:pStyle w:val="COMPara"/>
        <w:ind w:left="567" w:hanging="567"/>
        <w:jc w:val="both"/>
        <w:rPr>
          <w:rFonts w:asciiTheme="minorBidi" w:hAnsiTheme="minorBidi" w:cstheme="minorBidi"/>
        </w:rPr>
      </w:pPr>
      <w:r w:rsidRPr="00066CC7">
        <w:rPr>
          <w:rFonts w:asciiTheme="minorBidi" w:hAnsiTheme="minorBidi"/>
        </w:rPr>
        <w:t xml:space="preserve">Par ailleurs, </w:t>
      </w:r>
      <w:r w:rsidR="002D363D" w:rsidRPr="00066CC7">
        <w:rPr>
          <w:rFonts w:asciiTheme="minorBidi" w:hAnsiTheme="minorBidi"/>
        </w:rPr>
        <w:t>ce biennium</w:t>
      </w:r>
      <w:r w:rsidRPr="00066CC7">
        <w:rPr>
          <w:rFonts w:asciiTheme="minorBidi" w:hAnsiTheme="minorBidi"/>
        </w:rPr>
        <w:t xml:space="preserve"> a été marquée par la poursuite de la réflexion mondiale sur les mécanismes d’inscription sur les Listes de la Convention – qui avait été engagée par la douzième session du Comité en 2017 avec le soutien du Japon –, avec l’organisation d’une réunion en ligne d’experts de catégorie VI en mai 2021 et d’une réunion en ligne en deux temps du groupe de travail intergouvernemental à composition non limitée en juillet et en septembre 2021</w:t>
      </w:r>
      <w:r w:rsidR="00395383" w:rsidRPr="00066CC7">
        <w:rPr>
          <w:rStyle w:val="FootnoteReference"/>
          <w:rFonts w:asciiTheme="minorBidi" w:hAnsiTheme="minorBidi" w:cstheme="minorBidi"/>
        </w:rPr>
        <w:footnoteReference w:id="3"/>
      </w:r>
      <w:r w:rsidRPr="00066CC7">
        <w:rPr>
          <w:rFonts w:asciiTheme="minorBidi" w:hAnsiTheme="minorBidi"/>
        </w:rPr>
        <w:t>. Fondées sur une enquête envoyée à plus de 200 experts, les recommandations des trente-quatre experts ont préparé le terrain au groupe de travail intergouvernemental à composition non limitée, qui s’est penché sur la nature et les objectifs des mécanismes d’inscription sur les Listes, les critères d’inscription, le suivi des éléments inscrits et la méthodologie d’évaluation. Les recommandations du groupe de travail intergouvernemental à composition non limitée, qui seront examinées au cours de la présente session, marquent un jalon dans l’histoire de la Convention, car elles renforcent la crédibilité des mécanismes d’inscription sur les Listes et soulignent l’importance constante de la participation des communautés tout au long du processus.</w:t>
      </w:r>
    </w:p>
    <w:p w14:paraId="2770B84E" w14:textId="68AB708E" w:rsidR="00576B15" w:rsidRPr="00066CC7" w:rsidRDefault="00576B15" w:rsidP="00576B15">
      <w:pPr>
        <w:pStyle w:val="COMPara"/>
        <w:ind w:left="567" w:hanging="567"/>
        <w:jc w:val="both"/>
        <w:rPr>
          <w:rFonts w:asciiTheme="minorBidi" w:hAnsiTheme="minorBidi" w:cstheme="minorBidi"/>
        </w:rPr>
      </w:pPr>
      <w:r w:rsidRPr="00066CC7">
        <w:rPr>
          <w:rFonts w:asciiTheme="minorBidi" w:hAnsiTheme="minorBidi"/>
        </w:rPr>
        <w:t xml:space="preserve">En outre, le Secrétariat a entrepris des tâches administratives pour l’Organe d’évaluation afin de le soutenir dans le cadre de l’évaluation des dossiers de candidature au cours des cycles 2020 et 2021, tout en vérifiant l’exhaustivité des candidatures, sur le plan technique, pour le cycle 2022. Des rapports périodiques ainsi que des demandes d’accréditation ou de renouvellement d’accréditation d’organisations non gouvernementales (ONG) ont également été traités pendant la période considérée. Toutes ces tâches ont été accomplies conformément aux exigences statutaires définies par le texte de la Convention et ses </w:t>
      </w:r>
      <w:r w:rsidR="00B833F2" w:rsidRPr="00066CC7">
        <w:rPr>
          <w:rFonts w:asciiTheme="minorBidi" w:hAnsiTheme="minorBidi"/>
        </w:rPr>
        <w:t>d</w:t>
      </w:r>
      <w:r w:rsidRPr="00066CC7">
        <w:rPr>
          <w:rFonts w:asciiTheme="minorBidi" w:hAnsiTheme="minorBidi"/>
        </w:rPr>
        <w:t>irectives opérationnelles, même si une certaine indulgence a été accordée pour tenir compte des circonstances liées à la pandémie.</w:t>
      </w:r>
    </w:p>
    <w:p w14:paraId="681677B5" w14:textId="77777777" w:rsidR="009802E2" w:rsidRPr="00066CC7" w:rsidRDefault="009802E2" w:rsidP="009802E2">
      <w:pPr>
        <w:pStyle w:val="COMPara"/>
        <w:numPr>
          <w:ilvl w:val="0"/>
          <w:numId w:val="0"/>
        </w:numPr>
        <w:ind w:left="567"/>
        <w:jc w:val="both"/>
        <w:rPr>
          <w:rFonts w:asciiTheme="minorBidi" w:hAnsiTheme="minorBidi" w:cstheme="minorBidi"/>
        </w:rPr>
      </w:pPr>
    </w:p>
    <w:p w14:paraId="359015E5" w14:textId="63168C6A" w:rsidR="00FA400F" w:rsidRPr="00066CC7" w:rsidRDefault="00FA400F" w:rsidP="00FA400F">
      <w:pPr>
        <w:pStyle w:val="COMPara"/>
        <w:ind w:left="567" w:hanging="567"/>
        <w:jc w:val="both"/>
        <w:rPr>
          <w:rFonts w:asciiTheme="minorBidi" w:hAnsiTheme="minorBidi" w:cstheme="minorBidi"/>
        </w:rPr>
      </w:pPr>
      <w:r w:rsidRPr="00066CC7">
        <w:rPr>
          <w:rFonts w:asciiTheme="minorBidi" w:hAnsiTheme="minorBidi"/>
          <w:b/>
          <w:bCs/>
        </w:rPr>
        <w:lastRenderedPageBreak/>
        <w:t>Organisations non gouvernementales</w:t>
      </w:r>
      <w:r w:rsidR="00F00697" w:rsidRPr="00066CC7">
        <w:rPr>
          <w:rFonts w:asciiTheme="minorBidi" w:hAnsiTheme="minorBidi"/>
        </w:rPr>
        <w:t>. P</w:t>
      </w:r>
      <w:r w:rsidRPr="00066CC7">
        <w:rPr>
          <w:rFonts w:asciiTheme="minorBidi" w:hAnsiTheme="minorBidi"/>
        </w:rPr>
        <w:t xml:space="preserve">our faire suite à la </w:t>
      </w:r>
      <w:hyperlink r:id="rId18" w:history="1">
        <w:r w:rsidRPr="00066CC7">
          <w:rPr>
            <w:rStyle w:val="Hyperlink"/>
            <w:rFonts w:asciiTheme="minorBidi" w:hAnsiTheme="minorBidi"/>
          </w:rPr>
          <w:t>réflexion</w:t>
        </w:r>
      </w:hyperlink>
      <w:r w:rsidRPr="00066CC7">
        <w:rPr>
          <w:rFonts w:asciiTheme="minorBidi" w:hAnsiTheme="minorBidi"/>
        </w:rPr>
        <w:t xml:space="preserve"> de deux ans sur le rôle des organisations non gouvernementales accréditées, qui a été close par l’Assemblée générale en 2020, le Forum des ONG du PCI et le Secrétariat ont renforcé leur collaboration et prévu de réaliser une cartographie des domaines de compétences des organisations non gouvernementales accréditées</w:t>
      </w:r>
      <w:r w:rsidRPr="00066CC7">
        <w:rPr>
          <w:rStyle w:val="FootnoteReference"/>
          <w:rFonts w:asciiTheme="minorBidi" w:hAnsiTheme="minorBidi" w:cstheme="minorBidi"/>
        </w:rPr>
        <w:footnoteReference w:id="4"/>
      </w:r>
      <w:r w:rsidRPr="00066CC7">
        <w:rPr>
          <w:rFonts w:asciiTheme="minorBidi" w:hAnsiTheme="minorBidi"/>
        </w:rPr>
        <w:t>. Les résultats attendus de cet exercice permettront de déterminer de quelle manière les ONG accréditées pourraient fournir des services consultatifs au Comité, tout en facilitant une coopération potentielle entre les ONG accréditées et les États parties au niveau national.</w:t>
      </w:r>
    </w:p>
    <w:p w14:paraId="0365FD0C" w14:textId="3A9DCAE6" w:rsidR="00AD4431" w:rsidRPr="00066CC7" w:rsidRDefault="00FA0871" w:rsidP="00AD4431">
      <w:pPr>
        <w:pStyle w:val="COMPara"/>
        <w:ind w:left="567" w:hanging="567"/>
        <w:jc w:val="both"/>
        <w:rPr>
          <w:rFonts w:asciiTheme="minorBidi" w:hAnsiTheme="minorBidi" w:cstheme="minorBidi"/>
        </w:rPr>
      </w:pPr>
      <w:r w:rsidRPr="00066CC7">
        <w:rPr>
          <w:rFonts w:asciiTheme="minorBidi" w:hAnsiTheme="minorBidi"/>
          <w:b/>
        </w:rPr>
        <w:t>Gestion des connaissances</w:t>
      </w:r>
      <w:r w:rsidR="00F00697" w:rsidRPr="00066CC7">
        <w:rPr>
          <w:rFonts w:asciiTheme="minorBidi" w:hAnsiTheme="minorBidi"/>
        </w:rPr>
        <w:t>. L</w:t>
      </w:r>
      <w:r w:rsidRPr="00066CC7">
        <w:rPr>
          <w:rFonts w:asciiTheme="minorBidi" w:hAnsiTheme="minorBidi"/>
        </w:rPr>
        <w:t xml:space="preserve">es services de gestion des connaissances ont eu un rôle déterminant à jouer pour assurer la continuité des activités du Secrétariat, mais aussi à l’égard des mécanismes en ligne tels que l’évaluation des candidatures ou la réalisation des rapports périodiques. En 2020 et 2021, les membres de l’Organe d’évaluation n’ont pas pu se réunir en présentiel, comme ils en ont l’habitude, pour confronter leurs points de vue et parvenir à un consensus en cinq jours (à raison de six heures par jour), ce qui aurait pu compromettre leur capacité à accomplir leurs tâches. De nouveaux outils en ligne ont été développés pour compenser le temps réduit et l’interactivité limitée imposés par les réunions virtuelles. </w:t>
      </w:r>
      <w:r w:rsidR="002D363D" w:rsidRPr="00066CC7">
        <w:rPr>
          <w:rFonts w:asciiTheme="minorBidi" w:hAnsiTheme="minorBidi"/>
        </w:rPr>
        <w:t>Compte tenu de son utilité, cet outil sera utilisé pour les cycles futurs même si les membres de l'Organe d'évaluation peuvent se rencontrer en personne. De plus, l</w:t>
      </w:r>
      <w:r w:rsidRPr="00066CC7">
        <w:rPr>
          <w:rFonts w:asciiTheme="minorBidi" w:hAnsiTheme="minorBidi"/>
        </w:rPr>
        <w:t>’utilisation toujours croissante du système de gestion des connaissances a occasionné une forte pression sur le serveur et a dégradé les performances à la fin de 2020 et au début de 2021. Depuis, l’application a été optimisée et en juin 2021, elle a été transférée sur de nouveaux serveurs.</w:t>
      </w:r>
    </w:p>
    <w:p w14:paraId="3122D676" w14:textId="638CA548" w:rsidR="00765B3D" w:rsidRPr="00066CC7" w:rsidRDefault="00765B3D" w:rsidP="00765B3D">
      <w:pPr>
        <w:pStyle w:val="COMPara"/>
        <w:ind w:left="567" w:hanging="567"/>
        <w:jc w:val="both"/>
        <w:rPr>
          <w:rFonts w:asciiTheme="minorBidi" w:hAnsiTheme="minorBidi" w:cstheme="minorBidi"/>
        </w:rPr>
      </w:pPr>
      <w:r w:rsidRPr="00066CC7">
        <w:rPr>
          <w:rFonts w:asciiTheme="minorBidi" w:hAnsiTheme="minorBidi"/>
          <w:b/>
        </w:rPr>
        <w:t>Assistance internationale</w:t>
      </w:r>
      <w:r w:rsidR="00F00697" w:rsidRPr="00066CC7">
        <w:rPr>
          <w:rFonts w:asciiTheme="minorBidi" w:hAnsiTheme="minorBidi"/>
        </w:rPr>
        <w:t>. L</w:t>
      </w:r>
      <w:r w:rsidRPr="00066CC7">
        <w:rPr>
          <w:rFonts w:asciiTheme="minorBidi" w:hAnsiTheme="minorBidi"/>
        </w:rPr>
        <w:t>ors de sa septième session en juin 2018, l’Assemblée générale a approuvé la création de trois postes à durée déterminée financés à l’aide de fonds extrabudgétaires, ce qui a permis de mettre en place l’Équipe chargée de la sauvegarde, de la mise en œuvre et du suivi au sein du Secrétariat, qui s’occupe de la mise en œuvre des mécanismes d’assistance internationale</w:t>
      </w:r>
      <w:r w:rsidRPr="00066CC7">
        <w:rPr>
          <w:rFonts w:asciiTheme="minorBidi" w:hAnsiTheme="minorBidi" w:cstheme="minorBidi"/>
          <w:vertAlign w:val="superscript"/>
        </w:rPr>
        <w:footnoteReference w:id="5"/>
      </w:r>
      <w:r w:rsidRPr="00066CC7">
        <w:rPr>
          <w:rFonts w:asciiTheme="minorBidi" w:hAnsiTheme="minorBidi"/>
        </w:rPr>
        <w:t>.</w:t>
      </w:r>
      <w:r w:rsidRPr="00066CC7">
        <w:rPr>
          <w:rFonts w:asciiTheme="minorBidi" w:hAnsiTheme="minorBidi"/>
          <w:vertAlign w:val="superscript"/>
        </w:rPr>
        <w:t xml:space="preserve"> </w:t>
      </w:r>
      <w:r w:rsidRPr="00066CC7">
        <w:rPr>
          <w:rFonts w:asciiTheme="minorBidi" w:hAnsiTheme="minorBidi"/>
        </w:rPr>
        <w:t>Cette équipe est opérationnelle depuis octobre 2019. Elle vise à gérer le mécanisme de manière globale, en facilitant l’accès des États parties au Fonds, en les aidant à soumettre leurs demandes, en soutenant la mise en œuvre des projets et en assurant un meilleur suivi et une meilleure évaluation de l’impact.</w:t>
      </w:r>
    </w:p>
    <w:p w14:paraId="208A2823" w14:textId="528A1F26" w:rsidR="00765B3D" w:rsidRPr="00066CC7" w:rsidRDefault="00765B3D" w:rsidP="00765B3D">
      <w:pPr>
        <w:pStyle w:val="COMPara"/>
        <w:ind w:left="567" w:hanging="567"/>
        <w:jc w:val="both"/>
        <w:rPr>
          <w:rFonts w:asciiTheme="minorBidi" w:hAnsiTheme="minorBidi" w:cstheme="minorBidi"/>
        </w:rPr>
      </w:pPr>
      <w:r w:rsidRPr="00066CC7">
        <w:rPr>
          <w:rFonts w:asciiTheme="minorBidi" w:hAnsiTheme="minorBidi"/>
        </w:rPr>
        <w:t>Entre janvier 2020 et juin 2021, les dépenses liées à l’assistance internationale ont atteint 1,6 million de dollars des États-Unis, sachant que les dépenses prévues pour le dernier semestre de l’exercice biennal porteront les dépenses au même niveau que lors du précédent exercice biennal (autour de 2,8 millions de dollars des États-Unis)</w:t>
      </w:r>
      <w:r w:rsidRPr="00066CC7">
        <w:rPr>
          <w:rFonts w:asciiTheme="minorBidi" w:hAnsiTheme="minorBidi" w:cstheme="minorBidi"/>
          <w:vertAlign w:val="superscript"/>
        </w:rPr>
        <w:footnoteReference w:id="6"/>
      </w:r>
      <w:r w:rsidRPr="00066CC7">
        <w:rPr>
          <w:rFonts w:asciiTheme="minorBidi" w:hAnsiTheme="minorBidi"/>
        </w:rPr>
        <w:t>. Onze nouveaux projets ont été approuvés par le Comité et son Bureau, dont cinq en Afrique et trois dans de petits États insulaires en développement (PEID). Il convient néanmoins de noter que le nombre de demandes soumises par des États parties a diminué, passant de quarante-huit demandes enregistrées et traitées par le Secrétariat lors de l’exercice 2018-2019 à vingt-sept au cours de la période de dix-huit mois considérée dans ce rapport (voir le document LHE/21/16.COM/7.d). Compte tenu de la récente diminution du nombre de demandes qui s’explique peut-être en partie par la pandémie, le Secrétariat s’est concentré sur l’analyse de la mise en œuvre actuelle des mécanismes d’assistance internationale et sur l’identification des difficultés auxquelles sont confrontés les États et les communautés lorsqu’ils préparent leurs demandes et mettent en œuvre leurs projets.</w:t>
      </w:r>
    </w:p>
    <w:p w14:paraId="05D1C79F" w14:textId="2A4E100B" w:rsidR="0057439C" w:rsidRPr="00066CC7" w:rsidRDefault="001052E3" w:rsidP="00FA0871">
      <w:pPr>
        <w:pStyle w:val="COMPara"/>
        <w:numPr>
          <w:ilvl w:val="0"/>
          <w:numId w:val="6"/>
        </w:numPr>
        <w:spacing w:before="240"/>
        <w:ind w:left="567" w:hanging="425"/>
        <w:jc w:val="both"/>
        <w:rPr>
          <w:rFonts w:asciiTheme="minorBidi" w:hAnsiTheme="minorBidi" w:cstheme="minorBidi"/>
          <w:b/>
          <w:bCs/>
        </w:rPr>
      </w:pPr>
      <w:r w:rsidRPr="00066CC7">
        <w:rPr>
          <w:rFonts w:asciiTheme="minorBidi" w:hAnsiTheme="minorBidi"/>
          <w:b/>
        </w:rPr>
        <w:t>Priorités opérationnelles en matière de renforcement des capacités et intégration du patrimoine culturel immatériel dans l’éducation formelle et non formelle</w:t>
      </w:r>
    </w:p>
    <w:p w14:paraId="35430C05" w14:textId="368815FC" w:rsidR="00AB5F82" w:rsidRPr="00066CC7" w:rsidRDefault="000337E6" w:rsidP="00AB5F82">
      <w:pPr>
        <w:pStyle w:val="COMPara"/>
        <w:ind w:left="567" w:hanging="567"/>
        <w:jc w:val="both"/>
        <w:rPr>
          <w:rFonts w:asciiTheme="minorBidi" w:hAnsiTheme="minorBidi" w:cstheme="minorBidi"/>
        </w:rPr>
      </w:pPr>
      <w:r w:rsidRPr="00066CC7">
        <w:rPr>
          <w:rFonts w:asciiTheme="minorBidi" w:hAnsiTheme="minorBidi"/>
          <w:b/>
        </w:rPr>
        <w:t>Renforcement des capacités</w:t>
      </w:r>
      <w:r w:rsidR="00F00697" w:rsidRPr="00066CC7">
        <w:rPr>
          <w:rFonts w:asciiTheme="minorBidi" w:hAnsiTheme="minorBidi"/>
          <w:bCs/>
        </w:rPr>
        <w:t xml:space="preserve">. </w:t>
      </w:r>
      <w:r w:rsidR="00F00697" w:rsidRPr="00066CC7">
        <w:rPr>
          <w:rFonts w:asciiTheme="minorBidi" w:hAnsiTheme="minorBidi"/>
        </w:rPr>
        <w:t>L</w:t>
      </w:r>
      <w:r w:rsidRPr="00066CC7">
        <w:rPr>
          <w:rFonts w:asciiTheme="minorBidi" w:hAnsiTheme="minorBidi"/>
        </w:rPr>
        <w:t xml:space="preserve">e Secrétariat mène des interventions de renforcement des capacités au sens le plus large depuis sa création en 2009, et ce dans 138 pays, parmi lesquels quarante-cinq pays africains et trente petits États insulaires en développement (PEID). </w:t>
      </w:r>
      <w:r w:rsidR="00196F9B" w:rsidRPr="00066CC7">
        <w:rPr>
          <w:rFonts w:asciiTheme="minorBidi" w:hAnsiTheme="minorBidi"/>
        </w:rPr>
        <w:t>C</w:t>
      </w:r>
      <w:r w:rsidRPr="00066CC7">
        <w:rPr>
          <w:rFonts w:asciiTheme="minorBidi" w:hAnsiTheme="minorBidi"/>
        </w:rPr>
        <w:t xml:space="preserve">inquante-deux </w:t>
      </w:r>
      <w:r w:rsidR="00196F9B" w:rsidRPr="00066CC7">
        <w:rPr>
          <w:rFonts w:asciiTheme="minorBidi" w:hAnsiTheme="minorBidi"/>
        </w:rPr>
        <w:t xml:space="preserve">de ces pays </w:t>
      </w:r>
      <w:r w:rsidRPr="00066CC7">
        <w:rPr>
          <w:rFonts w:asciiTheme="minorBidi" w:hAnsiTheme="minorBidi"/>
        </w:rPr>
        <w:t xml:space="preserve">(dix-huit en Afrique) ont bénéficié de projets à long terme et 114 ont bénéficié de projets à court terme dans le cadre du programme global de </w:t>
      </w:r>
      <w:r w:rsidRPr="00066CC7">
        <w:rPr>
          <w:rFonts w:asciiTheme="minorBidi" w:hAnsiTheme="minorBidi"/>
        </w:rPr>
        <w:lastRenderedPageBreak/>
        <w:t>renforcement des capacités. Les centres de catégorie 2 ont soutenu quarante-et-un pays. Au cours de la période considérée, une réorientation stratégique du programme a été engagée pour inclure des approches d’exécution multimodales et élargir ainsi l’accès et la prestation, en réponse, notamment, à la pandémie de COVID-19. Cette réorientation va dans le sens de l’Évaluation de l’IOS, qui a confirmé le caractère central du programme et souligné la nécessité de s’adapter à l’évolution des demandes.</w:t>
      </w:r>
    </w:p>
    <w:p w14:paraId="56B9A549" w14:textId="75AA9AF9" w:rsidR="000337E6" w:rsidRPr="00066CC7" w:rsidRDefault="000337E6" w:rsidP="000337E6">
      <w:pPr>
        <w:pStyle w:val="COMPara"/>
        <w:ind w:left="567" w:hanging="567"/>
        <w:jc w:val="both"/>
        <w:rPr>
          <w:rFonts w:asciiTheme="minorBidi" w:hAnsiTheme="minorBidi" w:cstheme="minorBidi"/>
        </w:rPr>
      </w:pPr>
      <w:r w:rsidRPr="00066CC7">
        <w:rPr>
          <w:rFonts w:asciiTheme="minorBidi" w:hAnsiTheme="minorBidi"/>
        </w:rPr>
        <w:t>Le Secrétariat a par ailleurs renforcé son réseau mondial de facilitateurs, avec cinquante-cinq nouveaux membres formés (54 % de femmes) dans les régions Asie et Pacifique, Afrique, Europe et États arabes, ce qui porte à 103 le nombre total de facilitateurs (61 % de femmes). Parmi les autres faits marquants figurent la création d’un groupe de travail interrégional, le lancement d’une série de webinaires et l’</w:t>
      </w:r>
      <w:hyperlink r:id="rId19" w:history="1">
        <w:r w:rsidRPr="00066CC7">
          <w:rPr>
            <w:rStyle w:val="Hyperlink"/>
            <w:rFonts w:asciiTheme="minorBidi" w:hAnsiTheme="minorBidi"/>
          </w:rPr>
          <w:t>amélioration de la page Web du réseau</w:t>
        </w:r>
      </w:hyperlink>
      <w:r w:rsidRPr="00066CC7">
        <w:rPr>
          <w:rFonts w:asciiTheme="minorBidi" w:hAnsiTheme="minorBidi"/>
        </w:rPr>
        <w:t xml:space="preserve">. Plus de 140 universités œuvrant dans le domaine du patrimoine culturel immatériel ont été identifiées au moyen d’enquêtes régionales, ce qui a conduit au </w:t>
      </w:r>
      <w:hyperlink r:id="rId20" w:history="1">
        <w:r w:rsidRPr="00066CC7">
          <w:rPr>
            <w:rStyle w:val="Hyperlink"/>
            <w:rFonts w:asciiTheme="minorBidi" w:hAnsiTheme="minorBidi"/>
          </w:rPr>
          <w:t>développement de réseaux dans trois régions</w:t>
        </w:r>
      </w:hyperlink>
      <w:r w:rsidRPr="00066CC7">
        <w:rPr>
          <w:rFonts w:asciiTheme="minorBidi" w:hAnsiTheme="minorBidi"/>
        </w:rPr>
        <w:t xml:space="preserve">. Afin de proposer une formation efficace sur les approches sensibles au genre dans le domaine du patrimoine vivant, plusieurs supports d’information ont été développés, notamment une </w:t>
      </w:r>
      <w:hyperlink r:id="rId21" w:history="1">
        <w:r w:rsidRPr="00066CC7">
          <w:rPr>
            <w:rStyle w:val="Hyperlink"/>
            <w:rFonts w:asciiTheme="minorBidi" w:hAnsiTheme="minorBidi"/>
          </w:rPr>
          <w:t>animation vidéo</w:t>
        </w:r>
      </w:hyperlink>
      <w:r w:rsidRPr="00066CC7">
        <w:rPr>
          <w:rFonts w:asciiTheme="minorBidi" w:hAnsiTheme="minorBidi"/>
        </w:rPr>
        <w:t xml:space="preserve"> et une note d’orientation sur l’égalité des genres et le patrimoine culturel immatériel. Ces outils, ainsi que la </w:t>
      </w:r>
      <w:hyperlink r:id="rId22" w:history="1">
        <w:r w:rsidRPr="00066CC7">
          <w:rPr>
            <w:rStyle w:val="Hyperlink"/>
            <w:rFonts w:asciiTheme="minorBidi" w:hAnsiTheme="minorBidi"/>
          </w:rPr>
          <w:t>boîte à outils en ligne</w:t>
        </w:r>
      </w:hyperlink>
      <w:r w:rsidRPr="00066CC7">
        <w:rPr>
          <w:rFonts w:asciiTheme="minorBidi" w:hAnsiTheme="minorBidi"/>
        </w:rPr>
        <w:t xml:space="preserve"> sur le patrimoine vivant et le développement durable et la mise en place d’un premier cours en ligne ouvert à tous (MOOC) sur le sujet, contribuent également au Programme de développement durable à l’horizon 2030.</w:t>
      </w:r>
    </w:p>
    <w:p w14:paraId="05790C1F" w14:textId="586C0BFE" w:rsidR="00657B7C" w:rsidRPr="00066CC7" w:rsidRDefault="00AC4F7E" w:rsidP="00657B7C">
      <w:pPr>
        <w:pStyle w:val="COMPara"/>
        <w:ind w:left="567" w:hanging="567"/>
        <w:jc w:val="both"/>
        <w:rPr>
          <w:rFonts w:asciiTheme="minorBidi" w:hAnsiTheme="minorBidi" w:cstheme="minorBidi"/>
        </w:rPr>
      </w:pPr>
      <w:r w:rsidRPr="00066CC7">
        <w:rPr>
          <w:rFonts w:asciiTheme="minorBidi" w:hAnsiTheme="minorBidi"/>
        </w:rPr>
        <w:t>À la suite de la réforme du mécanisme de soumission de rapports périodiques</w:t>
      </w:r>
      <w:r w:rsidR="00ED4A08" w:rsidRPr="00066CC7">
        <w:rPr>
          <w:rStyle w:val="FootnoteReference"/>
          <w:rFonts w:asciiTheme="minorBidi" w:hAnsiTheme="minorBidi" w:cstheme="minorBidi"/>
        </w:rPr>
        <w:footnoteReference w:id="7"/>
      </w:r>
      <w:r w:rsidRPr="00066CC7">
        <w:rPr>
          <w:rFonts w:asciiTheme="minorBidi" w:hAnsiTheme="minorBidi"/>
        </w:rPr>
        <w:t xml:space="preserve"> adoptée par l’Assemblée générale en 2018, la région Amérique latine et Caraïbes a été la première à présenter des rapports périodiques dans le cadre du nouveau système. Le passage à un cycle régional de rapports périodiques a permis de renforcer et de concerter les efforts de renforcement des capacités dans la région. Un cours de formation en ligne complet sur les rapports périodiques, adapté aux besoins de la région, a été mis en place par le Secrétariat, conjointement avec le Centre régional pour la sauvegarde du patrimoine culturel immatériel d’Amérique latine (CRESPIAL) et des facilitateurs du réseau mondial de la Convention. Dispensé dans deux langues (anglais et espagnol), ce cours a pris la forme d’une série d’événements en ligne sur six semaines, du 19 mai au 23 juin 2020, combinant des webinaires hebdomadaires, des vidéos, des documents à lire et des sessions d’échange en ligne. Au total, 100 participants, dont quarante-sept points focaux de trente-deux États parties, ainsi que des facilitateurs confirmés et des agents culturels de l’UNESCO de la région, ont participé à cette formation. Le Secrétariat a également fourni un soutien supplémentaire en organisant une session de synthèse pour les points focaux en septembre 2020, suivie par la mobilisation du service d’assistance concernant les questions techniques et celles liées au contenu en vue de remplir le formulaire de rapport périodique. Néanmoins, compte tenu de l’impact de la pandémie de COVID-19 et conformément au paragraphe 152 des </w:t>
      </w:r>
      <w:r w:rsidR="00B833F2" w:rsidRPr="00066CC7">
        <w:rPr>
          <w:rFonts w:asciiTheme="minorBidi" w:hAnsiTheme="minorBidi"/>
        </w:rPr>
        <w:t>d</w:t>
      </w:r>
      <w:r w:rsidRPr="00066CC7">
        <w:rPr>
          <w:rFonts w:asciiTheme="minorBidi" w:hAnsiTheme="minorBidi"/>
        </w:rPr>
        <w:t>irectives opérationnelles, dans un premier temps, le Secrétariat a demandé aux États concernés de soumettre leur rapport en utilisant le formulaire de rapport périodique en ligne ICH-10 avant le délai statutaire fixé, avec la possibilité de le compléter avant la mi-mars 2021. Vingt-huit des trente-deux États parties de la région Amérique latine et Caraïbes (87,5 %) ont soumis leur rapport, ce qui représente le taux de soumission le plus important depuis la création de la Convention.</w:t>
      </w:r>
    </w:p>
    <w:p w14:paraId="415F2734" w14:textId="2413267B" w:rsidR="005A2B43" w:rsidRPr="00066CC7" w:rsidRDefault="00462506" w:rsidP="005A2B43">
      <w:pPr>
        <w:pStyle w:val="COMPara"/>
        <w:ind w:left="567" w:hanging="567"/>
        <w:jc w:val="both"/>
        <w:rPr>
          <w:rFonts w:asciiTheme="minorBidi" w:hAnsiTheme="minorBidi" w:cstheme="minorBidi"/>
        </w:rPr>
      </w:pPr>
      <w:r w:rsidRPr="00066CC7">
        <w:rPr>
          <w:rFonts w:asciiTheme="minorBidi" w:hAnsiTheme="minorBidi"/>
        </w:rPr>
        <w:t xml:space="preserve">Si le programme s’est concentré sur le soutien au renforcement des capacités dans les principaux domaines de la Convention, il a également élargi son expertise thématique, comme la réduction des risques de catastrophe, conformément aux Principes et modalités opérationnels pour la sauvegarde du patrimoine culturel immatériel dans les situations d’urgence. Depuis leur adoption par l’Assemblée générale en septembre 2020, le Secrétariat a axé ses activités sur le renforcement des capacités et la sensibilisation à leur importance auprès des parties prenantes concernées. Des ateliers de formation en ligne ont été organisés au Honduras et dans les Philippines, grâce au soutien de la Suisse, afin de renforcer la capacité des communautés, des autorités nationales et des organisations de la société civile à sauvegarder leur patrimoine vivant dans les contextes sujets à des catastrophes. Une </w:t>
      </w:r>
      <w:r w:rsidRPr="00066CC7">
        <w:rPr>
          <w:rFonts w:asciiTheme="minorBidi" w:hAnsiTheme="minorBidi"/>
        </w:rPr>
        <w:lastRenderedPageBreak/>
        <w:t>approche de renforcement des capacités adaptée aux situations de conflit, et notamment aux déplacements forcés, est également en cours de développement et des consultations sont actuellement menées pour évaluer les besoins de formation.</w:t>
      </w:r>
    </w:p>
    <w:p w14:paraId="4DEE4C89" w14:textId="0D6C5418" w:rsidR="00C052CE" w:rsidRPr="00066CC7" w:rsidRDefault="00496D24" w:rsidP="00C052CE">
      <w:pPr>
        <w:pStyle w:val="COMPara"/>
        <w:ind w:left="567" w:hanging="567"/>
        <w:jc w:val="both"/>
        <w:rPr>
          <w:rFonts w:asciiTheme="minorBidi" w:hAnsiTheme="minorBidi" w:cstheme="minorBidi"/>
        </w:rPr>
      </w:pPr>
      <w:r w:rsidRPr="00066CC7">
        <w:rPr>
          <w:rFonts w:asciiTheme="minorBidi" w:hAnsiTheme="minorBidi"/>
          <w:b/>
          <w:bCs/>
        </w:rPr>
        <w:t>Patrimoine culturel immatériel et éducation </w:t>
      </w:r>
      <w:r w:rsidRPr="00066CC7">
        <w:rPr>
          <w:rFonts w:asciiTheme="minorBidi" w:hAnsiTheme="minorBidi"/>
        </w:rPr>
        <w:t>: il y a quatre ans, le Secrétariat a élaboré le programme sur la sauvegarde du patrimoine culturel immatériel dans l’éducation formelle et non formelle en consultation avec le Secteur de l’éducation, programme que le Comité a adopté en tant que deuxième priorité de financement pour 2018-2021</w:t>
      </w:r>
      <w:r w:rsidR="003C7650" w:rsidRPr="00066CC7">
        <w:rPr>
          <w:rStyle w:val="FootnoteReference"/>
          <w:rFonts w:asciiTheme="minorBidi" w:hAnsiTheme="minorBidi" w:cstheme="minorBidi"/>
        </w:rPr>
        <w:footnoteReference w:id="8"/>
      </w:r>
      <w:r w:rsidRPr="00066CC7">
        <w:rPr>
          <w:rFonts w:asciiTheme="minorBidi" w:hAnsiTheme="minorBidi"/>
        </w:rPr>
        <w:t xml:space="preserve">. Les deux secteurs ont vu des avantages stratégiques indéniables dans la promotion d’une approche plus large de la sauvegarde qui permettrait de toucher les communautés tout en aidant les États à respecter leurs engagements dans le cadre de l’Objectif de développement durable 4 (ODD 4). Depuis, le Secrétariat a dirigé avec succès la coopération intersectorielle au siège et dans les bureaux hors siège par l’intermédiaire de projets conjoints et d’une </w:t>
      </w:r>
      <w:hyperlink r:id="rId23" w:history="1">
        <w:r w:rsidRPr="00066CC7">
          <w:rPr>
            <w:rStyle w:val="Hyperlink"/>
            <w:rFonts w:asciiTheme="minorBidi" w:hAnsiTheme="minorBidi"/>
          </w:rPr>
          <w:t>réunion mondiale (2019)</w:t>
        </w:r>
      </w:hyperlink>
      <w:r w:rsidRPr="00066CC7">
        <w:rPr>
          <w:rFonts w:asciiTheme="minorBidi" w:hAnsiTheme="minorBidi"/>
        </w:rPr>
        <w:t>, et a présenté le programme Patrimoine vivant et éducation en tant que domaine prioritaire intersectoriel dans le programme de l’UNESCO (40C/5 et projet de 41C/5). Aujourd’hui, le rôle du patrimoine vivant et son importance pour la réalisation de l’ODD 4 d’une éducation de qualité sont mieux compris.</w:t>
      </w:r>
    </w:p>
    <w:p w14:paraId="49FAF3A5" w14:textId="1DC03FF6" w:rsidR="00C052CE" w:rsidRPr="00066CC7" w:rsidRDefault="00E453D5" w:rsidP="00C052CE">
      <w:pPr>
        <w:pStyle w:val="COMPara"/>
        <w:ind w:left="567" w:hanging="567"/>
        <w:jc w:val="both"/>
        <w:rPr>
          <w:rFonts w:asciiTheme="minorBidi" w:hAnsiTheme="minorBidi" w:cstheme="minorBidi"/>
        </w:rPr>
      </w:pPr>
      <w:r w:rsidRPr="00066CC7">
        <w:rPr>
          <w:rFonts w:asciiTheme="minorBidi" w:hAnsiTheme="minorBidi"/>
        </w:rPr>
        <w:t>Seize bureaux hors siège ont mené des projets et des activités dans plus de cinquante pays, intégrant le patrimoine vivant dans l’éducation en milieu scolaire et non formelle et renforçant les capacités des enseignants et des formateurs d’enseignants. Trois régions (Europe, Asie et Pacifique, Amérique latine et Caraïbes) ont utilisé des enquêtes pour produire des connaissances sur les expériences existantes. Quinze projets ont été évalués dans le cadre de l’Évaluation de l’IOS, avec des résultats prometteurs : sensibilisation accrue et plus grand respect du patrimoine vivant parmi les jeunes et la communauté au sens large et renforcement de l’identité, de la fierté et de l’appréciation de la diversité culturelle. Les enseignants participants ont développé leurs capacités et gagné en assurance pour intégrer le patrimoine culturel immatériel dans leurs cours, toutes matières confondues, et les partenariats établis entre les communautés, les détenteurs et les écoles ont été considérés comme l’une des caractéristiques les plus gratifiantes des projets. Il est maintenant nécessaire de mener les projets sur une plus grande échelle pour les ancrer dans les systèmes éducatifs.</w:t>
      </w:r>
    </w:p>
    <w:p w14:paraId="3B61CC8B" w14:textId="24ABA35D" w:rsidR="00C052CE" w:rsidRPr="00066CC7" w:rsidRDefault="00C052CE" w:rsidP="00C052CE">
      <w:pPr>
        <w:pStyle w:val="COMPara"/>
        <w:ind w:left="567" w:hanging="567"/>
        <w:jc w:val="both"/>
        <w:rPr>
          <w:rFonts w:asciiTheme="minorBidi" w:hAnsiTheme="minorBidi" w:cstheme="minorBidi"/>
        </w:rPr>
      </w:pPr>
      <w:r w:rsidRPr="00066CC7">
        <w:rPr>
          <w:rFonts w:asciiTheme="minorBidi" w:hAnsiTheme="minorBidi"/>
        </w:rPr>
        <w:t xml:space="preserve">À l’échelle mondiale, le Secrétariat a développé de nouvelles connaissances, en collaboration avec le Secteur de l’éducation, sur les indicateurs liés à l’éducation du cadre global de résultats de la Convention et sur leur relation avec l’ODD 4 (2020) par l’intermédiaire d’une réunion d’experts et d’un </w:t>
      </w:r>
      <w:hyperlink r:id="rId24" w:history="1">
        <w:r w:rsidRPr="00066CC7">
          <w:rPr>
            <w:rStyle w:val="Hyperlink"/>
            <w:rFonts w:asciiTheme="minorBidi" w:hAnsiTheme="minorBidi"/>
          </w:rPr>
          <w:t>webinaire</w:t>
        </w:r>
      </w:hyperlink>
      <w:r w:rsidRPr="00066CC7">
        <w:rPr>
          <w:rFonts w:asciiTheme="minorBidi" w:hAnsiTheme="minorBidi"/>
        </w:rPr>
        <w:t xml:space="preserve"> public (2021). Il a également mis au point un cours de formation en ligne sur le patrimoine vivant et l’éducation qui a donné naissance à un réseau d’apprentissage mondial de quarante personnes-ressources qui peuvent, sur demande, proposer des services de formation et de conseil. Enfin, pour favoriser le partage de connaissances, la coopération et l’innovation, le Secrétariat a créé un </w:t>
      </w:r>
      <w:hyperlink r:id="rId25" w:history="1">
        <w:r w:rsidRPr="00066CC7">
          <w:rPr>
            <w:rStyle w:val="Hyperlink"/>
            <w:rFonts w:asciiTheme="minorBidi" w:hAnsiTheme="minorBidi"/>
          </w:rPr>
          <w:t>centre d’échange d’information</w:t>
        </w:r>
      </w:hyperlink>
      <w:r w:rsidRPr="00066CC7">
        <w:rPr>
          <w:rFonts w:asciiTheme="minorBidi" w:hAnsiTheme="minorBidi"/>
        </w:rPr>
        <w:t xml:space="preserve"> sur le patrimoine vivant et l’éducation, qui contient des documents sur tous les projets innovants menés jusqu’à présent dans le cadre du programme.</w:t>
      </w:r>
    </w:p>
    <w:p w14:paraId="558E21D4" w14:textId="77777777" w:rsidR="00AA440C" w:rsidRPr="00066CC7" w:rsidRDefault="00AA440C" w:rsidP="00AA440C">
      <w:pPr>
        <w:pStyle w:val="COMPara"/>
        <w:numPr>
          <w:ilvl w:val="0"/>
          <w:numId w:val="6"/>
        </w:numPr>
        <w:spacing w:before="240"/>
        <w:ind w:left="567" w:hanging="425"/>
        <w:jc w:val="both"/>
        <w:rPr>
          <w:rFonts w:asciiTheme="minorBidi" w:hAnsiTheme="minorBidi" w:cstheme="minorBidi"/>
          <w:b/>
          <w:bCs/>
        </w:rPr>
      </w:pPr>
      <w:r w:rsidRPr="00066CC7">
        <w:rPr>
          <w:rFonts w:asciiTheme="minorBidi" w:hAnsiTheme="minorBidi"/>
          <w:b/>
        </w:rPr>
        <w:t>Communication et sensibilisation</w:t>
      </w:r>
    </w:p>
    <w:p w14:paraId="564735A6" w14:textId="40FB4F58" w:rsidR="00AA440C" w:rsidRPr="00066CC7" w:rsidRDefault="00DF5EEF" w:rsidP="00AA440C">
      <w:pPr>
        <w:pStyle w:val="COMPara"/>
        <w:ind w:left="567" w:hanging="567"/>
        <w:jc w:val="both"/>
        <w:rPr>
          <w:rFonts w:asciiTheme="minorBidi" w:hAnsiTheme="minorBidi" w:cstheme="minorBidi"/>
        </w:rPr>
      </w:pPr>
      <w:r w:rsidRPr="00066CC7">
        <w:rPr>
          <w:rFonts w:asciiTheme="minorBidi" w:hAnsiTheme="minorBidi"/>
        </w:rPr>
        <w:t>S</w:t>
      </w:r>
      <w:r w:rsidR="00AA440C" w:rsidRPr="00066CC7">
        <w:rPr>
          <w:rFonts w:asciiTheme="minorBidi" w:hAnsiTheme="minorBidi"/>
        </w:rPr>
        <w:t>’appuyant sur les retours positifs recueillis – en particulier auprès des jeunes – pour le projet « </w:t>
      </w:r>
      <w:hyperlink r:id="rId26" w:history="1">
        <w:r w:rsidR="00AA440C" w:rsidRPr="00066CC7">
          <w:rPr>
            <w:rStyle w:val="Hyperlink"/>
            <w:rFonts w:asciiTheme="minorBidi" w:hAnsiTheme="minorBidi"/>
          </w:rPr>
          <w:t>Plongez dans le patrimoine culturel immatériel</w:t>
        </w:r>
      </w:hyperlink>
      <w:r w:rsidR="00AA440C" w:rsidRPr="00066CC7">
        <w:rPr>
          <w:rFonts w:asciiTheme="minorBidi" w:hAnsiTheme="minorBidi"/>
        </w:rPr>
        <w:t> », qui a été lancé fin 2019 avec l’aide des Pays-Bas, le Secrétariat a encore amélioré l’interface en montrant les diverses façons dont le patrimoine vivant fait écho au développement durable et le lien qui unit les plus de 500 éléments inscrits aux Objectifs de développement durable. Rendue publique lors de la quinzième session du Comité en décembre 2020, cette interface a été présentée le 21 mai 2021 à l’occasion de l’Événement de haut niveau sur la culture et le développement durable qui a été organisé à New York par le président de l’Assemblée générale des Nations Unies.</w:t>
      </w:r>
    </w:p>
    <w:p w14:paraId="04E204AA" w14:textId="2FC8E2EE" w:rsidR="00AA440C" w:rsidRPr="00066CC7" w:rsidRDefault="00AA440C" w:rsidP="00AA440C">
      <w:pPr>
        <w:pStyle w:val="COMPara"/>
        <w:ind w:left="567" w:hanging="567"/>
        <w:jc w:val="both"/>
        <w:rPr>
          <w:rFonts w:asciiTheme="minorBidi" w:hAnsiTheme="minorBidi" w:cstheme="minorBidi"/>
        </w:rPr>
      </w:pPr>
      <w:r w:rsidRPr="00066CC7">
        <w:rPr>
          <w:rFonts w:asciiTheme="minorBidi" w:hAnsiTheme="minorBidi"/>
        </w:rPr>
        <w:t xml:space="preserve">En 2021, des efforts ont été entrepris pour publier plus souvent des contenus diversifiés et attrayants sur le portail de la Convention. </w:t>
      </w:r>
      <w:r w:rsidRPr="00066CC7">
        <w:t xml:space="preserve">Des </w:t>
      </w:r>
      <w:r w:rsidRPr="00066CC7">
        <w:rPr>
          <w:rFonts w:asciiTheme="minorBidi" w:hAnsiTheme="minorBidi"/>
        </w:rPr>
        <w:t xml:space="preserve">initiatives ont été prises pour mieux mettre en </w:t>
      </w:r>
      <w:r w:rsidRPr="00066CC7">
        <w:rPr>
          <w:rFonts w:asciiTheme="minorBidi" w:hAnsiTheme="minorBidi"/>
        </w:rPr>
        <w:lastRenderedPageBreak/>
        <w:t xml:space="preserve">valeur le contenu thématique, avec la création en 2020 de pages thématiques consacrées au </w:t>
      </w:r>
      <w:hyperlink r:id="rId27" w:history="1">
        <w:r w:rsidRPr="00066CC7">
          <w:rPr>
            <w:rStyle w:val="Hyperlink"/>
            <w:rFonts w:asciiTheme="minorBidi" w:hAnsiTheme="minorBidi"/>
          </w:rPr>
          <w:t>patrimoine vivant dans les situations d’urgence</w:t>
        </w:r>
      </w:hyperlink>
      <w:r w:rsidRPr="00066CC7">
        <w:rPr>
          <w:rFonts w:asciiTheme="minorBidi" w:hAnsiTheme="minorBidi"/>
        </w:rPr>
        <w:t xml:space="preserve"> et au lien entre </w:t>
      </w:r>
      <w:hyperlink r:id="rId28" w:history="1">
        <w:r w:rsidRPr="00066CC7">
          <w:rPr>
            <w:rStyle w:val="Hyperlink"/>
            <w:rFonts w:asciiTheme="minorBidi" w:hAnsiTheme="minorBidi"/>
          </w:rPr>
          <w:t>patrimoine vivant et éducation</w:t>
        </w:r>
      </w:hyperlink>
      <w:r w:rsidRPr="00066CC7">
        <w:rPr>
          <w:rFonts w:asciiTheme="minorBidi" w:hAnsiTheme="minorBidi"/>
        </w:rPr>
        <w:t xml:space="preserve">. Une série d’articles sur les Journées internationales a été publiée afin de renforcer le lien entre les initiatives en matière de patrimoine vivant et les efforts de communication des Nations Unies. L’exposition « Sons du patrimoine vivant : voyage à travers les langues autochtones », initialement lancée en 2019, est actuellement présentée dans les halls du siège de l’UNESCO, en amont de la </w:t>
      </w:r>
      <w:bookmarkStart w:id="0" w:name="_Hlk89165687"/>
      <w:r w:rsidRPr="00066CC7">
        <w:rPr>
          <w:rFonts w:asciiTheme="minorBidi" w:hAnsiTheme="minorBidi"/>
        </w:rPr>
        <w:t>Décennie internationale des langues autochtones 2022-203</w:t>
      </w:r>
      <w:r w:rsidR="00DF5EEF" w:rsidRPr="00066CC7">
        <w:rPr>
          <w:rFonts w:asciiTheme="minorBidi" w:hAnsiTheme="minorBidi"/>
        </w:rPr>
        <w:t>2</w:t>
      </w:r>
      <w:r w:rsidRPr="00066CC7">
        <w:rPr>
          <w:rFonts w:asciiTheme="minorBidi" w:hAnsiTheme="minorBidi"/>
        </w:rPr>
        <w:t>.</w:t>
      </w:r>
    </w:p>
    <w:bookmarkEnd w:id="0"/>
    <w:p w14:paraId="0B405391" w14:textId="5F61D0C8" w:rsidR="0033689E" w:rsidRPr="00066CC7" w:rsidRDefault="0033689E" w:rsidP="009657E7">
      <w:pPr>
        <w:pStyle w:val="COMPara"/>
        <w:keepNext/>
        <w:numPr>
          <w:ilvl w:val="0"/>
          <w:numId w:val="6"/>
        </w:numPr>
        <w:spacing w:before="240"/>
        <w:ind w:left="567" w:hanging="425"/>
        <w:jc w:val="both"/>
        <w:rPr>
          <w:rFonts w:asciiTheme="minorBidi" w:hAnsiTheme="minorBidi" w:cstheme="minorBidi"/>
          <w:b/>
          <w:bCs/>
        </w:rPr>
      </w:pPr>
      <w:r w:rsidRPr="00066CC7">
        <w:rPr>
          <w:rFonts w:asciiTheme="minorBidi" w:hAnsiTheme="minorBidi"/>
          <w:b/>
        </w:rPr>
        <w:t>Initiatives thématiques</w:t>
      </w:r>
    </w:p>
    <w:p w14:paraId="0E24C16C" w14:textId="71E687B4" w:rsidR="00FF7943" w:rsidRPr="00066CC7" w:rsidRDefault="00FF7943" w:rsidP="004710D7">
      <w:pPr>
        <w:pStyle w:val="COMPara"/>
        <w:ind w:left="567" w:hanging="567"/>
        <w:jc w:val="both"/>
        <w:rPr>
          <w:rFonts w:asciiTheme="minorBidi" w:eastAsiaTheme="minorEastAsia" w:hAnsiTheme="minorBidi" w:cstheme="minorBidi"/>
        </w:rPr>
      </w:pPr>
      <w:r w:rsidRPr="00066CC7">
        <w:rPr>
          <w:rFonts w:asciiTheme="minorBidi" w:hAnsiTheme="minorBidi"/>
        </w:rPr>
        <w:t xml:space="preserve">Conformément au Projet de stratégie à moyen terme de l’UNESCO pour 2022-2029 (41C/4), aux </w:t>
      </w:r>
      <w:r w:rsidR="00B833F2" w:rsidRPr="00066CC7">
        <w:rPr>
          <w:rFonts w:asciiTheme="minorBidi" w:hAnsiTheme="minorBidi"/>
        </w:rPr>
        <w:t>d</w:t>
      </w:r>
      <w:r w:rsidRPr="00066CC7">
        <w:rPr>
          <w:rFonts w:asciiTheme="minorBidi" w:hAnsiTheme="minorBidi"/>
        </w:rPr>
        <w:t>irectives opérationnelles de la Convention (chapitre VI) et à la décision du Comité soulignant l’importance de mettre en avant le rôle du patrimoine vivant dans la durabilité</w:t>
      </w:r>
      <w:bookmarkStart w:id="1" w:name="_Ref88177584"/>
      <w:r w:rsidR="00635B5A" w:rsidRPr="00066CC7">
        <w:rPr>
          <w:rStyle w:val="FootnoteReference"/>
          <w:rFonts w:asciiTheme="minorBidi" w:eastAsiaTheme="minorEastAsia" w:hAnsiTheme="minorBidi" w:cstheme="minorBidi"/>
          <w:lang w:eastAsia="zh-CN"/>
        </w:rPr>
        <w:footnoteReference w:id="9"/>
      </w:r>
      <w:bookmarkEnd w:id="1"/>
      <w:r w:rsidRPr="00066CC7">
        <w:t>,</w:t>
      </w:r>
      <w:r w:rsidRPr="00066CC7">
        <w:rPr>
          <w:rFonts w:asciiTheme="minorBidi" w:hAnsiTheme="minorBidi"/>
        </w:rPr>
        <w:t xml:space="preserve"> le Secrétariat a entrepris des efforts dans des domaines thématiques spécifiques en vue de favoriser une approche globale de la sauvegarde du patrimoine et du développement durable. Ces efforts répondent également aux préoccupations soulevées par les parties prenantes interrogées dans le cadre de l’Évaluation de l’IOS et à la Recommandation 3 de l’IOS qui préconise d’intensifier les efforts dans les domaines thématiques prioritaires.</w:t>
      </w:r>
    </w:p>
    <w:p w14:paraId="065B8A51" w14:textId="48B686B3" w:rsidR="004710D7" w:rsidRPr="00066CC7" w:rsidRDefault="004710D7" w:rsidP="004710D7">
      <w:pPr>
        <w:pStyle w:val="COMPara"/>
        <w:ind w:left="567" w:hanging="567"/>
        <w:jc w:val="both"/>
        <w:rPr>
          <w:rFonts w:asciiTheme="minorBidi" w:eastAsiaTheme="minorEastAsia" w:hAnsiTheme="minorBidi" w:cstheme="minorBidi"/>
        </w:rPr>
      </w:pPr>
      <w:r w:rsidRPr="00066CC7">
        <w:rPr>
          <w:rFonts w:asciiTheme="minorBidi" w:hAnsiTheme="minorBidi"/>
          <w:b/>
          <w:bCs/>
        </w:rPr>
        <w:t>Patrimoine culturel immatériel et changement climatique :</w:t>
      </w:r>
      <w:r w:rsidRPr="00066CC7">
        <w:rPr>
          <w:rFonts w:asciiTheme="minorBidi" w:hAnsiTheme="minorBidi"/>
          <w:b/>
        </w:rPr>
        <w:t xml:space="preserve"> </w:t>
      </w:r>
      <w:r w:rsidRPr="00066CC7">
        <w:rPr>
          <w:rFonts w:asciiTheme="minorBidi" w:hAnsiTheme="minorBidi"/>
        </w:rPr>
        <w:t xml:space="preserve">la relation entre le patrimoine culturel immatériel et le changement climatique, et notamment les catastrophes d’origine climatique, constitue un nouveau sujet de préoccupation. </w:t>
      </w:r>
      <w:r w:rsidRPr="00066CC7">
        <w:t>À cet égard, et en réponse à la demande du Comité de mieux mettre en avant les liens entre le patrimoine culturel immatériel et la durabilité environnementale</w:t>
      </w:r>
      <w:r w:rsidR="005C0B46" w:rsidRPr="00066CC7">
        <w:rPr>
          <w:rFonts w:asciiTheme="minorBidi" w:hAnsiTheme="minorBidi" w:cstheme="minorBidi"/>
          <w:vertAlign w:val="superscript"/>
        </w:rPr>
        <w:fldChar w:fldCharType="begin"/>
      </w:r>
      <w:r w:rsidR="005C0B46" w:rsidRPr="00066CC7">
        <w:rPr>
          <w:rFonts w:asciiTheme="minorBidi" w:hAnsiTheme="minorBidi" w:cstheme="minorBidi"/>
          <w:vertAlign w:val="superscript"/>
        </w:rPr>
        <w:instrText xml:space="preserve"> NOTEREF _Ref88177584 \h  \* MERGEFORMAT </w:instrText>
      </w:r>
      <w:r w:rsidR="005C0B46" w:rsidRPr="00066CC7">
        <w:rPr>
          <w:rFonts w:asciiTheme="minorBidi" w:hAnsiTheme="minorBidi" w:cstheme="minorBidi"/>
          <w:vertAlign w:val="superscript"/>
        </w:rPr>
      </w:r>
      <w:r w:rsidR="005C0B46" w:rsidRPr="00066CC7">
        <w:rPr>
          <w:rFonts w:asciiTheme="minorBidi" w:hAnsiTheme="minorBidi" w:cstheme="minorBidi"/>
          <w:vertAlign w:val="superscript"/>
        </w:rPr>
        <w:fldChar w:fldCharType="separate"/>
      </w:r>
      <w:r w:rsidR="00DF5EEF" w:rsidRPr="00066CC7">
        <w:rPr>
          <w:rFonts w:asciiTheme="minorBidi" w:hAnsiTheme="minorBidi" w:cstheme="minorBidi"/>
          <w:vertAlign w:val="superscript"/>
        </w:rPr>
        <w:t>9</w:t>
      </w:r>
      <w:r w:rsidR="005C0B46" w:rsidRPr="00066CC7">
        <w:rPr>
          <w:rFonts w:asciiTheme="minorBidi" w:hAnsiTheme="minorBidi" w:cstheme="minorBidi"/>
          <w:vertAlign w:val="superscript"/>
        </w:rPr>
        <w:fldChar w:fldCharType="end"/>
      </w:r>
      <w:r w:rsidRPr="00066CC7">
        <w:rPr>
          <w:rFonts w:asciiTheme="minorBidi" w:hAnsiTheme="minorBidi"/>
        </w:rPr>
        <w:t>, le Secrétariat a entamé une collaboration avec des experts pour rédiger une note de synthèse visant à consolider les connaissances existantes et à fournir des conseils sur le renforcement des pratiques de sauvegarde dans le contexte du changement climatique. Cette note de synthèse devrait être prête en 2022 et servira de base aux futurs travaux dans ce domaine.</w:t>
      </w:r>
    </w:p>
    <w:p w14:paraId="50616606" w14:textId="7DE266B6" w:rsidR="0033689E" w:rsidRPr="00066CC7" w:rsidRDefault="0033689E" w:rsidP="004A39C7">
      <w:pPr>
        <w:pStyle w:val="COMPara"/>
        <w:ind w:left="567" w:hanging="567"/>
        <w:jc w:val="both"/>
        <w:rPr>
          <w:rFonts w:asciiTheme="minorBidi" w:eastAsiaTheme="minorEastAsia" w:hAnsiTheme="minorBidi" w:cstheme="minorBidi"/>
        </w:rPr>
      </w:pPr>
      <w:r w:rsidRPr="00066CC7">
        <w:rPr>
          <w:rFonts w:asciiTheme="minorBidi" w:hAnsiTheme="minorBidi"/>
          <w:b/>
          <w:bCs/>
        </w:rPr>
        <w:t>Patrimoine culturel immatériel et commercialisation :</w:t>
      </w:r>
      <w:r w:rsidRPr="00066CC7">
        <w:rPr>
          <w:rFonts w:asciiTheme="minorBidi" w:hAnsiTheme="minorBidi"/>
        </w:rPr>
        <w:t xml:space="preserve"> conformément à la demande du Comité d’élaborer une note d’orientation sur les mesures de sauvegarde et les bonnes pratiques qui traite du risque de décontextualisation et de commercialisation excessive du patrimoine culturel immatériel</w:t>
      </w:r>
      <w:r w:rsidR="00635B5A" w:rsidRPr="00066CC7">
        <w:rPr>
          <w:rStyle w:val="FootnoteReference"/>
          <w:rFonts w:asciiTheme="minorBidi" w:hAnsiTheme="minorBidi" w:cstheme="minorBidi"/>
        </w:rPr>
        <w:footnoteReference w:id="10"/>
      </w:r>
      <w:r w:rsidRPr="00066CC7">
        <w:rPr>
          <w:rFonts w:asciiTheme="minorBidi" w:hAnsiTheme="minorBidi"/>
        </w:rPr>
        <w:t>, le Secrétariat a entrepris une analyse des recommandations de l’Organe d’évaluation à cet égard, qui sera incluse dans la note d’orientation. En dehors de la préparation de la note d’orientation pour les États et les communautés, les activités menées dans ce domaine incluront des recherches documentaires, l’identification d’experts, l’élaboration d’études de cas et le lancement d’une enquête auprès des points focaux de la Convention au niveau national ainsi que des personnes contact associées aux éléments inscrits sur les Listes de la Convention de façon à rassembler des données sur les effets positifs et négatifs de la commercialisation sur la viabilité du patrimoine vivant, ainsi que pour définir des mesures visant à prévenir et à atténuer les impacts négatifs, en vue du partage des bonnes pratiques.</w:t>
      </w:r>
    </w:p>
    <w:p w14:paraId="22B09D46" w14:textId="66165C63" w:rsidR="004710D7" w:rsidRPr="00066CC7" w:rsidRDefault="004710D7" w:rsidP="003C750F">
      <w:pPr>
        <w:pStyle w:val="COMPara"/>
        <w:ind w:left="567" w:hanging="567"/>
        <w:jc w:val="both"/>
        <w:rPr>
          <w:rFonts w:asciiTheme="minorBidi" w:eastAsiaTheme="minorEastAsia" w:hAnsiTheme="minorBidi" w:cstheme="minorBidi"/>
        </w:rPr>
      </w:pPr>
      <w:r w:rsidRPr="00066CC7">
        <w:rPr>
          <w:rFonts w:asciiTheme="minorBidi" w:hAnsiTheme="minorBidi"/>
          <w:b/>
        </w:rPr>
        <w:t>Le patrimoine culturel immatériel dans les contextes urbains </w:t>
      </w:r>
      <w:r w:rsidRPr="00066CC7">
        <w:rPr>
          <w:rFonts w:asciiTheme="minorBidi" w:hAnsiTheme="minorBidi"/>
        </w:rPr>
        <w:t xml:space="preserve">: un troisième domaine d’intérêt concerne la sauvegarde du patrimoine vivant dans les contextes urbains et son rôle dans le développement de villes durables, conformément à l’Objectif de développement durable 11, ainsi que l’impact de l’urbanisation sur sa viabilité. À cet égard, le Secrétariat prépare actuellement un exposé de position inspiré de la mise en œuvre depuis 2018 d’un projet extrabudgétaire financé par le secteur privé en Chine. Dans le cadre de sa deuxième phase, deux projets pilotes – l’un à Ayacucho (Pérou) et l’autre à Tbilissi (Géorgie) – ont été mis en œuvre avec succès au cours de la période considérée. En raison des restrictions sanitaires imposées par la pandémie de COVID-19, les ateliers de renforcement des capacités, le travail d’inventaire communautaire et les activités de sensibilisation ont été adaptés et mis en œuvre selon des modalités hybrides. Parmi les résultats concrets de ces projets, on peut citer le </w:t>
      </w:r>
      <w:hyperlink r:id="rId29" w:history="1">
        <w:r w:rsidRPr="00066CC7">
          <w:rPr>
            <w:rStyle w:val="Hyperlink"/>
            <w:rFonts w:asciiTheme="minorBidi" w:hAnsiTheme="minorBidi"/>
          </w:rPr>
          <w:t xml:space="preserve">Guide méthodologique pour la préparation d’inventaires du patrimoine </w:t>
        </w:r>
        <w:r w:rsidRPr="00066CC7">
          <w:rPr>
            <w:rStyle w:val="Hyperlink"/>
            <w:rFonts w:asciiTheme="minorBidi" w:hAnsiTheme="minorBidi"/>
          </w:rPr>
          <w:lastRenderedPageBreak/>
          <w:t>immatériel dans les contextes urbains</w:t>
        </w:r>
      </w:hyperlink>
      <w:r w:rsidRPr="00066CC7">
        <w:rPr>
          <w:rFonts w:asciiTheme="minorBidi" w:hAnsiTheme="minorBidi"/>
        </w:rPr>
        <w:t xml:space="preserve"> (Pérou) et la réalisation de vingt-et-une vidéos de courte durée sur le patrimoine vivant du vieux Tbilissi, qui ont été diffusées lors d’un festival du film en ligne consacré à ce sujet (Géorgie). Deux autres projets pilotes devraient être menés à Irbid (Jordanie) et en Chine (ville à confirmer) de 2021 à 2022, avant un atelier de synthèse qui aura lieu au cours du premier semestre 2022.</w:t>
      </w:r>
    </w:p>
    <w:p w14:paraId="1940477F" w14:textId="41D2F0E8" w:rsidR="00AB6288" w:rsidRPr="00066CC7" w:rsidRDefault="00AB6288" w:rsidP="00FA0871">
      <w:pPr>
        <w:pStyle w:val="COMPara"/>
        <w:numPr>
          <w:ilvl w:val="0"/>
          <w:numId w:val="6"/>
        </w:numPr>
        <w:spacing w:before="240"/>
        <w:ind w:left="567" w:hanging="425"/>
        <w:jc w:val="both"/>
        <w:rPr>
          <w:rFonts w:asciiTheme="minorBidi" w:hAnsiTheme="minorBidi" w:cstheme="minorBidi"/>
          <w:b/>
          <w:bCs/>
        </w:rPr>
      </w:pPr>
      <w:r w:rsidRPr="00066CC7">
        <w:rPr>
          <w:rFonts w:asciiTheme="minorBidi" w:hAnsiTheme="minorBidi"/>
          <w:b/>
        </w:rPr>
        <w:t>Synergies avec d’autres conventions culturelles</w:t>
      </w:r>
    </w:p>
    <w:p w14:paraId="35AA0F0E" w14:textId="71158F45" w:rsidR="00AD0B69" w:rsidRPr="00066CC7" w:rsidRDefault="00AE12BD" w:rsidP="00AD0B69">
      <w:pPr>
        <w:pStyle w:val="COMPara"/>
        <w:ind w:left="567" w:hanging="567"/>
        <w:jc w:val="both"/>
        <w:rPr>
          <w:rFonts w:asciiTheme="minorBidi" w:hAnsiTheme="minorBidi" w:cstheme="minorBidi"/>
        </w:rPr>
      </w:pPr>
      <w:r w:rsidRPr="00066CC7">
        <w:rPr>
          <w:rFonts w:asciiTheme="minorBidi" w:hAnsiTheme="minorBidi"/>
        </w:rPr>
        <w:t>Le Secrétariat a collaboré avec le Secrétariat de la Convention de La Haye de 1954 et ses deux Protocoles en vue de préparer un document de réflexion sur les synergies en matière de sauvegarde du patrimoine culturel immatériel dans les situations d’urgence</w:t>
      </w:r>
      <w:r w:rsidR="00464158" w:rsidRPr="00066CC7">
        <w:rPr>
          <w:rStyle w:val="FootnoteReference"/>
          <w:rFonts w:asciiTheme="minorBidi" w:hAnsiTheme="minorBidi" w:cstheme="minorBidi"/>
        </w:rPr>
        <w:footnoteReference w:id="11"/>
      </w:r>
      <w:r w:rsidRPr="00066CC7">
        <w:rPr>
          <w:rFonts w:asciiTheme="minorBidi" w:hAnsiTheme="minorBidi"/>
        </w:rPr>
        <w:t>. Ce document d’information sera porté à l’attention du Comité pour la protection des biens culturels en cas de conflit armé lors de sa seizième réunion en décembre 2021. Parmi les voies à suivre dans l’immédiat, il est proposé de renforcer les capacités de ces acteurs à rendre opérationnels les Principes et modalités opérationnels pour la sauvegarde du patrimoine culturel immatériel dans les situations d’urgence et à sensibiliser les parties prenantes concernées à leur importance.</w:t>
      </w:r>
    </w:p>
    <w:p w14:paraId="3C842049" w14:textId="31578816" w:rsidR="00AD0B69" w:rsidRPr="00066CC7" w:rsidRDefault="00BE7841" w:rsidP="00AD0B69">
      <w:pPr>
        <w:pStyle w:val="COMPara"/>
        <w:ind w:left="567" w:hanging="567"/>
        <w:jc w:val="both"/>
        <w:rPr>
          <w:rFonts w:asciiTheme="minorBidi" w:hAnsiTheme="minorBidi" w:cstheme="minorBidi"/>
        </w:rPr>
      </w:pPr>
      <w:r w:rsidRPr="00066CC7">
        <w:rPr>
          <w:rFonts w:asciiTheme="minorBidi" w:hAnsiTheme="minorBidi"/>
        </w:rPr>
        <w:t>Les liens avec la Convention du patrimoine mondial de 1972 sont particulièrement mis en avant dans les projets opérationnels menés dans ce domaine. Seul un aperçu partiel peut être fourni ici étant donné le large rayon d’action de ces projets, mais les initiatives de l’UNESCO visent, par exemple, à promouvoir le patrimoine vivant et à développer le tourisme culturel dans des biens du patrimoine mondial (Inde, bureau de Delhi), à réaliser un inventaire du patrimoine culturel immatériel dans des contextes urbains (Malaisie, siège et bureau de Bangkok), et à sensibiliser et former de jeunes professionnels à la sauvegarde du patrimoine culturel matériel et immatériel dans le cadre d’un projet conjointement mis en œuvre en Europe avec le Centre du patrimoine mondial (siège et bureau de Venise).</w:t>
      </w:r>
    </w:p>
    <w:p w14:paraId="4C472617" w14:textId="02E3319D" w:rsidR="00182C3D" w:rsidRPr="00066CC7" w:rsidRDefault="00182C3D" w:rsidP="00182C3D">
      <w:pPr>
        <w:pStyle w:val="COMPara"/>
        <w:ind w:left="567" w:hanging="567"/>
        <w:jc w:val="both"/>
        <w:rPr>
          <w:rFonts w:asciiTheme="minorBidi" w:hAnsiTheme="minorBidi" w:cstheme="minorBidi"/>
        </w:rPr>
      </w:pPr>
      <w:r w:rsidRPr="00066CC7">
        <w:rPr>
          <w:rFonts w:asciiTheme="minorBidi" w:hAnsiTheme="minorBidi"/>
        </w:rPr>
        <w:t>Les synergies avec la Convention de 2005 sur la protection et la promotion de la diversité des expressions culturelles sont pareillement renforcées dans le domaine par l’intermédiaire de projets axés sur la sauvegarde de l’artisanat dans le contexte du changement climatique (Maroc, bureau de Rabat), la création de centres artisanaux et culturels ruraux dans le Bengale-Occidental (Inde, bureau de Delhi) ou le soutien à la transmission de savoir-faire musicaux aux jeunes (Maroc, bureau de Rabat).</w:t>
      </w:r>
    </w:p>
    <w:p w14:paraId="35A2CF35" w14:textId="73628AEB" w:rsidR="008B1960" w:rsidRPr="00066CC7" w:rsidRDefault="008B1960" w:rsidP="008B1960">
      <w:pPr>
        <w:pStyle w:val="COMPara"/>
        <w:ind w:left="567" w:hanging="567"/>
        <w:jc w:val="both"/>
        <w:rPr>
          <w:rFonts w:asciiTheme="minorBidi" w:hAnsiTheme="minorBidi" w:cstheme="minorBidi"/>
        </w:rPr>
      </w:pPr>
      <w:r w:rsidRPr="00066CC7">
        <w:rPr>
          <w:rFonts w:asciiTheme="minorBidi" w:hAnsiTheme="minorBidi"/>
        </w:rPr>
        <w:t>En 2021, le Secrétariat a participé au groupe de travail sectoriel sur l’établissement d’un règlement intérieur modèle pour les assemblées/conférences des Parties aux conventions/protocoles de l’UNESCO en matière de culture. Les résultats de ces réunions ont été présentés à la quarante-et-unième session de la Conférence générale de l’UNESCO.</w:t>
      </w:r>
    </w:p>
    <w:p w14:paraId="76C92B93" w14:textId="11057403" w:rsidR="00496D24" w:rsidRPr="00066CC7" w:rsidRDefault="00496D24" w:rsidP="00FA0871">
      <w:pPr>
        <w:pStyle w:val="COMPara"/>
        <w:numPr>
          <w:ilvl w:val="0"/>
          <w:numId w:val="6"/>
        </w:numPr>
        <w:spacing w:before="240"/>
        <w:ind w:left="567" w:hanging="425"/>
        <w:jc w:val="both"/>
        <w:rPr>
          <w:rFonts w:asciiTheme="minorBidi" w:hAnsiTheme="minorBidi" w:cstheme="minorBidi"/>
          <w:b/>
          <w:bCs/>
        </w:rPr>
      </w:pPr>
      <w:r w:rsidRPr="00066CC7">
        <w:rPr>
          <w:rFonts w:asciiTheme="minorBidi" w:hAnsiTheme="minorBidi"/>
          <w:b/>
        </w:rPr>
        <w:t>Principaux défis et voies à suivre</w:t>
      </w:r>
    </w:p>
    <w:p w14:paraId="3F10CA90" w14:textId="3EE59D01" w:rsidR="009B0BCE" w:rsidRPr="00066CC7" w:rsidRDefault="00B63B65" w:rsidP="002577F9">
      <w:pPr>
        <w:pStyle w:val="COMPara"/>
        <w:ind w:left="567" w:hanging="567"/>
        <w:jc w:val="both"/>
        <w:rPr>
          <w:rFonts w:asciiTheme="minorBidi" w:hAnsiTheme="minorBidi" w:cstheme="minorBidi"/>
        </w:rPr>
      </w:pPr>
      <w:r w:rsidRPr="00066CC7">
        <w:rPr>
          <w:rFonts w:asciiTheme="minorBidi" w:hAnsiTheme="minorBidi"/>
        </w:rPr>
        <w:t xml:space="preserve">La période de dix-huit mois considérée dans ce rapport a été en grande partie marquée par la pandémie de COVID-19, qui a brutalement mis en relief la valeur du patrimoine culturel immatériel et l’importance que les communautés attachent à sa pratique et son expression continue. L’impact de la pandémie a été considérable, mettant les communautés à rude épreuve à bien des égards dans la quasi-totalité des régions du monde. Si cet impact a souvent et d’abord été négatif, la crise a aussi démontré les capacités des communautés à adapter leur pratique du patrimoine vivant et à mobiliser leur patrimoine pour leur propre résilience. Dans ce contexte, le travail des organes directeurs et du Secrétariat a été perturbé par les incertitudes entourant les différentes modalités par lesquelles les parties prenantes de la Convention pourraient interagir. Alors que la crise persiste, il convient de noter que les organes directeurs de la Convention, les mécanismes statutaires et les principales initiatives opérationnelles de la Convention, soutenus par le Secrétariat, se sont poursuivis sans interruption, ce qui a permis de préserver l’équité au niveau des décideurs et de la répartition régionale des parties prenantes concernées, conformément aux dispositions des </w:t>
      </w:r>
      <w:r w:rsidR="00B833F2" w:rsidRPr="00066CC7">
        <w:rPr>
          <w:rFonts w:asciiTheme="minorBidi" w:hAnsiTheme="minorBidi"/>
        </w:rPr>
        <w:t>d</w:t>
      </w:r>
      <w:r w:rsidRPr="00066CC7">
        <w:rPr>
          <w:rFonts w:asciiTheme="minorBidi" w:hAnsiTheme="minorBidi"/>
        </w:rPr>
        <w:t xml:space="preserve">irectives opérationnelles. Cela a prouvé que la structure statutaire mise en place était à la fois assez </w:t>
      </w:r>
      <w:r w:rsidRPr="00066CC7">
        <w:rPr>
          <w:rFonts w:asciiTheme="minorBidi" w:hAnsiTheme="minorBidi"/>
        </w:rPr>
        <w:lastRenderedPageBreak/>
        <w:t>solide pour supporter l’impact de la crise et assez souple pour s’adapter aux circonstances défavorables. Des moyens novateurs ont été utilisés pour conserver la possibilité de travailler en collaboration et des outils numériques ont été développés, certains offrant de nouvelles possibilités qui pourraient rester en place dans un environnement post-pandémie.</w:t>
      </w:r>
    </w:p>
    <w:p w14:paraId="5E3DCA86" w14:textId="36A0D5C4" w:rsidR="008622E1" w:rsidRPr="00066CC7" w:rsidRDefault="009671CE" w:rsidP="00C9235A">
      <w:pPr>
        <w:pStyle w:val="COMPara"/>
        <w:ind w:left="567" w:hanging="567"/>
        <w:jc w:val="both"/>
        <w:rPr>
          <w:rFonts w:asciiTheme="minorBidi" w:hAnsiTheme="minorBidi" w:cstheme="minorBidi"/>
        </w:rPr>
      </w:pPr>
      <w:r w:rsidRPr="00066CC7">
        <w:rPr>
          <w:rFonts w:asciiTheme="minorBidi" w:hAnsiTheme="minorBidi"/>
        </w:rPr>
        <w:t>La Convention continue de développer et d’élargir sa portée. Comme l’a souligné l’IOS dans son évaluation, la mise en œuvre de la Convention « a connu de nombreuses réformes et transformations qui ont considérablement renforcé le soutien de l’Organisation aux États membres, aux partenaires et aux communautés »</w:t>
      </w:r>
      <w:r w:rsidR="008622E1" w:rsidRPr="00066CC7">
        <w:rPr>
          <w:rStyle w:val="FootnoteReference"/>
          <w:rFonts w:asciiTheme="minorBidi" w:hAnsiTheme="minorBidi" w:cstheme="minorBidi"/>
        </w:rPr>
        <w:footnoteReference w:id="12"/>
      </w:r>
      <w:r w:rsidRPr="00066CC7">
        <w:rPr>
          <w:rFonts w:asciiTheme="minorBidi" w:hAnsiTheme="minorBidi"/>
        </w:rPr>
        <w:t>. Néanmoins, s’il va de soi que le développement de la Convention est un signe positif au regard de la sensibilisation accrue au patrimoine culturel immatériel dans différents domaines, il se traduit également par une demande accrue de soutien de l’UNESCO aux États parties. Compte tenu des ressources limitées du Secrétariat, il est important de conserver un niveau de soutien de qualité élevée aux organes directeurs, aux États et aux communautés, conformément à la Recommandation 1 de l’IOS qui préconise que « [d]es décisions stratégiques sur les priorités, notamment sur la nécessité de se concentrer sur le soutien aux programmes par rapport aux exigences statutaires et sur l’utilisation de ses ressources limitées, [soient] prises dans un avenir proche »</w:t>
      </w:r>
      <w:r w:rsidR="000175CA" w:rsidRPr="00066CC7">
        <w:rPr>
          <w:rStyle w:val="FootnoteReference"/>
          <w:rFonts w:asciiTheme="minorBidi" w:hAnsiTheme="minorBidi" w:cstheme="minorBidi"/>
        </w:rPr>
        <w:footnoteReference w:id="13"/>
      </w:r>
      <w:r w:rsidRPr="00066CC7">
        <w:rPr>
          <w:rFonts w:asciiTheme="minorBidi" w:hAnsiTheme="minorBidi"/>
        </w:rPr>
        <w:t>.</w:t>
      </w:r>
    </w:p>
    <w:p w14:paraId="187CB848" w14:textId="6410A351" w:rsidR="009671CE" w:rsidRPr="00066CC7" w:rsidRDefault="009671CE" w:rsidP="00C9235A">
      <w:pPr>
        <w:pStyle w:val="COMPara"/>
        <w:ind w:left="567" w:hanging="567"/>
        <w:jc w:val="both"/>
        <w:rPr>
          <w:rFonts w:asciiTheme="minorBidi" w:hAnsiTheme="minorBidi" w:cstheme="minorBidi"/>
        </w:rPr>
      </w:pPr>
      <w:r w:rsidRPr="00066CC7">
        <w:rPr>
          <w:rFonts w:asciiTheme="minorBidi" w:hAnsiTheme="minorBidi"/>
        </w:rPr>
        <w:t xml:space="preserve">La poursuite de la réflexion mondiale sur les mécanismes d’inscription sur les Listes et la mise en œuvre de ses résultats constitueront une priorité pour les années à venir. S’il est vrai que les propositions de révisions des </w:t>
      </w:r>
      <w:r w:rsidR="00B833F2" w:rsidRPr="00066CC7">
        <w:rPr>
          <w:rFonts w:asciiTheme="minorBidi" w:hAnsiTheme="minorBidi"/>
        </w:rPr>
        <w:t>d</w:t>
      </w:r>
      <w:r w:rsidRPr="00066CC7">
        <w:rPr>
          <w:rFonts w:asciiTheme="minorBidi" w:hAnsiTheme="minorBidi"/>
        </w:rPr>
        <w:t>irectives opérationnelles qui seront examinées par le Comité lors de la présente session (point 14) devraient renforcer la crédibilité des mécanismes d’inscription sur les Listes, la mise en place de nouvelles procédures ne se fera pas sans difficulté pour les États, les communautés, l’Organe d’évaluation et le Secrétariat. Il est d’ores et déjà prévu de poursuivre cette réflexion, grâce au soutien de la Suède, en mettant l’accent sur la mise en œuvre plus vaste de l’article 18 de la Convention. En outre, il est également prévu que la mise en œuvre accrue des mécanismes d’assistance internationale, avec un système de suivi et d’évaluation renforcé (point 13), soit un domaine d’action prioritaire au cours du prochain exercice biennal.</w:t>
      </w:r>
    </w:p>
    <w:p w14:paraId="5382824D" w14:textId="3B2CDC4E" w:rsidR="00805FD2" w:rsidRPr="00066CC7" w:rsidRDefault="00DE7B9B" w:rsidP="00DE7B9B">
      <w:pPr>
        <w:pStyle w:val="COMPara"/>
        <w:ind w:left="567" w:hanging="567"/>
        <w:jc w:val="both"/>
        <w:rPr>
          <w:rFonts w:asciiTheme="minorBidi" w:hAnsiTheme="minorBidi" w:cstheme="minorBidi"/>
        </w:rPr>
      </w:pPr>
      <w:r w:rsidRPr="00066CC7">
        <w:rPr>
          <w:rFonts w:asciiTheme="minorBidi" w:hAnsiTheme="minorBidi"/>
        </w:rPr>
        <w:t>Les demandes relatives au programme de renforcement des capacités restent fortes et continuent de dépasser les capacités d’exécution. L’émergence de la crise de la COVID-19 et les restrictions qui y sont liées ont clairement montré que le programme de renforcement des capacités devait s’adapter, en recherchant des moyens créatifs et innovants pour exécuter le programme dans un environnement en ligne. Le programme a piloté avec succès de nouveaux formats d’exécution en ligne et hybrides. En s’appuyant sur ces enseignements, le Secrétariat a l’intention de continuer à réorienter le programme afin d’inclure une approche d’exécution multimodale, offrant ainsi des possibilités pour étendre la portée du programme à de nouveaux publics et exploiter une pédagogie innovante, tout en assurant sa rentabilité. Ces démarches visant à soutenir le programme de renforcement des capacités seront effectuées en complément d’actions destinées à faciliter l’accès des États parties à l’assistance internationale du Fonds du patrimoine culturel immatériel.</w:t>
      </w:r>
    </w:p>
    <w:p w14:paraId="421C3D06" w14:textId="0E1EDBF2" w:rsidR="00DE7B9B" w:rsidRPr="00066CC7" w:rsidRDefault="00805FD2" w:rsidP="00A7219A">
      <w:pPr>
        <w:pStyle w:val="COMPara"/>
        <w:ind w:left="567" w:hanging="567"/>
        <w:jc w:val="both"/>
        <w:rPr>
          <w:rFonts w:asciiTheme="minorBidi" w:hAnsiTheme="minorBidi" w:cstheme="minorBidi"/>
        </w:rPr>
      </w:pPr>
      <w:r w:rsidRPr="00066CC7">
        <w:rPr>
          <w:rFonts w:asciiTheme="minorBidi" w:hAnsiTheme="minorBidi"/>
        </w:rPr>
        <w:t>En ce qui concerne la deuxième priorité de financement relative au patrimoine culturel immatériel et à l’éducation, l’Évaluation de l’IOS a souligné que, si des progrès ont été accomplis grâce à des projets, ils ont tendance à être isolés et locaux. Recadrer le programme et passer à une approche plus stratégique mettant l’accent sur les systèmes éducatifs est indispensable pour favoriser un changement pédagogique et intégrer efficacement les résultats dans le discours national et faire progresser l’Agenda 2030 par l’éducation et la culture. Sur la base de l’évaluation et des enseignements tirés des travaux de fond menés dans des domaines connexes, tels que l’éducation interculturelle, l’éducation des populations autochtones, l’éducation au développement durable, entre autres, l’UNESCO concentrera ses efforts sur l’élargissement et le renforcement du Programme intersectoriel afin d’en accroître l’impact et la durabilité.</w:t>
      </w:r>
    </w:p>
    <w:p w14:paraId="0219F4F6" w14:textId="50E887AA" w:rsidR="00DF0B7B" w:rsidRPr="00066CC7" w:rsidRDefault="00DF0B7B" w:rsidP="00E3326F">
      <w:pPr>
        <w:pStyle w:val="COMPara"/>
        <w:ind w:left="567" w:hanging="567"/>
        <w:jc w:val="both"/>
        <w:rPr>
          <w:rFonts w:asciiTheme="minorBidi" w:hAnsiTheme="minorBidi" w:cstheme="minorBidi"/>
        </w:rPr>
      </w:pPr>
      <w:r w:rsidRPr="00066CC7">
        <w:rPr>
          <w:rFonts w:asciiTheme="minorBidi" w:hAnsiTheme="minorBidi"/>
        </w:rPr>
        <w:lastRenderedPageBreak/>
        <w:t>Les activités de communication et de sensibilisation prévues ont été profondément bouleversées par la pandémie de COVID-19, les efforts portant sur la diffusion de documents et le développement d’outils et d’interfaces afin de recueillir des informations et des données, tout en facilitant la communication entre les parties prenantes. Pour l’avenir, le Secrétariat prévoit d’explorer de nouvelles voies de communication et de sensibilisation ciblant le grand public et les jeunes en particulier, comme le recommande l’Évaluation de l’IOS</w:t>
      </w:r>
      <w:r w:rsidRPr="00066CC7">
        <w:rPr>
          <w:rStyle w:val="FootnoteReference"/>
          <w:rFonts w:asciiTheme="minorBidi" w:hAnsiTheme="minorBidi" w:cstheme="minorBidi"/>
        </w:rPr>
        <w:footnoteReference w:id="14"/>
      </w:r>
      <w:r w:rsidRPr="00066CC7">
        <w:rPr>
          <w:rFonts w:asciiTheme="minorBidi" w:hAnsiTheme="minorBidi"/>
        </w:rPr>
        <w:t>. Au-delà de son harmonisation avec la nouvelle charte graphique de l’UNESCO, le site Web sera restructuré pour mieux raconter les expériences, proposer des approches thématiques et renforcer sa capacité à servir de plateforme d’échange et de communication, en s’appuyant notamment sur le potentiel de communication et de sensibilisation de ses partenaires (centres de catégorie 2, ONG accréditées, chaires UNESCO et institutions nationales).</w:t>
      </w:r>
    </w:p>
    <w:p w14:paraId="6CBF61BF" w14:textId="3DE2E4C5" w:rsidR="00893576" w:rsidRPr="00066CC7" w:rsidRDefault="00440EAF" w:rsidP="00893576">
      <w:pPr>
        <w:pStyle w:val="COMPara"/>
        <w:ind w:left="567" w:hanging="567"/>
        <w:jc w:val="both"/>
        <w:rPr>
          <w:rFonts w:asciiTheme="minorBidi" w:hAnsiTheme="minorBidi" w:cstheme="minorBidi"/>
        </w:rPr>
      </w:pPr>
      <w:r w:rsidRPr="00066CC7">
        <w:rPr>
          <w:rFonts w:asciiTheme="minorBidi" w:hAnsiTheme="minorBidi"/>
        </w:rPr>
        <w:t>S’appuyant sur les incursions faites dans de nouveaux programmes thématiques au cours du dernier exercice biennal, concernant en particulier la sauvegarde du patrimoine culturel immatériel dans les situations d’urgence et l’intégration du patrimoine culturel immatériel dans l’éducation, le Secrétariat intensifiera ses efforts avec la mise en œuvre d’activités opérationnelles pilotes, le développement d’outils de renforcement des capacités et la consolidation des partenariats avec le réseau plus large des institutions et des individus associés à la Convention. En dehors de ces deux thèmes, le travail entrepris pendant la période considérée sur les aspects économiques du patrimoine culturel immatériel et sur le patrimoine culturel immatériel dans les contextes urbains sera poursuivi et approfondi, en sollicitant également la participation des États parties et des communautés associés aux éléments inscrits sur les Listes de la Convention, dans l’idée de renforcer la coopération et l’échange d’informations entre les communautés aux prises avec des problèmes similaires. Dans le cadre de tous ces projets, le Secrétariat aura à l’esprit les initiatives existantes aussi bien au sein de l’Organisation qu’à l’extérieur afin de mettre le patrimoine culturel immatériel au premier plan de ces questions transversales de manière efficace et concertée.</w:t>
      </w:r>
    </w:p>
    <w:p w14:paraId="3BA804B3" w14:textId="20C76349" w:rsidR="004C59C5" w:rsidRPr="00066CC7" w:rsidRDefault="00893576" w:rsidP="00F45BC2">
      <w:pPr>
        <w:pStyle w:val="COMPara"/>
        <w:ind w:left="567" w:hanging="567"/>
        <w:jc w:val="both"/>
        <w:rPr>
          <w:rFonts w:asciiTheme="minorBidi" w:hAnsiTheme="minorBidi" w:cstheme="minorBidi"/>
        </w:rPr>
      </w:pPr>
      <w:r w:rsidRPr="00066CC7">
        <w:rPr>
          <w:rFonts w:asciiTheme="minorBidi" w:hAnsiTheme="minorBidi"/>
        </w:rPr>
        <w:t xml:space="preserve">Nonobstant le potentiel que représentent ces nouveaux développements et initiatives thématiques, il est vital pour le développement futur de la Convention que </w:t>
      </w:r>
      <w:r w:rsidR="00437BDD" w:rsidRPr="00066CC7">
        <w:rPr>
          <w:rFonts w:asciiTheme="minorBidi" w:hAnsiTheme="minorBidi"/>
        </w:rPr>
        <w:t>–</w:t>
      </w:r>
      <w:r w:rsidRPr="00066CC7">
        <w:rPr>
          <w:rFonts w:asciiTheme="minorBidi" w:hAnsiTheme="minorBidi"/>
        </w:rPr>
        <w:t xml:space="preserve"> comme</w:t>
      </w:r>
      <w:r w:rsidR="00437BDD" w:rsidRPr="00066CC7">
        <w:rPr>
          <w:rFonts w:asciiTheme="minorBidi" w:hAnsiTheme="minorBidi"/>
        </w:rPr>
        <w:t xml:space="preserve"> </w:t>
      </w:r>
      <w:r w:rsidRPr="00066CC7">
        <w:rPr>
          <w:rFonts w:asciiTheme="minorBidi" w:hAnsiTheme="minorBidi"/>
        </w:rPr>
        <w:t xml:space="preserve">le note l'évaluation d'IOS dans sa </w:t>
      </w:r>
      <w:r w:rsidR="00437BDD" w:rsidRPr="00066CC7">
        <w:rPr>
          <w:rFonts w:asciiTheme="minorBidi" w:hAnsiTheme="minorBidi"/>
        </w:rPr>
        <w:t>r</w:t>
      </w:r>
      <w:r w:rsidRPr="00066CC7">
        <w:rPr>
          <w:rFonts w:asciiTheme="minorBidi" w:hAnsiTheme="minorBidi"/>
        </w:rPr>
        <w:t xml:space="preserve">ecommandation 1 </w:t>
      </w:r>
      <w:r w:rsidR="00437BDD" w:rsidRPr="00066CC7">
        <w:rPr>
          <w:rFonts w:asciiTheme="minorBidi" w:hAnsiTheme="minorBidi"/>
        </w:rPr>
        <w:t>–</w:t>
      </w:r>
      <w:r w:rsidRPr="00066CC7">
        <w:rPr>
          <w:rFonts w:asciiTheme="minorBidi" w:hAnsiTheme="minorBidi"/>
        </w:rPr>
        <w:t xml:space="preserve"> une</w:t>
      </w:r>
      <w:r w:rsidR="00437BDD" w:rsidRPr="00066CC7">
        <w:rPr>
          <w:rFonts w:asciiTheme="minorBidi" w:hAnsiTheme="minorBidi"/>
        </w:rPr>
        <w:t xml:space="preserve"> </w:t>
      </w:r>
      <w:r w:rsidRPr="00066CC7">
        <w:rPr>
          <w:rFonts w:asciiTheme="minorBidi" w:hAnsiTheme="minorBidi"/>
        </w:rPr>
        <w:t>décision soit prise sur les domaines prioritaires dans lesquels le Secrétariat devrait concentrer ses efforts. Compte tenu des contraintes persistantes en termes de ressources humaines et financières, les organes directeurs de la Convention pourraient juger opportun de faire le point sur cette situation, de fournir des orientations et d'établir des priorités pour les années à venir.</w:t>
      </w:r>
    </w:p>
    <w:p w14:paraId="7C8BC899" w14:textId="165968C6" w:rsidR="003A2D34" w:rsidRPr="00066CC7" w:rsidRDefault="003A2D34" w:rsidP="003E5D22">
      <w:pPr>
        <w:pStyle w:val="COMPara"/>
        <w:numPr>
          <w:ilvl w:val="0"/>
          <w:numId w:val="0"/>
        </w:numPr>
        <w:spacing w:before="240"/>
        <w:ind w:left="567" w:hanging="567"/>
        <w:jc w:val="center"/>
        <w:rPr>
          <w:rFonts w:asciiTheme="minorBidi" w:hAnsiTheme="minorBidi" w:cstheme="minorBidi"/>
        </w:rPr>
      </w:pPr>
      <w:r w:rsidRPr="00066CC7">
        <w:rPr>
          <w:rFonts w:asciiTheme="minorBidi" w:hAnsiTheme="minorBidi"/>
        </w:rPr>
        <w:t>***</w:t>
      </w:r>
    </w:p>
    <w:p w14:paraId="50D3EAFF" w14:textId="4E12E56F" w:rsidR="00D95C4C" w:rsidRPr="00066CC7" w:rsidRDefault="000B1C8F" w:rsidP="000B1C8F">
      <w:pPr>
        <w:pStyle w:val="COMPara"/>
        <w:ind w:left="567" w:hanging="567"/>
        <w:rPr>
          <w:rFonts w:asciiTheme="minorBidi" w:hAnsiTheme="minorBidi" w:cstheme="minorBidi"/>
        </w:rPr>
      </w:pPr>
      <w:r w:rsidRPr="00066CC7">
        <w:rPr>
          <w:rFonts w:asciiTheme="minorBidi" w:hAnsiTheme="minorBidi"/>
        </w:rPr>
        <w:t>Le Comité souhaitera peut-être adopter la décision suivante :</w:t>
      </w:r>
    </w:p>
    <w:p w14:paraId="51047F3B" w14:textId="77777777" w:rsidR="0059752C" w:rsidRPr="00066CC7" w:rsidRDefault="0059752C" w:rsidP="0059752C">
      <w:pPr>
        <w:pStyle w:val="COMTitleDecision"/>
        <w:rPr>
          <w:rFonts w:asciiTheme="minorBidi" w:eastAsia="SimSun" w:hAnsiTheme="minorBidi" w:cstheme="minorBidi"/>
        </w:rPr>
      </w:pPr>
      <w:r w:rsidRPr="00066CC7">
        <w:rPr>
          <w:rFonts w:asciiTheme="minorBidi" w:hAnsiTheme="minorBidi"/>
        </w:rPr>
        <w:t>PROJET DE DÉCISION 16.COM 5.b</w:t>
      </w:r>
    </w:p>
    <w:p w14:paraId="3491E3C9" w14:textId="77777777" w:rsidR="0059752C" w:rsidRPr="00066CC7" w:rsidRDefault="0059752C" w:rsidP="0059752C">
      <w:pPr>
        <w:pStyle w:val="COMPreambulaDecisions"/>
        <w:rPr>
          <w:rFonts w:asciiTheme="minorBidi" w:eastAsia="SimSun" w:hAnsiTheme="minorBidi" w:cstheme="minorBidi"/>
        </w:rPr>
      </w:pPr>
      <w:r w:rsidRPr="00066CC7">
        <w:rPr>
          <w:rFonts w:asciiTheme="minorBidi" w:hAnsiTheme="minorBidi"/>
        </w:rPr>
        <w:t>Le Comité,</w:t>
      </w:r>
    </w:p>
    <w:p w14:paraId="5BDC5854" w14:textId="6AA772B3" w:rsidR="0059752C" w:rsidRPr="00066CC7" w:rsidRDefault="0059752C" w:rsidP="0059752C">
      <w:pPr>
        <w:pStyle w:val="GAParaResolution"/>
        <w:numPr>
          <w:ilvl w:val="0"/>
          <w:numId w:val="7"/>
        </w:numPr>
        <w:ind w:left="1134" w:hanging="567"/>
        <w:rPr>
          <w:rFonts w:asciiTheme="minorBidi" w:hAnsiTheme="minorBidi" w:cstheme="minorBidi"/>
        </w:rPr>
      </w:pPr>
      <w:r w:rsidRPr="00066CC7">
        <w:rPr>
          <w:rFonts w:asciiTheme="minorBidi" w:hAnsiTheme="minorBidi"/>
        </w:rPr>
        <w:t>Ayant examiné</w:t>
      </w:r>
      <w:r w:rsidRPr="00066CC7">
        <w:rPr>
          <w:rFonts w:asciiTheme="minorBidi" w:hAnsiTheme="minorBidi"/>
          <w:u w:val="none"/>
        </w:rPr>
        <w:t xml:space="preserve"> le document LHE/21/16.COM/5.b</w:t>
      </w:r>
      <w:r w:rsidR="0078767E">
        <w:rPr>
          <w:rFonts w:asciiTheme="minorBidi" w:hAnsiTheme="minorBidi"/>
          <w:u w:val="none"/>
        </w:rPr>
        <w:t xml:space="preserve"> Rev.</w:t>
      </w:r>
      <w:r w:rsidR="00893576" w:rsidRPr="00066CC7">
        <w:rPr>
          <w:rFonts w:asciiTheme="minorBidi" w:hAnsiTheme="minorBidi"/>
          <w:u w:val="none"/>
        </w:rPr>
        <w:t xml:space="preserve"> et ses annexes,</w:t>
      </w:r>
    </w:p>
    <w:p w14:paraId="2F358534" w14:textId="46DAA98D" w:rsidR="0059752C" w:rsidRPr="00066CC7" w:rsidRDefault="0059752C" w:rsidP="0059752C">
      <w:pPr>
        <w:pStyle w:val="GAParaResolution"/>
        <w:numPr>
          <w:ilvl w:val="0"/>
          <w:numId w:val="7"/>
        </w:numPr>
        <w:ind w:left="1134" w:hanging="567"/>
        <w:rPr>
          <w:rFonts w:asciiTheme="minorBidi" w:hAnsiTheme="minorBidi" w:cstheme="minorBidi"/>
        </w:rPr>
      </w:pPr>
      <w:r w:rsidRPr="00066CC7">
        <w:rPr>
          <w:rFonts w:asciiTheme="minorBidi" w:hAnsiTheme="minorBidi"/>
        </w:rPr>
        <w:t>Prend note</w:t>
      </w:r>
      <w:r w:rsidRPr="00066CC7">
        <w:rPr>
          <w:rFonts w:asciiTheme="minorBidi" w:hAnsiTheme="minorBidi"/>
          <w:u w:val="none"/>
        </w:rPr>
        <w:t xml:space="preserve"> des profondes répercussions de la pandémie de COVID-19 sur le patrimoine vivant ainsi que ses détenteurs et ses praticiens, </w:t>
      </w:r>
      <w:r w:rsidR="003E5D22" w:rsidRPr="00066CC7">
        <w:rPr>
          <w:rFonts w:asciiTheme="minorBidi" w:hAnsiTheme="minorBidi"/>
        </w:rPr>
        <w:t>salue</w:t>
      </w:r>
      <w:r w:rsidRPr="00066CC7">
        <w:rPr>
          <w:rFonts w:asciiTheme="minorBidi" w:hAnsiTheme="minorBidi"/>
          <w:u w:val="none"/>
        </w:rPr>
        <w:t xml:space="preserve"> les recommandations </w:t>
      </w:r>
      <w:r w:rsidR="003E5D22" w:rsidRPr="00066CC7">
        <w:rPr>
          <w:rFonts w:asciiTheme="minorBidi" w:hAnsiTheme="minorBidi"/>
          <w:u w:val="none"/>
        </w:rPr>
        <w:t>pour préparer la phase de relèvement</w:t>
      </w:r>
      <w:r w:rsidRPr="00066CC7">
        <w:rPr>
          <w:rFonts w:asciiTheme="minorBidi" w:hAnsiTheme="minorBidi"/>
          <w:u w:val="none"/>
        </w:rPr>
        <w:t xml:space="preserve">, comme décrit dans le rapport de l’UNESCO intitulé « Le patrimoine vivant face à la COVID-19 », et </w:t>
      </w:r>
      <w:r w:rsidRPr="00066CC7">
        <w:rPr>
          <w:rFonts w:asciiTheme="minorBidi" w:hAnsiTheme="minorBidi"/>
        </w:rPr>
        <w:t>encourage</w:t>
      </w:r>
      <w:r w:rsidRPr="00066CC7">
        <w:rPr>
          <w:rFonts w:asciiTheme="minorBidi" w:hAnsiTheme="minorBidi"/>
          <w:u w:val="none"/>
        </w:rPr>
        <w:t xml:space="preserve"> leur mise en œuvre par les États et les communautés, notamment par l’intermédiaire des mécanismes d’assistance internationale du Fonds du patrimoine culturel immatériel ;</w:t>
      </w:r>
    </w:p>
    <w:p w14:paraId="3343EAF1" w14:textId="14787D04" w:rsidR="0059752C" w:rsidRPr="00066CC7" w:rsidRDefault="0059752C" w:rsidP="0059752C">
      <w:pPr>
        <w:pStyle w:val="GAParaResolution"/>
        <w:numPr>
          <w:ilvl w:val="0"/>
          <w:numId w:val="7"/>
        </w:numPr>
        <w:ind w:left="1134" w:hanging="567"/>
        <w:rPr>
          <w:rFonts w:asciiTheme="minorBidi" w:hAnsiTheme="minorBidi" w:cstheme="minorBidi"/>
        </w:rPr>
      </w:pPr>
      <w:r w:rsidRPr="00066CC7">
        <w:rPr>
          <w:rFonts w:asciiTheme="minorBidi" w:hAnsiTheme="minorBidi"/>
        </w:rPr>
        <w:t>Prend note</w:t>
      </w:r>
      <w:r w:rsidR="00437BDD" w:rsidRPr="00066CC7">
        <w:rPr>
          <w:rFonts w:asciiTheme="minorBidi" w:hAnsiTheme="minorBidi"/>
        </w:rPr>
        <w:t xml:space="preserve"> en outre</w:t>
      </w:r>
      <w:r w:rsidRPr="00066CC7">
        <w:rPr>
          <w:rFonts w:asciiTheme="minorBidi" w:hAnsiTheme="minorBidi"/>
          <w:u w:val="none"/>
        </w:rPr>
        <w:t xml:space="preserve"> des difficultés que pose la crise sanitaire mondiale pour les mécanismes statutaires et les programmes de la Convention et </w:t>
      </w:r>
      <w:r w:rsidRPr="00066CC7">
        <w:rPr>
          <w:rFonts w:asciiTheme="minorBidi" w:hAnsiTheme="minorBidi"/>
        </w:rPr>
        <w:t>félicite</w:t>
      </w:r>
      <w:r w:rsidRPr="00066CC7">
        <w:rPr>
          <w:rFonts w:asciiTheme="minorBidi" w:hAnsiTheme="minorBidi"/>
          <w:u w:val="none"/>
        </w:rPr>
        <w:t xml:space="preserve"> le Secrétariat d’avoir pris les mesures nécessaires pour que la gouvernance de la Convention puisse être maintenue, conformément à la Convention et à ses </w:t>
      </w:r>
      <w:r w:rsidR="00B833F2" w:rsidRPr="00066CC7">
        <w:rPr>
          <w:rFonts w:asciiTheme="minorBidi" w:hAnsiTheme="minorBidi"/>
          <w:u w:val="none"/>
        </w:rPr>
        <w:t>d</w:t>
      </w:r>
      <w:r w:rsidRPr="00066CC7">
        <w:rPr>
          <w:rFonts w:asciiTheme="minorBidi" w:hAnsiTheme="minorBidi"/>
          <w:u w:val="none"/>
        </w:rPr>
        <w:t>irectives opérationnelles </w:t>
      </w:r>
      <w:r w:rsidR="00893576" w:rsidRPr="00066CC7">
        <w:rPr>
          <w:rFonts w:asciiTheme="minorBidi" w:hAnsiTheme="minorBidi"/>
          <w:u w:val="none"/>
        </w:rPr>
        <w:t xml:space="preserve"> et </w:t>
      </w:r>
      <w:r w:rsidR="00893576" w:rsidRPr="00066CC7">
        <w:rPr>
          <w:rFonts w:asciiTheme="minorBidi" w:hAnsiTheme="minorBidi"/>
        </w:rPr>
        <w:t>apprécie</w:t>
      </w:r>
      <w:r w:rsidR="00893576" w:rsidRPr="00066CC7">
        <w:rPr>
          <w:rFonts w:asciiTheme="minorBidi" w:hAnsiTheme="minorBidi"/>
          <w:u w:val="none"/>
        </w:rPr>
        <w:t xml:space="preserve"> la mise en œuvre des diverses initiatives de sensibilisation et de </w:t>
      </w:r>
      <w:r w:rsidR="00893576" w:rsidRPr="00066CC7">
        <w:rPr>
          <w:rFonts w:asciiTheme="minorBidi" w:hAnsiTheme="minorBidi"/>
          <w:u w:val="none"/>
        </w:rPr>
        <w:lastRenderedPageBreak/>
        <w:t>communication, en particulier celles lancées dans le cadre de la réponse plus large à la pandémie de COVID-19</w:t>
      </w:r>
      <w:r w:rsidR="00F45BC2" w:rsidRPr="00066CC7">
        <w:rPr>
          <w:rFonts w:asciiTheme="minorBidi" w:hAnsiTheme="minorBidi"/>
          <w:u w:val="none"/>
        </w:rPr>
        <w:t> ;</w:t>
      </w:r>
    </w:p>
    <w:p w14:paraId="61DFEB25" w14:textId="7B249BFD" w:rsidR="0059752C" w:rsidRPr="00066CC7" w:rsidRDefault="003E5D22" w:rsidP="0059752C">
      <w:pPr>
        <w:pStyle w:val="COMParaDecision"/>
        <w:ind w:left="1134" w:hanging="567"/>
        <w:rPr>
          <w:rFonts w:asciiTheme="minorBidi" w:hAnsiTheme="minorBidi" w:cstheme="minorBidi"/>
          <w:u w:val="none"/>
        </w:rPr>
      </w:pPr>
      <w:r w:rsidRPr="00066CC7">
        <w:rPr>
          <w:rFonts w:asciiTheme="minorBidi" w:hAnsiTheme="minorBidi"/>
        </w:rPr>
        <w:t>Met en avant</w:t>
      </w:r>
      <w:r w:rsidR="0059752C" w:rsidRPr="00066CC7">
        <w:rPr>
          <w:rFonts w:asciiTheme="minorBidi" w:hAnsiTheme="minorBidi"/>
          <w:u w:val="none"/>
        </w:rPr>
        <w:t xml:space="preserve"> les réalisations accomplies au niveau de l’expansion géographique et thématique du programme global de renforcement des capacités depuis sa création et </w:t>
      </w:r>
      <w:r w:rsidRPr="00066CC7">
        <w:rPr>
          <w:rFonts w:asciiTheme="minorBidi" w:hAnsiTheme="minorBidi"/>
        </w:rPr>
        <w:t>salue</w:t>
      </w:r>
      <w:r w:rsidR="0059752C" w:rsidRPr="00066CC7">
        <w:rPr>
          <w:rFonts w:asciiTheme="minorBidi" w:hAnsiTheme="minorBidi"/>
          <w:u w:val="none"/>
        </w:rPr>
        <w:t xml:space="preserve"> sa réorientation en cours pour s’adapter à la nécessité d’adopter des approches d’exécution multimodales et pour renforcer les partenariats en matière d’exécution et de gestion du programme ;</w:t>
      </w:r>
    </w:p>
    <w:p w14:paraId="092FF8F4" w14:textId="67535573" w:rsidR="00893576" w:rsidRPr="00066CC7" w:rsidRDefault="003E5D22" w:rsidP="0059752C">
      <w:pPr>
        <w:pStyle w:val="COMParaDecision"/>
        <w:ind w:left="1134" w:hanging="567"/>
        <w:rPr>
          <w:rFonts w:asciiTheme="minorBidi" w:hAnsiTheme="minorBidi" w:cstheme="minorBidi"/>
          <w:u w:val="none"/>
        </w:rPr>
      </w:pPr>
      <w:r w:rsidRPr="00066CC7">
        <w:rPr>
          <w:rFonts w:asciiTheme="minorBidi" w:hAnsiTheme="minorBidi"/>
        </w:rPr>
        <w:t>Apprécie en outre</w:t>
      </w:r>
      <w:r w:rsidR="0059752C" w:rsidRPr="00066CC7">
        <w:rPr>
          <w:rFonts w:asciiTheme="minorBidi" w:hAnsiTheme="minorBidi"/>
          <w:u w:val="none"/>
        </w:rPr>
        <w:t xml:space="preserve"> </w:t>
      </w:r>
      <w:r w:rsidRPr="00066CC7">
        <w:rPr>
          <w:rFonts w:asciiTheme="minorBidi" w:hAnsiTheme="minorBidi"/>
          <w:u w:val="none"/>
        </w:rPr>
        <w:t>l</w:t>
      </w:r>
      <w:r w:rsidR="0059752C" w:rsidRPr="00066CC7">
        <w:rPr>
          <w:rFonts w:asciiTheme="minorBidi" w:hAnsiTheme="minorBidi"/>
          <w:u w:val="none"/>
        </w:rPr>
        <w:t xml:space="preserve">es progrès réalisés dans la mise en œuvre de la priorité de financement « sauvegarde et transmission du patrimoine culturel immatériel dans le cadre de l’éducation formelle et non formelle » et </w:t>
      </w:r>
      <w:r w:rsidR="0059752C" w:rsidRPr="00066CC7">
        <w:rPr>
          <w:rFonts w:asciiTheme="minorBidi" w:hAnsiTheme="minorBidi"/>
        </w:rPr>
        <w:t>souligne</w:t>
      </w:r>
      <w:r w:rsidR="0059752C" w:rsidRPr="00066CC7">
        <w:rPr>
          <w:rFonts w:asciiTheme="minorBidi" w:hAnsiTheme="minorBidi"/>
          <w:u w:val="none"/>
        </w:rPr>
        <w:t xml:space="preserve"> l’importance de renforcer la collaboration intersectorielle afin d’en accroître l’impact ;</w:t>
      </w:r>
    </w:p>
    <w:p w14:paraId="796E0857" w14:textId="6D60BB9F" w:rsidR="00893576" w:rsidRPr="00066CC7" w:rsidRDefault="00893576" w:rsidP="00893576">
      <w:pPr>
        <w:pStyle w:val="COMParaDecision"/>
        <w:ind w:left="1134" w:hanging="567"/>
        <w:rPr>
          <w:rFonts w:asciiTheme="minorBidi" w:hAnsiTheme="minorBidi"/>
          <w:u w:val="none"/>
        </w:rPr>
      </w:pPr>
      <w:r w:rsidRPr="00066CC7">
        <w:rPr>
          <w:rFonts w:asciiTheme="minorBidi" w:hAnsiTheme="minorBidi"/>
        </w:rPr>
        <w:t>Félicite</w:t>
      </w:r>
      <w:r w:rsidR="003E5D22" w:rsidRPr="00066CC7">
        <w:rPr>
          <w:rFonts w:asciiTheme="minorBidi" w:hAnsiTheme="minorBidi"/>
        </w:rPr>
        <w:t xml:space="preserve"> en outre</w:t>
      </w:r>
      <w:r w:rsidRPr="00066CC7">
        <w:rPr>
          <w:rFonts w:asciiTheme="minorBidi" w:hAnsiTheme="minorBidi"/>
          <w:u w:val="none"/>
        </w:rPr>
        <w:t xml:space="preserve"> le Secrétariat d’avoir lancé et de poursuiv</w:t>
      </w:r>
      <w:r w:rsidR="003E5D22" w:rsidRPr="00066CC7">
        <w:rPr>
          <w:rFonts w:asciiTheme="minorBidi" w:hAnsiTheme="minorBidi"/>
          <w:u w:val="none"/>
        </w:rPr>
        <w:t xml:space="preserve">i </w:t>
      </w:r>
      <w:r w:rsidRPr="00066CC7">
        <w:rPr>
          <w:rFonts w:asciiTheme="minorBidi" w:hAnsiTheme="minorBidi"/>
          <w:u w:val="none"/>
        </w:rPr>
        <w:t xml:space="preserve">des initiatives thématiques telles que le patrimoine culturel immatériel et le changement climatique, la commercialisation, l’éducation et les contextes urbains, </w:t>
      </w:r>
      <w:r w:rsidRPr="00D62B98">
        <w:rPr>
          <w:rFonts w:asciiTheme="minorBidi" w:hAnsiTheme="minorBidi"/>
        </w:rPr>
        <w:t>souligne</w:t>
      </w:r>
      <w:r w:rsidRPr="00066CC7">
        <w:rPr>
          <w:rFonts w:asciiTheme="minorBidi" w:hAnsiTheme="minorBidi"/>
          <w:u w:val="none"/>
        </w:rPr>
        <w:t xml:space="preserve"> l’importance d’assurer des synergies avec les conventions culturelles de l’UNESCO et d’autres programmes pertinents à cet égard, et </w:t>
      </w:r>
      <w:r w:rsidRPr="00D62B98">
        <w:rPr>
          <w:rFonts w:asciiTheme="minorBidi" w:hAnsiTheme="minorBidi"/>
        </w:rPr>
        <w:t>invite</w:t>
      </w:r>
      <w:r w:rsidRPr="00066CC7">
        <w:rPr>
          <w:rFonts w:asciiTheme="minorBidi" w:hAnsiTheme="minorBidi"/>
          <w:u w:val="none"/>
        </w:rPr>
        <w:t xml:space="preserve"> le Secrétariat à poursuivre ses efforts</w:t>
      </w:r>
      <w:r w:rsidR="00202A66" w:rsidRPr="00066CC7">
        <w:rPr>
          <w:rFonts w:asciiTheme="minorBidi" w:hAnsiTheme="minorBidi"/>
          <w:u w:val="none"/>
        </w:rPr>
        <w:t> ;</w:t>
      </w:r>
    </w:p>
    <w:p w14:paraId="4EFCEF9C" w14:textId="12FADAA0" w:rsidR="0059752C" w:rsidRPr="00066CC7" w:rsidRDefault="0085524F" w:rsidP="00F45BC2">
      <w:pPr>
        <w:pStyle w:val="COMParaDecision"/>
        <w:numPr>
          <w:ilvl w:val="0"/>
          <w:numId w:val="0"/>
        </w:numPr>
        <w:ind w:left="1080" w:hanging="513"/>
        <w:rPr>
          <w:rFonts w:asciiTheme="minorBidi" w:hAnsiTheme="minorBidi" w:cstheme="minorBidi"/>
          <w:u w:val="none"/>
        </w:rPr>
        <w:sectPr w:rsidR="0059752C" w:rsidRPr="00066CC7" w:rsidSect="00655736">
          <w:headerReference w:type="even" r:id="rId30"/>
          <w:headerReference w:type="default" r:id="rId31"/>
          <w:headerReference w:type="first" r:id="rId32"/>
          <w:pgSz w:w="11906" w:h="16838" w:code="9"/>
          <w:pgMar w:top="1418" w:right="1134" w:bottom="1134" w:left="1134" w:header="397" w:footer="284" w:gutter="0"/>
          <w:cols w:space="708"/>
          <w:titlePg/>
          <w:docGrid w:linePitch="360"/>
        </w:sectPr>
      </w:pPr>
      <w:r w:rsidRPr="00066CC7">
        <w:rPr>
          <w:rFonts w:asciiTheme="minorBidi" w:hAnsiTheme="minorBidi"/>
          <w:u w:val="none"/>
        </w:rPr>
        <w:t>7.</w:t>
      </w:r>
      <w:r w:rsidR="00B82FCB" w:rsidRPr="00066CC7">
        <w:rPr>
          <w:rFonts w:asciiTheme="minorBidi" w:hAnsiTheme="minorBidi"/>
          <w:u w:val="none"/>
        </w:rPr>
        <w:tab/>
      </w:r>
      <w:r w:rsidR="00893576" w:rsidRPr="00066CC7">
        <w:rPr>
          <w:rFonts w:asciiTheme="minorBidi" w:hAnsiTheme="minorBidi"/>
        </w:rPr>
        <w:t>Demande</w:t>
      </w:r>
      <w:r w:rsidR="00893576" w:rsidRPr="00066CC7">
        <w:rPr>
          <w:rFonts w:asciiTheme="minorBidi" w:hAnsiTheme="minorBidi"/>
          <w:u w:val="none"/>
        </w:rPr>
        <w:t xml:space="preserve"> </w:t>
      </w:r>
      <w:r w:rsidR="003E5D22" w:rsidRPr="00066CC7">
        <w:rPr>
          <w:rFonts w:asciiTheme="minorBidi" w:hAnsiTheme="minorBidi"/>
          <w:u w:val="none"/>
        </w:rPr>
        <w:t>au</w:t>
      </w:r>
      <w:r w:rsidR="00893576" w:rsidRPr="00066CC7">
        <w:rPr>
          <w:rFonts w:asciiTheme="minorBidi" w:hAnsiTheme="minorBidi"/>
          <w:u w:val="none"/>
        </w:rPr>
        <w:t xml:space="preserve"> Secrétariat </w:t>
      </w:r>
      <w:r w:rsidR="003E5D22" w:rsidRPr="00066CC7">
        <w:rPr>
          <w:rFonts w:asciiTheme="minorBidi" w:hAnsiTheme="minorBidi"/>
          <w:u w:val="none"/>
        </w:rPr>
        <w:t xml:space="preserve">de </w:t>
      </w:r>
      <w:r w:rsidR="00893576" w:rsidRPr="00066CC7">
        <w:rPr>
          <w:rFonts w:asciiTheme="minorBidi" w:hAnsiTheme="minorBidi"/>
          <w:u w:val="none"/>
        </w:rPr>
        <w:t>prépare</w:t>
      </w:r>
      <w:r w:rsidR="003E5D22" w:rsidRPr="00066CC7">
        <w:rPr>
          <w:rFonts w:asciiTheme="minorBidi" w:hAnsiTheme="minorBidi"/>
          <w:u w:val="none"/>
        </w:rPr>
        <w:t>r</w:t>
      </w:r>
      <w:r w:rsidR="00893576" w:rsidRPr="00066CC7">
        <w:rPr>
          <w:rFonts w:asciiTheme="minorBidi" w:hAnsiTheme="minorBidi"/>
          <w:u w:val="none"/>
        </w:rPr>
        <w:t xml:space="preserve"> des informations sur ses principales activités, avec les incidences financières et les questions liées à la charge de travail, pour examen par la dix-septième session du Comité, qui pourra faire le point de la situation, donner des orientations et établir des priorités.</w:t>
      </w:r>
    </w:p>
    <w:p w14:paraId="733850BC" w14:textId="4A705764" w:rsidR="0030560C" w:rsidRPr="00066CC7" w:rsidRDefault="0030560C" w:rsidP="0030560C">
      <w:pPr>
        <w:pStyle w:val="COMParaDecision"/>
        <w:numPr>
          <w:ilvl w:val="0"/>
          <w:numId w:val="0"/>
        </w:numPr>
        <w:jc w:val="center"/>
        <w:rPr>
          <w:rFonts w:asciiTheme="minorBidi" w:hAnsiTheme="minorBidi" w:cstheme="minorBidi"/>
          <w:b/>
        </w:rPr>
      </w:pPr>
      <w:r w:rsidRPr="00066CC7">
        <w:rPr>
          <w:rFonts w:asciiTheme="minorBidi" w:hAnsiTheme="minorBidi"/>
          <w:b/>
        </w:rPr>
        <w:lastRenderedPageBreak/>
        <w:t>Annexe</w:t>
      </w:r>
      <w:r w:rsidR="0085524F" w:rsidRPr="00066CC7">
        <w:rPr>
          <w:rFonts w:asciiTheme="minorBidi" w:hAnsiTheme="minorBidi"/>
          <w:b/>
        </w:rPr>
        <w:t xml:space="preserve"> I</w:t>
      </w:r>
    </w:p>
    <w:p w14:paraId="526989A7" w14:textId="77777777" w:rsidR="002664C2" w:rsidRPr="00066CC7" w:rsidRDefault="002664C2" w:rsidP="002664C2">
      <w:pPr>
        <w:pStyle w:val="COMParaDecision"/>
        <w:numPr>
          <w:ilvl w:val="0"/>
          <w:numId w:val="0"/>
        </w:numPr>
        <w:spacing w:after="240"/>
        <w:jc w:val="center"/>
        <w:rPr>
          <w:b/>
          <w:u w:val="none"/>
        </w:rPr>
      </w:pPr>
      <w:r w:rsidRPr="00066CC7">
        <w:rPr>
          <w:b/>
          <w:bCs/>
          <w:u w:val="none"/>
        </w:rPr>
        <w:t>Évaluation par indicateur de performance</w:t>
      </w:r>
    </w:p>
    <w:tbl>
      <w:tblPr>
        <w:tblStyle w:val="TableGrid2"/>
        <w:tblW w:w="14572" w:type="dxa"/>
        <w:tblLook w:val="04A0" w:firstRow="1" w:lastRow="0" w:firstColumn="1" w:lastColumn="0" w:noHBand="0" w:noVBand="1"/>
      </w:tblPr>
      <w:tblGrid>
        <w:gridCol w:w="3964"/>
        <w:gridCol w:w="10608"/>
      </w:tblGrid>
      <w:tr w:rsidR="002664C2" w:rsidRPr="00066CC7" w14:paraId="1A305828" w14:textId="77777777" w:rsidTr="001F61D7">
        <w:trPr>
          <w:cantSplit/>
        </w:trPr>
        <w:tc>
          <w:tcPr>
            <w:tcW w:w="1360" w:type="pct"/>
            <w:shd w:val="clear" w:color="auto" w:fill="808080" w:themeFill="background1" w:themeFillShade="80"/>
            <w:vAlign w:val="center"/>
          </w:tcPr>
          <w:p w14:paraId="35D2B312" w14:textId="77777777" w:rsidR="002664C2" w:rsidRPr="00066CC7" w:rsidRDefault="002664C2" w:rsidP="001F61D7">
            <w:pPr>
              <w:keepNext/>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40C/5 Indicateur de performance 1</w:t>
            </w:r>
          </w:p>
        </w:tc>
        <w:tc>
          <w:tcPr>
            <w:tcW w:w="3640" w:type="pct"/>
            <w:shd w:val="clear" w:color="auto" w:fill="808080" w:themeFill="background1" w:themeFillShade="80"/>
            <w:vAlign w:val="center"/>
          </w:tcPr>
          <w:p w14:paraId="6F2C867D" w14:textId="77777777" w:rsidR="002664C2" w:rsidRPr="00066CC7" w:rsidRDefault="002664C2" w:rsidP="001F61D7">
            <w:pPr>
              <w:keepNext/>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Exercice d’une bonne gouvernance au moyen de l’adoption et de la mise en œuvre des résolutions/décisions stratégiques des organes directeurs de la Convention de 2003</w:t>
            </w:r>
          </w:p>
        </w:tc>
      </w:tr>
    </w:tbl>
    <w:tbl>
      <w:tblPr>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2075"/>
        <w:gridCol w:w="1676"/>
        <w:gridCol w:w="6858"/>
      </w:tblGrid>
      <w:tr w:rsidR="002664C2" w:rsidRPr="00066CC7" w14:paraId="77A1D0E3" w14:textId="77777777" w:rsidTr="001F61D7">
        <w:trPr>
          <w:tblHeader/>
        </w:trPr>
        <w:tc>
          <w:tcPr>
            <w:tcW w:w="1360" w:type="pct"/>
            <w:shd w:val="clear" w:color="auto" w:fill="D9D9D9" w:themeFill="background1" w:themeFillShade="D9"/>
            <w:vAlign w:val="center"/>
          </w:tcPr>
          <w:p w14:paraId="4BB2BBFD"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Évalué selon les éléments suivants :</w:t>
            </w:r>
          </w:p>
        </w:tc>
        <w:tc>
          <w:tcPr>
            <w:tcW w:w="712" w:type="pct"/>
            <w:shd w:val="clear" w:color="auto" w:fill="D9D9D9" w:themeFill="background1" w:themeFillShade="D9"/>
            <w:vAlign w:val="center"/>
          </w:tcPr>
          <w:p w14:paraId="22E2C15D"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hAnsiTheme="minorBidi" w:cstheme="minorBidi"/>
                <w:b/>
                <w:bCs/>
                <w:sz w:val="22"/>
                <w:szCs w:val="22"/>
              </w:rPr>
              <w:t>Données initiales</w:t>
            </w:r>
          </w:p>
        </w:tc>
        <w:tc>
          <w:tcPr>
            <w:tcW w:w="575" w:type="pct"/>
            <w:shd w:val="clear" w:color="auto" w:fill="D9D9D9" w:themeFill="background1" w:themeFillShade="D9"/>
            <w:vAlign w:val="center"/>
          </w:tcPr>
          <w:p w14:paraId="7020C833"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Cibles 2020-2021</w:t>
            </w:r>
          </w:p>
        </w:tc>
        <w:tc>
          <w:tcPr>
            <w:tcW w:w="2353" w:type="pct"/>
            <w:shd w:val="clear" w:color="auto" w:fill="D9D9D9" w:themeFill="background1" w:themeFillShade="D9"/>
            <w:vAlign w:val="center"/>
          </w:tcPr>
          <w:p w14:paraId="34AD4E4E" w14:textId="77777777" w:rsidR="002664C2" w:rsidRPr="00066CC7" w:rsidRDefault="002664C2" w:rsidP="001F61D7">
            <w:pPr>
              <w:autoSpaceDE w:val="0"/>
              <w:autoSpaceDN w:val="0"/>
              <w:adjustRightInd w:val="0"/>
              <w:jc w:val="center"/>
              <w:rPr>
                <w:rFonts w:asciiTheme="minorBidi" w:eastAsia="Calibri" w:hAnsiTheme="minorBidi" w:cstheme="minorBidi"/>
                <w:b/>
                <w:color w:val="000000"/>
                <w:sz w:val="22"/>
                <w:szCs w:val="22"/>
              </w:rPr>
            </w:pPr>
            <w:r w:rsidRPr="00066CC7">
              <w:rPr>
                <w:rFonts w:asciiTheme="minorBidi" w:eastAsia="Calibri" w:hAnsiTheme="minorBidi" w:cstheme="minorBidi"/>
                <w:b/>
                <w:bCs/>
                <w:sz w:val="22"/>
                <w:szCs w:val="22"/>
              </w:rPr>
              <w:t>Évaluation des progrès :</w:t>
            </w:r>
            <w:r w:rsidRPr="00066CC7">
              <w:rPr>
                <w:rFonts w:asciiTheme="minorBidi" w:eastAsia="Calibri" w:hAnsiTheme="minorBidi" w:cstheme="minorBidi"/>
                <w:sz w:val="22"/>
                <w:szCs w:val="22"/>
              </w:rPr>
              <w:br/>
            </w:r>
            <w:r w:rsidRPr="00066CC7">
              <w:rPr>
                <w:rFonts w:asciiTheme="minorBidi" w:eastAsia="Calibri" w:hAnsiTheme="minorBidi" w:cstheme="minorBidi"/>
                <w:b/>
                <w:bCs/>
                <w:sz w:val="22"/>
                <w:szCs w:val="22"/>
              </w:rPr>
              <w:t>du 01/01/2020 au 30/06/2021</w:t>
            </w:r>
          </w:p>
        </w:tc>
      </w:tr>
      <w:tr w:rsidR="002664C2" w:rsidRPr="00066CC7" w14:paraId="05EB6462" w14:textId="77777777" w:rsidTr="001F61D7">
        <w:trPr>
          <w:trHeight w:val="1498"/>
        </w:trPr>
        <w:tc>
          <w:tcPr>
            <w:tcW w:w="1360" w:type="pct"/>
          </w:tcPr>
          <w:p w14:paraId="15D78A68"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Renforcement de l’aptitude à fournir des orientations stratégiques aux États parties pour la mise en œuvre et le suivi de la Convention, notamment grâce à l’examen des rapports périodiques soumis</w:t>
            </w:r>
          </w:p>
          <w:p w14:paraId="08E567AA"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hAnsiTheme="minorBidi" w:cstheme="minorBidi"/>
                <w:sz w:val="22"/>
                <w:szCs w:val="22"/>
              </w:rPr>
            </w:pPr>
            <w:r w:rsidRPr="00066CC7">
              <w:rPr>
                <w:rFonts w:asciiTheme="minorBidi" w:hAnsiTheme="minorBidi" w:cstheme="minorBidi"/>
                <w:sz w:val="22"/>
                <w:szCs w:val="22"/>
              </w:rPr>
              <w:t>Amélioration des méthodes de travail des organes directeurs</w:t>
            </w:r>
          </w:p>
          <w:p w14:paraId="63C69ADB"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hAnsiTheme="minorBidi" w:cstheme="minorBidi"/>
                <w:sz w:val="22"/>
                <w:szCs w:val="22"/>
              </w:rPr>
            </w:pPr>
            <w:r w:rsidRPr="00066CC7">
              <w:rPr>
                <w:rFonts w:asciiTheme="minorBidi" w:hAnsiTheme="minorBidi" w:cstheme="minorBidi"/>
                <w:sz w:val="22"/>
                <w:szCs w:val="22"/>
              </w:rPr>
              <w:t>Niveau de financement adopté par les organes directeurs pour la mise en œuvre des décisions</w:t>
            </w:r>
          </w:p>
          <w:p w14:paraId="552FA2F1"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eastAsia="Calibri" w:hAnsiTheme="minorBidi" w:cstheme="minorBidi"/>
                <w:sz w:val="22"/>
                <w:szCs w:val="22"/>
              </w:rPr>
              <w:t>Niveau de contribution des organisations non gouvernementales, possédant des compétences avérées dans le domaine du patrimoine culturel immatériel, à la gouvernance de la Convention</w:t>
            </w:r>
          </w:p>
        </w:tc>
        <w:tc>
          <w:tcPr>
            <w:tcW w:w="712" w:type="pct"/>
            <w:shd w:val="clear" w:color="auto" w:fill="auto"/>
          </w:tcPr>
          <w:p w14:paraId="1F8ADA29" w14:textId="77777777" w:rsidR="002664C2" w:rsidRPr="00066CC7" w:rsidRDefault="002664C2" w:rsidP="002664C2">
            <w:pPr>
              <w:pStyle w:val="ListParagraph"/>
              <w:numPr>
                <w:ilvl w:val="0"/>
                <w:numId w:val="40"/>
              </w:numPr>
              <w:spacing w:before="120" w:after="120"/>
              <w:ind w:left="312" w:hanging="340"/>
              <w:contextualSpacing w:val="0"/>
              <w:rPr>
                <w:rFonts w:asciiTheme="minorBidi" w:hAnsiTheme="minorBidi" w:cstheme="minorBidi"/>
                <w:sz w:val="22"/>
                <w:szCs w:val="22"/>
              </w:rPr>
            </w:pPr>
            <w:r w:rsidRPr="00066CC7">
              <w:rPr>
                <w:rFonts w:asciiTheme="minorBidi" w:hAnsiTheme="minorBidi" w:cstheme="minorBidi"/>
                <w:sz w:val="22"/>
                <w:szCs w:val="22"/>
              </w:rPr>
              <w:t>Oui</w:t>
            </w:r>
          </w:p>
        </w:tc>
        <w:tc>
          <w:tcPr>
            <w:tcW w:w="575" w:type="pct"/>
            <w:shd w:val="clear" w:color="auto" w:fill="auto"/>
          </w:tcPr>
          <w:p w14:paraId="2CE00BDF" w14:textId="77777777" w:rsidR="002664C2" w:rsidRPr="00066CC7" w:rsidRDefault="002664C2" w:rsidP="002664C2">
            <w:pPr>
              <w:pStyle w:val="ListParagraph"/>
              <w:numPr>
                <w:ilvl w:val="0"/>
                <w:numId w:val="40"/>
              </w:numPr>
              <w:spacing w:before="120" w:after="120"/>
              <w:ind w:left="312" w:hanging="340"/>
              <w:contextualSpacing w:val="0"/>
              <w:rPr>
                <w:rFonts w:asciiTheme="minorBidi" w:hAnsiTheme="minorBidi" w:cstheme="minorBidi"/>
                <w:sz w:val="22"/>
                <w:szCs w:val="22"/>
              </w:rPr>
            </w:pPr>
            <w:r w:rsidRPr="00066CC7">
              <w:rPr>
                <w:rFonts w:asciiTheme="minorBidi" w:hAnsiTheme="minorBidi" w:cstheme="minorBidi"/>
                <w:sz w:val="22"/>
                <w:szCs w:val="22"/>
              </w:rPr>
              <w:t>Oui</w:t>
            </w:r>
          </w:p>
        </w:tc>
        <w:tc>
          <w:tcPr>
            <w:tcW w:w="2353" w:type="pct"/>
          </w:tcPr>
          <w:p w14:paraId="2A342D99" w14:textId="77777777" w:rsidR="002664C2" w:rsidRPr="00066CC7" w:rsidRDefault="002664C2" w:rsidP="00D3458A">
            <w:pPr>
              <w:pStyle w:val="ListParagraph"/>
              <w:numPr>
                <w:ilvl w:val="0"/>
                <w:numId w:val="40"/>
              </w:numPr>
              <w:spacing w:after="24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Méthodes et outils de travail des Organes directeurs et d'évaluation de la Convention adaptés aux modalités en ligne, et services de gestion des connaissances optimisés pour assurer la continuité des mécanismes statutaires et des réunions.</w:t>
            </w:r>
          </w:p>
          <w:p w14:paraId="2EC61A47" w14:textId="77777777" w:rsidR="002664C2" w:rsidRPr="00066CC7" w:rsidRDefault="002664C2" w:rsidP="00D3458A">
            <w:pPr>
              <w:pStyle w:val="ListParagraph"/>
              <w:numPr>
                <w:ilvl w:val="0"/>
                <w:numId w:val="40"/>
              </w:numPr>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Adoption des principes opérationnels et modalités pour la sauvegarde du patrimoine culturel immatériel dans les situations d'urgence.</w:t>
            </w:r>
            <w:r w:rsidRPr="00D62B98">
              <w:rPr>
                <w:rStyle w:val="FootnoteReference"/>
                <w:rFonts w:asciiTheme="minorBidi" w:hAnsiTheme="minorBidi" w:cstheme="minorBidi"/>
                <w:sz w:val="22"/>
                <w:szCs w:val="22"/>
              </w:rPr>
              <w:footnoteReference w:id="15"/>
            </w:r>
          </w:p>
          <w:p w14:paraId="00EAEB84" w14:textId="40A0536F" w:rsidR="002664C2" w:rsidRPr="00066CC7" w:rsidRDefault="002664C2" w:rsidP="00D3458A">
            <w:pPr>
              <w:pStyle w:val="ListParagraph"/>
              <w:numPr>
                <w:ilvl w:val="0"/>
                <w:numId w:val="40"/>
              </w:numPr>
              <w:spacing w:before="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 xml:space="preserve">Processus de dialogue entre l'Organe d'évaluation et les États soumissionnaires - sous la forme d'une brève question-réponse - introduit dans la procédure et le calendrier d'évaluation des candidatures, propositions et demandes, ainsi que des révisions connexes des </w:t>
            </w:r>
            <w:r w:rsidR="00B833F2" w:rsidRPr="00066CC7">
              <w:rPr>
                <w:rFonts w:asciiTheme="minorBidi" w:hAnsiTheme="minorBidi" w:cstheme="minorBidi"/>
                <w:sz w:val="22"/>
                <w:szCs w:val="22"/>
              </w:rPr>
              <w:t>d</w:t>
            </w:r>
            <w:r w:rsidRPr="00066CC7">
              <w:rPr>
                <w:rFonts w:asciiTheme="minorBidi" w:hAnsiTheme="minorBidi" w:cstheme="minorBidi"/>
                <w:sz w:val="22"/>
                <w:szCs w:val="22"/>
              </w:rPr>
              <w:t>irectives opérationnelles adoptées.</w:t>
            </w:r>
            <w:r w:rsidRPr="00D62B98">
              <w:rPr>
                <w:rStyle w:val="FootnoteReference"/>
                <w:rFonts w:asciiTheme="minorBidi" w:hAnsiTheme="minorBidi" w:cstheme="minorBidi"/>
                <w:sz w:val="22"/>
                <w:szCs w:val="22"/>
              </w:rPr>
              <w:footnoteReference w:id="16"/>
            </w:r>
            <w:r w:rsidRPr="00066CC7">
              <w:rPr>
                <w:rFonts w:asciiTheme="minorBidi" w:hAnsiTheme="minorBidi" w:cstheme="minorBidi"/>
                <w:sz w:val="22"/>
                <w:szCs w:val="22"/>
              </w:rPr>
              <w:t xml:space="preserve"> Le processus de dialogue a été mené pour 11 dossiers en 2020 et 15 dossiers en 2021.</w:t>
            </w:r>
          </w:p>
          <w:p w14:paraId="4F59D2A3" w14:textId="77777777" w:rsidR="002664C2" w:rsidRPr="00066CC7" w:rsidRDefault="002664C2" w:rsidP="00D3458A">
            <w:pPr>
              <w:pStyle w:val="ListParagraph"/>
              <w:numPr>
                <w:ilvl w:val="0"/>
                <w:numId w:val="40"/>
              </w:numPr>
              <w:spacing w:before="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62 dossiers de candidature de 62 États ont été nouvellement soumis pour le cycle 2020 ; 74 dossiers de 81 États ont été nouvellement soumis pour le cycle 2021 ; et 59 dossiers de candidature de 64 États ont été nouvellement soumis pour le cycle 2022.</w:t>
            </w:r>
            <w:r w:rsidRPr="00D62B98">
              <w:rPr>
                <w:rStyle w:val="FootnoteReference"/>
                <w:rFonts w:asciiTheme="minorBidi" w:hAnsiTheme="minorBidi" w:cstheme="minorBidi"/>
                <w:sz w:val="22"/>
                <w:szCs w:val="22"/>
              </w:rPr>
              <w:footnoteReference w:id="17"/>
            </w:r>
          </w:p>
          <w:p w14:paraId="43F28D15" w14:textId="77777777" w:rsidR="002664C2" w:rsidRPr="00D62B98" w:rsidRDefault="002664C2" w:rsidP="00D3458A">
            <w:pPr>
              <w:pStyle w:val="ListParagraph"/>
              <w:keepNext/>
              <w:numPr>
                <w:ilvl w:val="0"/>
                <w:numId w:val="40"/>
              </w:numPr>
              <w:spacing w:before="120"/>
              <w:ind w:left="425" w:hanging="425"/>
              <w:contextualSpacing w:val="0"/>
              <w:jc w:val="both"/>
              <w:rPr>
                <w:rFonts w:asciiTheme="minorBidi" w:hAnsiTheme="minorBidi" w:cstheme="minorBidi"/>
                <w:sz w:val="22"/>
                <w:szCs w:val="22"/>
              </w:rPr>
            </w:pPr>
            <w:r w:rsidRPr="00D62B98">
              <w:rPr>
                <w:rFonts w:asciiTheme="minorBidi" w:hAnsiTheme="minorBidi" w:cstheme="minorBidi"/>
                <w:sz w:val="22"/>
                <w:szCs w:val="22"/>
              </w:rPr>
              <w:lastRenderedPageBreak/>
              <w:t>14 réunions statutaires organisées.</w:t>
            </w:r>
            <w:r w:rsidRPr="00D62B98">
              <w:rPr>
                <w:rStyle w:val="FootnoteReference"/>
                <w:rFonts w:asciiTheme="minorBidi" w:hAnsiTheme="minorBidi" w:cstheme="minorBidi"/>
                <w:sz w:val="22"/>
                <w:szCs w:val="22"/>
              </w:rPr>
              <w:footnoteReference w:id="18"/>
            </w:r>
          </w:p>
          <w:p w14:paraId="4B1B4A13" w14:textId="77777777" w:rsidR="002664C2" w:rsidRPr="00066CC7" w:rsidRDefault="002664C2" w:rsidP="00D3458A">
            <w:pPr>
              <w:pStyle w:val="ListParagraph"/>
              <w:keepNext/>
              <w:keepLines/>
              <w:numPr>
                <w:ilvl w:val="0"/>
                <w:numId w:val="40"/>
              </w:numPr>
              <w:spacing w:before="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Premier cycle régional du mécanisme réformé de soumission de rapports périodiques, initié pour les États parties d'Amérique latine et des Caraïbes (87,5 % des rapports périodiques soumis en 2020). 9 rapports examinés sur le statut des éléments inscrits sur la Liste de sauvegarde urgente en 2020.</w:t>
            </w:r>
          </w:p>
          <w:p w14:paraId="70F5A6DF" w14:textId="27DC33C6" w:rsidR="002664C2" w:rsidRPr="00066CC7" w:rsidRDefault="002664C2" w:rsidP="00D3458A">
            <w:pPr>
              <w:pStyle w:val="ListParagraph"/>
              <w:numPr>
                <w:ilvl w:val="0"/>
                <w:numId w:val="40"/>
              </w:numPr>
              <w:spacing w:before="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 xml:space="preserve">Point </w:t>
            </w:r>
            <w:r w:rsidR="00437BDD" w:rsidRPr="00066CC7">
              <w:rPr>
                <w:rFonts w:asciiTheme="minorBidi" w:hAnsiTheme="minorBidi" w:cstheme="minorBidi"/>
                <w:sz w:val="22"/>
                <w:szCs w:val="22"/>
              </w:rPr>
              <w:t xml:space="preserve">spécifique </w:t>
            </w:r>
            <w:r w:rsidRPr="00066CC7">
              <w:rPr>
                <w:rFonts w:asciiTheme="minorBidi" w:hAnsiTheme="minorBidi" w:cstheme="minorBidi"/>
                <w:sz w:val="22"/>
                <w:szCs w:val="22"/>
              </w:rPr>
              <w:t>sur le « Rapport du forum des organisations non gouvernementales » inscrit pour la première fois à l'ordre du jour du Comité en 2020 (15.COM).</w:t>
            </w:r>
          </w:p>
          <w:p w14:paraId="1B0FAF67" w14:textId="5196E356" w:rsidR="002664C2" w:rsidRPr="00066CC7" w:rsidRDefault="002664C2" w:rsidP="00D3458A">
            <w:pPr>
              <w:pStyle w:val="ListParagraph"/>
              <w:numPr>
                <w:ilvl w:val="0"/>
                <w:numId w:val="40"/>
              </w:numPr>
              <w:spacing w:before="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46 nouvelles demandes d'accréditation traitées pour des organisations non gouvernementales et 6</w:t>
            </w:r>
            <w:r w:rsidR="0085524F" w:rsidRPr="00066CC7">
              <w:rPr>
                <w:rFonts w:asciiTheme="minorBidi" w:hAnsiTheme="minorBidi" w:cstheme="minorBidi"/>
                <w:sz w:val="22"/>
                <w:szCs w:val="22"/>
              </w:rPr>
              <w:t>5</w:t>
            </w:r>
            <w:r w:rsidRPr="00066CC7">
              <w:rPr>
                <w:rFonts w:asciiTheme="minorBidi" w:hAnsiTheme="minorBidi" w:cstheme="minorBidi"/>
                <w:sz w:val="22"/>
                <w:szCs w:val="22"/>
              </w:rPr>
              <w:t> rapports enregistrés pour le renouvellement de l'accréditation.</w:t>
            </w:r>
          </w:p>
          <w:p w14:paraId="43C8B598" w14:textId="77777777" w:rsidR="002664C2" w:rsidRPr="00066CC7" w:rsidRDefault="002664C2" w:rsidP="00D3458A">
            <w:pPr>
              <w:pStyle w:val="ListParagraph"/>
              <w:numPr>
                <w:ilvl w:val="0"/>
                <w:numId w:val="40"/>
              </w:numPr>
              <w:spacing w:before="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8 propositions traitées pour la création ou le renouvellement de chaires UNESCO dans le domaine du patrimoine culturel immatériel</w:t>
            </w:r>
          </w:p>
        </w:tc>
      </w:tr>
    </w:tbl>
    <w:p w14:paraId="52C048B9" w14:textId="77777777" w:rsidR="00D62B98" w:rsidRDefault="00D62B98">
      <w:r>
        <w:lastRenderedPageBreak/>
        <w:br w:type="page"/>
      </w:r>
    </w:p>
    <w:tbl>
      <w:tblPr>
        <w:tblStyle w:val="TableGrid2"/>
        <w:tblW w:w="14572" w:type="dxa"/>
        <w:tblLook w:val="04A0" w:firstRow="1" w:lastRow="0" w:firstColumn="1" w:lastColumn="0" w:noHBand="0" w:noVBand="1"/>
      </w:tblPr>
      <w:tblGrid>
        <w:gridCol w:w="3964"/>
        <w:gridCol w:w="10608"/>
      </w:tblGrid>
      <w:tr w:rsidR="002664C2" w:rsidRPr="00066CC7" w14:paraId="4CCA1080" w14:textId="77777777" w:rsidTr="001F61D7">
        <w:trPr>
          <w:cantSplit/>
        </w:trPr>
        <w:tc>
          <w:tcPr>
            <w:tcW w:w="1360" w:type="pct"/>
            <w:shd w:val="clear" w:color="auto" w:fill="808080" w:themeFill="background1" w:themeFillShade="80"/>
            <w:vAlign w:val="center"/>
          </w:tcPr>
          <w:p w14:paraId="28CD7A62" w14:textId="77777777" w:rsidR="002664C2" w:rsidRPr="00066CC7" w:rsidRDefault="002664C2" w:rsidP="00D62B98">
            <w:pPr>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lastRenderedPageBreak/>
              <w:t>40C/5 Indicateur de performance 2</w:t>
            </w:r>
          </w:p>
        </w:tc>
        <w:tc>
          <w:tcPr>
            <w:tcW w:w="3640" w:type="pct"/>
            <w:shd w:val="clear" w:color="auto" w:fill="808080" w:themeFill="background1" w:themeFillShade="80"/>
            <w:vAlign w:val="center"/>
          </w:tcPr>
          <w:p w14:paraId="6DDCDAFD" w14:textId="77777777" w:rsidR="002664C2" w:rsidRPr="00066CC7" w:rsidRDefault="002664C2" w:rsidP="001F61D7">
            <w:pPr>
              <w:keepNext/>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Nombre d’États membres soutenus qui utilisent des ressources humaines et institutionnelles renforcées pour la sauvegarde du patrimoine culturel immatériel</w:t>
            </w:r>
          </w:p>
        </w:tc>
      </w:tr>
    </w:tbl>
    <w:tbl>
      <w:tblPr>
        <w:tblW w:w="14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7"/>
        <w:gridCol w:w="2115"/>
        <w:gridCol w:w="1630"/>
        <w:gridCol w:w="6809"/>
      </w:tblGrid>
      <w:tr w:rsidR="002664C2" w:rsidRPr="00066CC7" w14:paraId="60759922" w14:textId="77777777" w:rsidTr="001F61D7">
        <w:trPr>
          <w:tblHeader/>
        </w:trPr>
        <w:tc>
          <w:tcPr>
            <w:tcW w:w="1409" w:type="pct"/>
            <w:shd w:val="clear" w:color="auto" w:fill="D9D9D9" w:themeFill="background1" w:themeFillShade="D9"/>
            <w:vAlign w:val="center"/>
          </w:tcPr>
          <w:p w14:paraId="7EE7CA40" w14:textId="77777777" w:rsidR="002664C2" w:rsidRPr="00066CC7" w:rsidRDefault="002664C2" w:rsidP="00D62B98">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Évalué selon les éléments suivants :</w:t>
            </w:r>
          </w:p>
        </w:tc>
        <w:tc>
          <w:tcPr>
            <w:tcW w:w="634" w:type="pct"/>
            <w:shd w:val="clear" w:color="auto" w:fill="D9D9D9" w:themeFill="background1" w:themeFillShade="D9"/>
            <w:vAlign w:val="center"/>
          </w:tcPr>
          <w:p w14:paraId="1D46EB98"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hAnsiTheme="minorBidi" w:cstheme="minorBidi"/>
                <w:b/>
                <w:bCs/>
                <w:sz w:val="22"/>
                <w:szCs w:val="22"/>
              </w:rPr>
              <w:t>Données initiales</w:t>
            </w:r>
          </w:p>
        </w:tc>
        <w:tc>
          <w:tcPr>
            <w:tcW w:w="590" w:type="pct"/>
            <w:shd w:val="clear" w:color="auto" w:fill="D9D9D9" w:themeFill="background1" w:themeFillShade="D9"/>
            <w:vAlign w:val="center"/>
          </w:tcPr>
          <w:p w14:paraId="44C8E0E3"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Cibles 2020-2021</w:t>
            </w:r>
          </w:p>
        </w:tc>
        <w:tc>
          <w:tcPr>
            <w:tcW w:w="2367" w:type="pct"/>
            <w:shd w:val="clear" w:color="auto" w:fill="D9D9D9" w:themeFill="background1" w:themeFillShade="D9"/>
            <w:vAlign w:val="center"/>
          </w:tcPr>
          <w:p w14:paraId="696846EB" w14:textId="77777777" w:rsidR="002664C2" w:rsidRPr="00066CC7" w:rsidRDefault="002664C2" w:rsidP="001F61D7">
            <w:pPr>
              <w:autoSpaceDE w:val="0"/>
              <w:autoSpaceDN w:val="0"/>
              <w:adjustRightInd w:val="0"/>
              <w:jc w:val="center"/>
              <w:rPr>
                <w:rFonts w:asciiTheme="minorBidi" w:eastAsia="Calibri" w:hAnsiTheme="minorBidi" w:cstheme="minorBidi"/>
                <w:b/>
                <w:color w:val="000000"/>
                <w:sz w:val="22"/>
                <w:szCs w:val="22"/>
              </w:rPr>
            </w:pPr>
            <w:r w:rsidRPr="00066CC7">
              <w:rPr>
                <w:rFonts w:asciiTheme="minorBidi" w:eastAsia="Calibri" w:hAnsiTheme="minorBidi" w:cstheme="minorBidi"/>
                <w:b/>
                <w:bCs/>
                <w:sz w:val="22"/>
                <w:szCs w:val="22"/>
              </w:rPr>
              <w:t>Évaluation des progrès :</w:t>
            </w:r>
            <w:r w:rsidRPr="00066CC7">
              <w:rPr>
                <w:rFonts w:asciiTheme="minorBidi" w:eastAsia="Calibri" w:hAnsiTheme="minorBidi" w:cstheme="minorBidi"/>
                <w:sz w:val="22"/>
                <w:szCs w:val="22"/>
              </w:rPr>
              <w:br/>
            </w:r>
            <w:r w:rsidRPr="00066CC7">
              <w:rPr>
                <w:rFonts w:asciiTheme="minorBidi" w:eastAsia="Calibri" w:hAnsiTheme="minorBidi" w:cstheme="minorBidi"/>
                <w:b/>
                <w:bCs/>
                <w:sz w:val="22"/>
                <w:szCs w:val="22"/>
              </w:rPr>
              <w:t>du 01/01/2020 au 30/06/2021</w:t>
            </w:r>
          </w:p>
        </w:tc>
      </w:tr>
      <w:tr w:rsidR="002664C2" w:rsidRPr="00066CC7" w14:paraId="5299F72B" w14:textId="77777777" w:rsidTr="001F61D7">
        <w:tc>
          <w:tcPr>
            <w:tcW w:w="1409" w:type="pct"/>
          </w:tcPr>
          <w:p w14:paraId="1A809F8B"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Cadres institutionnels pour la sauvegarde du patrimoine culturel immatériel renforcés ou nouvellement établis</w:t>
            </w:r>
          </w:p>
          <w:p w14:paraId="53756A71"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Adoption ou renforcement d’approches basées sur la participation des communautés pour l’inventaire du patrimoine culturel immatériel ou élaboration de plans de sauvegarde, y compris ceux qui reflètent une approche attentive à la dimension de genre.</w:t>
            </w:r>
          </w:p>
        </w:tc>
        <w:tc>
          <w:tcPr>
            <w:tcW w:w="634" w:type="pct"/>
            <w:shd w:val="clear" w:color="auto" w:fill="auto"/>
          </w:tcPr>
          <w:p w14:paraId="5A814DD0" w14:textId="13443B13" w:rsidR="002664C2" w:rsidRPr="00066CC7" w:rsidRDefault="002664C2" w:rsidP="002664C2">
            <w:pPr>
              <w:pStyle w:val="ListParagraph"/>
              <w:numPr>
                <w:ilvl w:val="0"/>
                <w:numId w:val="40"/>
              </w:numPr>
              <w:spacing w:before="120" w:after="120"/>
              <w:ind w:left="358" w:hanging="284"/>
              <w:contextualSpacing w:val="0"/>
              <w:rPr>
                <w:rFonts w:asciiTheme="minorBidi" w:hAnsiTheme="minorBidi" w:cstheme="minorBidi"/>
                <w:iCs/>
                <w:sz w:val="22"/>
                <w:szCs w:val="22"/>
              </w:rPr>
            </w:pPr>
            <w:r w:rsidRPr="00066CC7">
              <w:rPr>
                <w:rFonts w:asciiTheme="minorBidi" w:hAnsiTheme="minorBidi" w:cstheme="minorBidi"/>
                <w:sz w:val="22"/>
                <w:szCs w:val="22"/>
              </w:rPr>
              <w:t xml:space="preserve">95, dont 34 en Afrique et 18 </w:t>
            </w:r>
            <w:r w:rsidR="00D611AD" w:rsidRPr="00066CC7">
              <w:rPr>
                <w:rFonts w:asciiTheme="minorBidi" w:hAnsiTheme="minorBidi" w:cstheme="minorBidi"/>
                <w:sz w:val="22"/>
                <w:szCs w:val="22"/>
              </w:rPr>
              <w:t>P</w:t>
            </w:r>
            <w:r w:rsidRPr="00066CC7">
              <w:rPr>
                <w:rFonts w:asciiTheme="minorBidi" w:hAnsiTheme="minorBidi" w:cstheme="minorBidi"/>
                <w:sz w:val="22"/>
                <w:szCs w:val="22"/>
              </w:rPr>
              <w:t xml:space="preserve">etits États </w:t>
            </w:r>
            <w:r w:rsidR="00D611AD" w:rsidRPr="00066CC7">
              <w:rPr>
                <w:rFonts w:asciiTheme="minorBidi" w:hAnsiTheme="minorBidi" w:cstheme="minorBidi"/>
                <w:sz w:val="22"/>
                <w:szCs w:val="22"/>
              </w:rPr>
              <w:t>I</w:t>
            </w:r>
            <w:r w:rsidRPr="00066CC7">
              <w:rPr>
                <w:rFonts w:asciiTheme="minorBidi" w:hAnsiTheme="minorBidi" w:cstheme="minorBidi"/>
                <w:sz w:val="22"/>
                <w:szCs w:val="22"/>
              </w:rPr>
              <w:t xml:space="preserve">nsulaires en </w:t>
            </w:r>
            <w:r w:rsidR="00D611AD" w:rsidRPr="00066CC7">
              <w:rPr>
                <w:rFonts w:asciiTheme="minorBidi" w:hAnsiTheme="minorBidi" w:cstheme="minorBidi"/>
                <w:sz w:val="22"/>
                <w:szCs w:val="22"/>
              </w:rPr>
              <w:t>D</w:t>
            </w:r>
            <w:r w:rsidRPr="00066CC7">
              <w:rPr>
                <w:rFonts w:asciiTheme="minorBidi" w:hAnsiTheme="minorBidi" w:cstheme="minorBidi"/>
                <w:sz w:val="22"/>
                <w:szCs w:val="22"/>
              </w:rPr>
              <w:t>éveloppement</w:t>
            </w:r>
            <w:r w:rsidR="00D611AD" w:rsidRPr="00066CC7">
              <w:rPr>
                <w:rFonts w:asciiTheme="minorBidi" w:hAnsiTheme="minorBidi" w:cstheme="minorBidi"/>
                <w:sz w:val="22"/>
                <w:szCs w:val="22"/>
              </w:rPr>
              <w:t xml:space="preserve"> (PEID</w:t>
            </w:r>
            <w:r w:rsidRPr="00066CC7">
              <w:rPr>
                <w:rFonts w:asciiTheme="minorBidi" w:hAnsiTheme="minorBidi" w:cstheme="minorBidi"/>
                <w:sz w:val="22"/>
                <w:szCs w:val="22"/>
              </w:rPr>
              <w:t>)</w:t>
            </w:r>
          </w:p>
        </w:tc>
        <w:tc>
          <w:tcPr>
            <w:tcW w:w="590" w:type="pct"/>
            <w:shd w:val="clear" w:color="auto" w:fill="auto"/>
          </w:tcPr>
          <w:p w14:paraId="2D92F975" w14:textId="77777777" w:rsidR="002664C2" w:rsidRPr="00066CC7" w:rsidRDefault="002664C2" w:rsidP="002664C2">
            <w:pPr>
              <w:pStyle w:val="ListParagraph"/>
              <w:numPr>
                <w:ilvl w:val="0"/>
                <w:numId w:val="40"/>
              </w:numPr>
              <w:spacing w:before="120" w:after="120"/>
              <w:ind w:left="358" w:hanging="284"/>
              <w:contextualSpacing w:val="0"/>
              <w:rPr>
                <w:rFonts w:asciiTheme="minorBidi" w:hAnsiTheme="minorBidi" w:cstheme="minorBidi"/>
                <w:iCs/>
                <w:sz w:val="22"/>
                <w:szCs w:val="22"/>
              </w:rPr>
            </w:pPr>
            <w:r w:rsidRPr="00066CC7">
              <w:rPr>
                <w:rFonts w:asciiTheme="minorBidi" w:hAnsiTheme="minorBidi" w:cstheme="minorBidi"/>
                <w:sz w:val="22"/>
                <w:szCs w:val="22"/>
              </w:rPr>
              <w:t>100 dont 34 en Afrique et 18 dans les PEID</w:t>
            </w:r>
          </w:p>
        </w:tc>
        <w:tc>
          <w:tcPr>
            <w:tcW w:w="2367" w:type="pct"/>
          </w:tcPr>
          <w:p w14:paraId="7A78CF9F" w14:textId="77777777" w:rsidR="002664C2" w:rsidRPr="00066CC7" w:rsidRDefault="002664C2" w:rsidP="00D3458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138 États membres aidés dans le cadre d’interventions générales de renforcement des capacités, dont 45 en Afrique et 30 PEID. 52 États membres aidés dans le cadre de projets pluriannuels de renforcement des capacités (18 en Afrique). 114 pays (38 en Afrique) ont bénéficié de projets de renforcement des capacités à court terme.</w:t>
            </w:r>
          </w:p>
          <w:p w14:paraId="07C209F7" w14:textId="77777777" w:rsidR="002664C2" w:rsidRPr="00066CC7" w:rsidRDefault="002664C2" w:rsidP="00D3458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3 ateliers régionaux de formation de formateurs</w:t>
            </w:r>
            <w:r w:rsidRPr="00D62B98">
              <w:rPr>
                <w:rFonts w:asciiTheme="minorBidi" w:hAnsiTheme="minorBidi" w:cstheme="minorBidi"/>
                <w:sz w:val="22"/>
                <w:szCs w:val="22"/>
                <w:vertAlign w:val="superscript"/>
              </w:rPr>
              <w:footnoteReference w:id="19"/>
            </w:r>
            <w:r w:rsidRPr="00066CC7">
              <w:rPr>
                <w:rFonts w:asciiTheme="minorBidi" w:hAnsiTheme="minorBidi" w:cstheme="minorBidi"/>
                <w:sz w:val="22"/>
                <w:szCs w:val="22"/>
                <w:vertAlign w:val="superscript"/>
              </w:rPr>
              <w:t xml:space="preserve"> </w:t>
            </w:r>
            <w:r w:rsidRPr="00066CC7">
              <w:rPr>
                <w:rFonts w:asciiTheme="minorBidi" w:hAnsiTheme="minorBidi" w:cstheme="minorBidi"/>
                <w:sz w:val="22"/>
                <w:szCs w:val="22"/>
              </w:rPr>
              <w:t>organisés en coopération avec 3 centres de catégorie 2,</w:t>
            </w:r>
            <w:r w:rsidRPr="00D62B98">
              <w:rPr>
                <w:rFonts w:asciiTheme="minorBidi" w:hAnsiTheme="minorBidi" w:cstheme="minorBidi"/>
                <w:sz w:val="22"/>
                <w:szCs w:val="22"/>
                <w:vertAlign w:val="superscript"/>
              </w:rPr>
              <w:footnoteReference w:id="20"/>
            </w:r>
            <w:r w:rsidRPr="00066CC7">
              <w:rPr>
                <w:rFonts w:asciiTheme="minorBidi" w:hAnsiTheme="minorBidi" w:cstheme="minorBidi"/>
                <w:sz w:val="22"/>
                <w:szCs w:val="22"/>
              </w:rPr>
              <w:t xml:space="preserve"> aboutissant à la formation de 94 membres du réseau (68% de femmes). En outre, 27 animateurs ont été formés à la sauvegarde du patrimoine culturel immatériel dans l'éducation formelle et non formelle et un réseau d'apprentissage a été créé.</w:t>
            </w:r>
          </w:p>
          <w:p w14:paraId="3A04FE4E" w14:textId="330AB34E" w:rsidR="002664C2" w:rsidRPr="00066CC7" w:rsidRDefault="002664C2" w:rsidP="00D3458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Une approche spécifique de renforcement des capacités a été élaborée et mise en œuvre pour le déploiement du mécanisme réformé de soumission de rapports périodiques pour les deux premiers cycles régionaux de présentation de rapports (Amérique latine et Caraïbes en 2020, Europe en 2021).</w:t>
            </w:r>
          </w:p>
          <w:p w14:paraId="6C9CCB4D" w14:textId="3C8D8A95" w:rsidR="002664C2" w:rsidRPr="00066CC7" w:rsidRDefault="002664C2" w:rsidP="00D3458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78 points focaux nationaux pour les rapports périodiques en Amérique latine et dans les Caraïbes et en Europe ont été formés par le biais de cours en ligne sur les rapports périodiques.</w:t>
            </w:r>
          </w:p>
          <w:p w14:paraId="5630486D" w14:textId="77777777" w:rsidR="002664C2" w:rsidRPr="00066CC7" w:rsidRDefault="002664C2" w:rsidP="00D3458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 xml:space="preserve">Plus de 140 universités ont participé à des activités de mise en réseau, dont 39 universités dans les États arabes (après des </w:t>
            </w:r>
            <w:r w:rsidRPr="00066CC7">
              <w:rPr>
                <w:rFonts w:asciiTheme="minorBidi" w:hAnsiTheme="minorBidi" w:cstheme="minorBidi"/>
                <w:sz w:val="22"/>
                <w:szCs w:val="22"/>
              </w:rPr>
              <w:lastRenderedPageBreak/>
              <w:t>activités similaires en Afrique, en Asie et dans le Pacifique, ainsi qu'en Amérique latine et dans les Caraïbes).</w:t>
            </w:r>
          </w:p>
          <w:p w14:paraId="15575664" w14:textId="77777777" w:rsidR="002664C2" w:rsidRPr="00066CC7" w:rsidRDefault="002664C2" w:rsidP="00D3458A">
            <w:pPr>
              <w:pStyle w:val="ListParagraph"/>
              <w:numPr>
                <w:ilvl w:val="0"/>
                <w:numId w:val="40"/>
              </w:numPr>
              <w:spacing w:before="120" w:after="120"/>
              <w:ind w:left="425" w:hanging="425"/>
              <w:jc w:val="both"/>
              <w:rPr>
                <w:rFonts w:asciiTheme="minorBidi" w:hAnsiTheme="minorBidi" w:cstheme="minorBidi"/>
                <w:sz w:val="22"/>
                <w:szCs w:val="22"/>
              </w:rPr>
            </w:pPr>
            <w:r w:rsidRPr="00066CC7">
              <w:rPr>
                <w:rFonts w:asciiTheme="minorBidi" w:hAnsiTheme="minorBidi" w:cstheme="minorBidi"/>
                <w:sz w:val="22"/>
                <w:szCs w:val="22"/>
              </w:rPr>
              <w:t>L'assistance internationale du Fonds pour le patrimoine culturel immatériel a soutenu le renforcement des capacités en matière d'inventaire et de sauvegarde au niveau des communautés dans 26 États parties.</w:t>
            </w:r>
          </w:p>
        </w:tc>
      </w:tr>
    </w:tbl>
    <w:p w14:paraId="77AC1957" w14:textId="2E961069" w:rsidR="002664C2" w:rsidRPr="00066CC7" w:rsidRDefault="002664C2" w:rsidP="00D62B98">
      <w:pPr>
        <w:pStyle w:val="ListParagraph"/>
        <w:spacing w:before="120" w:after="120"/>
        <w:ind w:left="312"/>
        <w:contextualSpacing w:val="0"/>
        <w:rPr>
          <w:rFonts w:asciiTheme="minorBidi" w:eastAsia="Malgun Gothic" w:hAnsiTheme="minorBidi" w:cstheme="minorBidi"/>
          <w:snapToGrid w:val="0"/>
          <w:sz w:val="22"/>
          <w:szCs w:val="22"/>
        </w:rPr>
      </w:pPr>
    </w:p>
    <w:tbl>
      <w:tblPr>
        <w:tblStyle w:val="TableGrid2"/>
        <w:tblW w:w="14572" w:type="dxa"/>
        <w:tblLook w:val="04A0" w:firstRow="1" w:lastRow="0" w:firstColumn="1" w:lastColumn="0" w:noHBand="0" w:noVBand="1"/>
      </w:tblPr>
      <w:tblGrid>
        <w:gridCol w:w="4136"/>
        <w:gridCol w:w="10436"/>
      </w:tblGrid>
      <w:tr w:rsidR="002664C2" w:rsidRPr="00066CC7" w14:paraId="2BFC3EBF" w14:textId="77777777" w:rsidTr="00DF4E75">
        <w:trPr>
          <w:cantSplit/>
        </w:trPr>
        <w:tc>
          <w:tcPr>
            <w:tcW w:w="1419" w:type="pct"/>
            <w:shd w:val="clear" w:color="auto" w:fill="808080" w:themeFill="background1" w:themeFillShade="80"/>
            <w:vAlign w:val="center"/>
          </w:tcPr>
          <w:p w14:paraId="20550DF4" w14:textId="77777777" w:rsidR="002664C2" w:rsidRPr="00066CC7" w:rsidRDefault="002664C2" w:rsidP="001F61D7">
            <w:pPr>
              <w:keepNext/>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40C/5 Indicateur de performance 3</w:t>
            </w:r>
          </w:p>
        </w:tc>
        <w:tc>
          <w:tcPr>
            <w:tcW w:w="3581" w:type="pct"/>
            <w:shd w:val="clear" w:color="auto" w:fill="808080" w:themeFill="background1" w:themeFillShade="80"/>
            <w:vAlign w:val="center"/>
          </w:tcPr>
          <w:p w14:paraId="7A04FA1E" w14:textId="77777777" w:rsidR="002664C2" w:rsidRPr="00066CC7" w:rsidRDefault="002664C2" w:rsidP="001F61D7">
            <w:pPr>
              <w:keepNext/>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Nombre d’États membres soutenus qui ont intégré le patrimoine culturel immatériel dans leurs plans, politiques et programmes à titre de contribution à la réalisation des ODD en tenant compte des questions de genre</w:t>
            </w:r>
          </w:p>
        </w:tc>
      </w:tr>
    </w:tbl>
    <w:tbl>
      <w:tblPr>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5"/>
        <w:gridCol w:w="1789"/>
        <w:gridCol w:w="6970"/>
      </w:tblGrid>
      <w:tr w:rsidR="002664C2" w:rsidRPr="00066CC7" w14:paraId="5E91C8BC" w14:textId="77777777" w:rsidTr="00DF4E75">
        <w:trPr>
          <w:tblHeader/>
        </w:trPr>
        <w:tc>
          <w:tcPr>
            <w:tcW w:w="1409" w:type="pct"/>
            <w:shd w:val="clear" w:color="auto" w:fill="D9D9D9" w:themeFill="background1" w:themeFillShade="D9"/>
            <w:vAlign w:val="center"/>
          </w:tcPr>
          <w:p w14:paraId="06FFE3F5"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Évalué selon les éléments suivants :</w:t>
            </w:r>
          </w:p>
        </w:tc>
        <w:tc>
          <w:tcPr>
            <w:tcW w:w="585" w:type="pct"/>
            <w:shd w:val="clear" w:color="auto" w:fill="D9D9D9" w:themeFill="background1" w:themeFillShade="D9"/>
            <w:vAlign w:val="center"/>
          </w:tcPr>
          <w:p w14:paraId="21D8D4D2"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hAnsiTheme="minorBidi" w:cstheme="minorBidi"/>
                <w:b/>
                <w:bCs/>
                <w:sz w:val="22"/>
                <w:szCs w:val="22"/>
              </w:rPr>
              <w:t>Données initiales</w:t>
            </w:r>
          </w:p>
        </w:tc>
        <w:tc>
          <w:tcPr>
            <w:tcW w:w="614" w:type="pct"/>
            <w:shd w:val="clear" w:color="auto" w:fill="D9D9D9" w:themeFill="background1" w:themeFillShade="D9"/>
            <w:vAlign w:val="center"/>
          </w:tcPr>
          <w:p w14:paraId="16693337"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Cibles 2020-2021</w:t>
            </w:r>
          </w:p>
        </w:tc>
        <w:tc>
          <w:tcPr>
            <w:tcW w:w="2392" w:type="pct"/>
            <w:shd w:val="clear" w:color="auto" w:fill="D9D9D9" w:themeFill="background1" w:themeFillShade="D9"/>
            <w:vAlign w:val="center"/>
          </w:tcPr>
          <w:p w14:paraId="5CDE7DED" w14:textId="77777777" w:rsidR="002664C2" w:rsidRPr="00066CC7" w:rsidRDefault="002664C2" w:rsidP="001F61D7">
            <w:pPr>
              <w:autoSpaceDE w:val="0"/>
              <w:autoSpaceDN w:val="0"/>
              <w:adjustRightInd w:val="0"/>
              <w:jc w:val="center"/>
              <w:rPr>
                <w:rFonts w:asciiTheme="minorBidi" w:eastAsia="Calibri" w:hAnsiTheme="minorBidi" w:cstheme="minorBidi"/>
                <w:b/>
                <w:color w:val="000000"/>
                <w:sz w:val="22"/>
                <w:szCs w:val="22"/>
              </w:rPr>
            </w:pPr>
            <w:r w:rsidRPr="00066CC7">
              <w:rPr>
                <w:rFonts w:asciiTheme="minorBidi" w:eastAsia="Calibri" w:hAnsiTheme="minorBidi" w:cstheme="minorBidi"/>
                <w:b/>
                <w:bCs/>
                <w:sz w:val="22"/>
                <w:szCs w:val="22"/>
              </w:rPr>
              <w:t>Évaluation des progrès :</w:t>
            </w:r>
            <w:r w:rsidRPr="00066CC7">
              <w:rPr>
                <w:rFonts w:asciiTheme="minorBidi" w:eastAsia="Calibri" w:hAnsiTheme="minorBidi" w:cstheme="minorBidi"/>
                <w:sz w:val="22"/>
                <w:szCs w:val="22"/>
              </w:rPr>
              <w:br/>
            </w:r>
            <w:r w:rsidRPr="00066CC7">
              <w:rPr>
                <w:rFonts w:asciiTheme="minorBidi" w:eastAsia="Calibri" w:hAnsiTheme="minorBidi" w:cstheme="minorBidi"/>
                <w:b/>
                <w:bCs/>
                <w:sz w:val="22"/>
                <w:szCs w:val="22"/>
              </w:rPr>
              <w:t>du 01/01/2020 au 30/06/2021</w:t>
            </w:r>
          </w:p>
        </w:tc>
      </w:tr>
      <w:tr w:rsidR="002664C2" w:rsidRPr="00066CC7" w14:paraId="4B628DF1" w14:textId="77777777" w:rsidTr="00D62B98">
        <w:tc>
          <w:tcPr>
            <w:tcW w:w="1409" w:type="pct"/>
            <w:tcBorders>
              <w:bottom w:val="single" w:sz="4" w:space="0" w:color="auto"/>
            </w:tcBorders>
          </w:tcPr>
          <w:p w14:paraId="19CEB3C2"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Les rapports relatifs à la Convention intègrent la sauvegarde du patrimoine culturel immatériel dans leurs plans, politiques et programmes, dans une approche attentive à la dimension de genre y compris dans les contextes d’urgence, et fournissent des éléments probants pour la réalisation des objectifs de développement durable (ODD)</w:t>
            </w:r>
          </w:p>
          <w:p w14:paraId="29D2DCB0" w14:textId="77777777" w:rsidR="002664C2" w:rsidRPr="00066CC7" w:rsidRDefault="002664C2" w:rsidP="00C92E6A">
            <w:pPr>
              <w:pStyle w:val="ListParagraph"/>
              <w:keepLines/>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lastRenderedPageBreak/>
              <w:t>Mise en place de partenariats, au sein et en dehors du Secteur de la culture, en vue de renforcer le rôle du patrimoine culturel immatériel en tant que catalyseur et garantie du développement durable et en vue de soutenir les plans nationaux visant à réaliser les ODD</w:t>
            </w:r>
          </w:p>
          <w:p w14:paraId="19692328"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Initiatives conçues et mises en œuvre, aboutissant à l’intégration du patrimoine culturel immatériel dans l’éducation formelle et non formelle (ODD 4.7)</w:t>
            </w:r>
          </w:p>
        </w:tc>
        <w:tc>
          <w:tcPr>
            <w:tcW w:w="585" w:type="pct"/>
            <w:tcBorders>
              <w:bottom w:val="single" w:sz="4" w:space="0" w:color="auto"/>
            </w:tcBorders>
            <w:shd w:val="clear" w:color="auto" w:fill="auto"/>
          </w:tcPr>
          <w:p w14:paraId="7176797D" w14:textId="77777777" w:rsidR="002664C2" w:rsidRPr="00066CC7" w:rsidRDefault="002664C2" w:rsidP="002664C2">
            <w:pPr>
              <w:pStyle w:val="ListParagraph"/>
              <w:numPr>
                <w:ilvl w:val="0"/>
                <w:numId w:val="40"/>
              </w:numPr>
              <w:spacing w:before="120" w:after="120"/>
              <w:ind w:left="358" w:hanging="284"/>
              <w:contextualSpacing w:val="0"/>
              <w:rPr>
                <w:rFonts w:asciiTheme="minorBidi" w:hAnsiTheme="minorBidi" w:cstheme="minorBidi"/>
                <w:iCs/>
                <w:sz w:val="22"/>
                <w:szCs w:val="22"/>
              </w:rPr>
            </w:pPr>
            <w:r w:rsidRPr="00066CC7">
              <w:rPr>
                <w:rFonts w:asciiTheme="minorBidi" w:hAnsiTheme="minorBidi" w:cstheme="minorBidi"/>
                <w:sz w:val="22"/>
                <w:szCs w:val="22"/>
              </w:rPr>
              <w:lastRenderedPageBreak/>
              <w:t>41, dont 22 en Afrique et 8 dans les PEID</w:t>
            </w:r>
          </w:p>
        </w:tc>
        <w:tc>
          <w:tcPr>
            <w:tcW w:w="614" w:type="pct"/>
            <w:tcBorders>
              <w:bottom w:val="single" w:sz="4" w:space="0" w:color="auto"/>
            </w:tcBorders>
            <w:shd w:val="clear" w:color="auto" w:fill="auto"/>
          </w:tcPr>
          <w:p w14:paraId="691FA6F2" w14:textId="77777777" w:rsidR="002664C2" w:rsidRPr="00066CC7" w:rsidRDefault="002664C2" w:rsidP="002664C2">
            <w:pPr>
              <w:pStyle w:val="ListParagraph"/>
              <w:numPr>
                <w:ilvl w:val="0"/>
                <w:numId w:val="40"/>
              </w:numPr>
              <w:spacing w:before="120" w:after="120"/>
              <w:ind w:left="358" w:hanging="284"/>
              <w:contextualSpacing w:val="0"/>
              <w:rPr>
                <w:rFonts w:asciiTheme="minorBidi" w:hAnsiTheme="minorBidi" w:cstheme="minorBidi"/>
                <w:iCs/>
                <w:sz w:val="22"/>
                <w:szCs w:val="22"/>
              </w:rPr>
            </w:pPr>
            <w:r w:rsidRPr="00066CC7">
              <w:rPr>
                <w:rFonts w:asciiTheme="minorBidi" w:hAnsiTheme="minorBidi" w:cstheme="minorBidi"/>
                <w:sz w:val="22"/>
                <w:szCs w:val="22"/>
              </w:rPr>
              <w:t>45 dont 15 en Afrique et 10 dans les PEID</w:t>
            </w:r>
          </w:p>
        </w:tc>
        <w:tc>
          <w:tcPr>
            <w:tcW w:w="2392" w:type="pct"/>
            <w:tcBorders>
              <w:bottom w:val="single" w:sz="4" w:space="0" w:color="auto"/>
            </w:tcBorders>
          </w:tcPr>
          <w:p w14:paraId="7E547989" w14:textId="77777777" w:rsidR="002664C2" w:rsidRPr="00066CC7" w:rsidRDefault="002664C2" w:rsidP="00D3458A">
            <w:pPr>
              <w:pStyle w:val="ListParagraph"/>
              <w:numPr>
                <w:ilvl w:val="0"/>
                <w:numId w:val="40"/>
              </w:numPr>
              <w:spacing w:before="120" w:after="120"/>
              <w:ind w:left="425" w:hanging="425"/>
              <w:contextualSpacing w:val="0"/>
              <w:jc w:val="both"/>
              <w:rPr>
                <w:rFonts w:asciiTheme="minorBidi" w:hAnsiTheme="minorBidi" w:cstheme="minorBidi"/>
                <w:iCs/>
                <w:sz w:val="22"/>
                <w:szCs w:val="22"/>
              </w:rPr>
            </w:pPr>
            <w:r w:rsidRPr="00066CC7">
              <w:rPr>
                <w:rStyle w:val="textview"/>
                <w:rFonts w:asciiTheme="minorBidi" w:hAnsiTheme="minorBidi" w:cstheme="minorBidi"/>
                <w:sz w:val="22"/>
                <w:szCs w:val="22"/>
              </w:rPr>
              <w:t>51 États membres soutenus dans le domaine du patrimoine culturel immatériel et de l'éducation, dont 26 en Afrique et 9 PEID.</w:t>
            </w:r>
          </w:p>
          <w:p w14:paraId="09C784FE" w14:textId="77777777" w:rsidR="002664C2" w:rsidRPr="00066CC7" w:rsidRDefault="002664C2" w:rsidP="00D3458A">
            <w:pPr>
              <w:pStyle w:val="ListParagraph"/>
              <w:numPr>
                <w:ilvl w:val="0"/>
                <w:numId w:val="40"/>
              </w:numPr>
              <w:spacing w:before="120" w:after="120"/>
              <w:ind w:left="425" w:hanging="425"/>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Création d'un réseau mondial d'apprentissage composé de 40 personnes ressources chargées de fournir des services de formation et de conseil sur la sauvegarde du patrimoine culturel immatériel dans l'éducation formelle et non formelle.</w:t>
            </w:r>
          </w:p>
          <w:p w14:paraId="4645C071" w14:textId="77777777" w:rsidR="002664C2" w:rsidRPr="00066CC7" w:rsidRDefault="002664C2" w:rsidP="00D3458A">
            <w:pPr>
              <w:pStyle w:val="ListParagraph"/>
              <w:numPr>
                <w:ilvl w:val="0"/>
                <w:numId w:val="40"/>
              </w:numPr>
              <w:spacing w:before="120" w:after="120"/>
              <w:ind w:left="425" w:hanging="425"/>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Création d'un centre d'échange d'informations pour le partage des connaissances, la coopération et l'innovation dans le domaine du patrimoine culturel immatériel et de l'éducation, disponible en deux langues (anglais et français) et lancé dans le cadre de la Conférence mondiale sur l'éducation au développement durable en mai 2021</w:t>
            </w:r>
            <w:r w:rsidRPr="00066CC7">
              <w:rPr>
                <w:rFonts w:asciiTheme="minorBidi" w:eastAsia="Calibri" w:hAnsiTheme="minorBidi" w:cstheme="minorBidi"/>
                <w:sz w:val="22"/>
                <w:szCs w:val="22"/>
              </w:rPr>
              <w:t>.</w:t>
            </w:r>
          </w:p>
          <w:p w14:paraId="7CF4836B" w14:textId="77777777" w:rsidR="002664C2" w:rsidRPr="00066CC7" w:rsidRDefault="002664C2" w:rsidP="00D3458A">
            <w:pPr>
              <w:pStyle w:val="ListParagraph"/>
              <w:numPr>
                <w:ilvl w:val="0"/>
                <w:numId w:val="40"/>
              </w:numPr>
              <w:spacing w:before="120" w:after="120"/>
              <w:ind w:left="425" w:hanging="425"/>
              <w:contextualSpacing w:val="0"/>
              <w:jc w:val="both"/>
              <w:rPr>
                <w:rFonts w:asciiTheme="minorBidi" w:hAnsiTheme="minorBidi" w:cstheme="minorBidi"/>
                <w:iCs/>
                <w:sz w:val="22"/>
                <w:szCs w:val="22"/>
              </w:rPr>
            </w:pPr>
            <w:r w:rsidRPr="00066CC7">
              <w:rPr>
                <w:rFonts w:asciiTheme="minorBidi" w:hAnsiTheme="minorBidi" w:cstheme="minorBidi"/>
                <w:iCs/>
                <w:sz w:val="22"/>
                <w:szCs w:val="22"/>
              </w:rPr>
              <w:t>Rapport de l'UNESCO sur « Le patrimoine vivant face à la COVID-19 » publié en mai 2021 en deux langues (anglais et français), avec des recommandations clés pour mieux reconstruire.</w:t>
            </w:r>
          </w:p>
        </w:tc>
      </w:tr>
      <w:tr w:rsidR="00437BDD" w:rsidRPr="00066CC7" w14:paraId="15D464F6" w14:textId="77777777" w:rsidTr="00D62B98">
        <w:tc>
          <w:tcPr>
            <w:tcW w:w="1409" w:type="pct"/>
            <w:tcBorders>
              <w:left w:val="nil"/>
              <w:right w:val="nil"/>
            </w:tcBorders>
          </w:tcPr>
          <w:p w14:paraId="20920F49" w14:textId="77777777" w:rsidR="00437BDD" w:rsidRPr="00066CC7" w:rsidRDefault="00437BDD" w:rsidP="00D62B98">
            <w:pPr>
              <w:pStyle w:val="ListParagraph"/>
              <w:spacing w:before="120" w:after="120"/>
              <w:ind w:left="312"/>
              <w:contextualSpacing w:val="0"/>
              <w:jc w:val="both"/>
              <w:rPr>
                <w:rFonts w:asciiTheme="minorBidi" w:hAnsiTheme="minorBidi" w:cstheme="minorBidi"/>
                <w:sz w:val="22"/>
                <w:szCs w:val="22"/>
              </w:rPr>
            </w:pPr>
          </w:p>
        </w:tc>
        <w:tc>
          <w:tcPr>
            <w:tcW w:w="585" w:type="pct"/>
            <w:tcBorders>
              <w:left w:val="nil"/>
              <w:right w:val="nil"/>
            </w:tcBorders>
            <w:shd w:val="clear" w:color="auto" w:fill="auto"/>
          </w:tcPr>
          <w:p w14:paraId="1E611666" w14:textId="77777777" w:rsidR="00437BDD" w:rsidRPr="00066CC7" w:rsidRDefault="00437BDD" w:rsidP="00D62B98">
            <w:pPr>
              <w:pStyle w:val="ListParagraph"/>
              <w:spacing w:before="120" w:after="120"/>
              <w:ind w:left="358"/>
              <w:contextualSpacing w:val="0"/>
              <w:rPr>
                <w:rFonts w:asciiTheme="minorBidi" w:hAnsiTheme="minorBidi" w:cstheme="minorBidi"/>
                <w:sz w:val="22"/>
                <w:szCs w:val="22"/>
              </w:rPr>
            </w:pPr>
          </w:p>
        </w:tc>
        <w:tc>
          <w:tcPr>
            <w:tcW w:w="614" w:type="pct"/>
            <w:tcBorders>
              <w:left w:val="nil"/>
              <w:right w:val="nil"/>
            </w:tcBorders>
            <w:shd w:val="clear" w:color="auto" w:fill="auto"/>
          </w:tcPr>
          <w:p w14:paraId="0DA50759" w14:textId="77777777" w:rsidR="00437BDD" w:rsidRPr="00066CC7" w:rsidRDefault="00437BDD" w:rsidP="00D62B98">
            <w:pPr>
              <w:pStyle w:val="ListParagraph"/>
              <w:spacing w:before="120" w:after="120"/>
              <w:ind w:left="358"/>
              <w:contextualSpacing w:val="0"/>
              <w:rPr>
                <w:rFonts w:asciiTheme="minorBidi" w:hAnsiTheme="minorBidi" w:cstheme="minorBidi"/>
                <w:sz w:val="22"/>
                <w:szCs w:val="22"/>
              </w:rPr>
            </w:pPr>
          </w:p>
        </w:tc>
        <w:tc>
          <w:tcPr>
            <w:tcW w:w="2392" w:type="pct"/>
            <w:tcBorders>
              <w:left w:val="nil"/>
              <w:right w:val="nil"/>
            </w:tcBorders>
          </w:tcPr>
          <w:p w14:paraId="0F178EF7" w14:textId="77777777" w:rsidR="00437BDD" w:rsidRPr="00066CC7" w:rsidRDefault="00437BDD" w:rsidP="00D62B98">
            <w:pPr>
              <w:pStyle w:val="ListParagraph"/>
              <w:spacing w:before="120" w:after="120"/>
              <w:ind w:left="425"/>
              <w:contextualSpacing w:val="0"/>
              <w:jc w:val="both"/>
              <w:rPr>
                <w:rStyle w:val="textview"/>
                <w:rFonts w:asciiTheme="minorBidi" w:hAnsiTheme="minorBidi" w:cstheme="minorBidi"/>
                <w:sz w:val="22"/>
                <w:szCs w:val="22"/>
              </w:rPr>
            </w:pPr>
          </w:p>
        </w:tc>
      </w:tr>
    </w:tbl>
    <w:tbl>
      <w:tblPr>
        <w:tblStyle w:val="TableGrid2"/>
        <w:tblW w:w="14572" w:type="dxa"/>
        <w:tblLook w:val="04A0" w:firstRow="1" w:lastRow="0" w:firstColumn="1" w:lastColumn="0" w:noHBand="0" w:noVBand="1"/>
      </w:tblPr>
      <w:tblGrid>
        <w:gridCol w:w="4045"/>
        <w:gridCol w:w="10527"/>
      </w:tblGrid>
      <w:tr w:rsidR="002664C2" w:rsidRPr="00066CC7" w14:paraId="7FF4CCCA" w14:textId="77777777" w:rsidTr="00DF4E75">
        <w:trPr>
          <w:cantSplit/>
        </w:trPr>
        <w:tc>
          <w:tcPr>
            <w:tcW w:w="1388" w:type="pct"/>
            <w:shd w:val="clear" w:color="auto" w:fill="808080" w:themeFill="background1" w:themeFillShade="80"/>
            <w:vAlign w:val="center"/>
          </w:tcPr>
          <w:p w14:paraId="1EEC29F3" w14:textId="77777777" w:rsidR="002664C2" w:rsidRPr="00066CC7" w:rsidRDefault="002664C2" w:rsidP="001F61D7">
            <w:pPr>
              <w:keepNext/>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40C/5 Indicateur de performance 4</w:t>
            </w:r>
          </w:p>
        </w:tc>
        <w:tc>
          <w:tcPr>
            <w:tcW w:w="3612" w:type="pct"/>
            <w:shd w:val="clear" w:color="auto" w:fill="808080" w:themeFill="background1" w:themeFillShade="80"/>
            <w:vAlign w:val="center"/>
          </w:tcPr>
          <w:p w14:paraId="6512091F" w14:textId="77777777" w:rsidR="002664C2" w:rsidRPr="00066CC7" w:rsidRDefault="002664C2" w:rsidP="001F61D7">
            <w:pPr>
              <w:keepNext/>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Nombre d’États parties qui ont effectivement mis en œuvre l’assistance internationale, provenant notamment du Fonds pour la sauvegarde du patrimoine culturel immatériel, pour compléter leurs efforts nationaux de sauvegarde</w:t>
            </w:r>
          </w:p>
        </w:tc>
      </w:tr>
    </w:tbl>
    <w:tbl>
      <w:tblPr>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1705"/>
        <w:gridCol w:w="1789"/>
        <w:gridCol w:w="6970"/>
      </w:tblGrid>
      <w:tr w:rsidR="002664C2" w:rsidRPr="00066CC7" w14:paraId="39D9F485" w14:textId="77777777" w:rsidTr="001F61D7">
        <w:trPr>
          <w:tblHeader/>
        </w:trPr>
        <w:tc>
          <w:tcPr>
            <w:tcW w:w="1409" w:type="pct"/>
            <w:shd w:val="clear" w:color="auto" w:fill="D9D9D9" w:themeFill="background1" w:themeFillShade="D9"/>
            <w:vAlign w:val="center"/>
          </w:tcPr>
          <w:p w14:paraId="6D615C1D" w14:textId="34D3FDB0" w:rsidR="002664C2" w:rsidRPr="00066CC7" w:rsidRDefault="002664C2" w:rsidP="00D62B98">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Évalué selon les critères suivants</w:t>
            </w:r>
            <w:r w:rsidR="00437BDD" w:rsidRPr="00066CC7">
              <w:rPr>
                <w:rFonts w:asciiTheme="minorBidi" w:eastAsia="Calibri" w:hAnsiTheme="minorBidi" w:cstheme="minorBidi"/>
                <w:b/>
                <w:bCs/>
                <w:sz w:val="22"/>
                <w:szCs w:val="22"/>
              </w:rPr>
              <w:t> :</w:t>
            </w:r>
          </w:p>
        </w:tc>
        <w:tc>
          <w:tcPr>
            <w:tcW w:w="585" w:type="pct"/>
            <w:shd w:val="clear" w:color="auto" w:fill="D9D9D9" w:themeFill="background1" w:themeFillShade="D9"/>
            <w:vAlign w:val="center"/>
          </w:tcPr>
          <w:p w14:paraId="4B17B2C1"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Données initiales</w:t>
            </w:r>
          </w:p>
        </w:tc>
        <w:tc>
          <w:tcPr>
            <w:tcW w:w="614" w:type="pct"/>
            <w:shd w:val="clear" w:color="auto" w:fill="D9D9D9" w:themeFill="background1" w:themeFillShade="D9"/>
            <w:vAlign w:val="center"/>
          </w:tcPr>
          <w:p w14:paraId="67317771" w14:textId="77777777" w:rsidR="002664C2" w:rsidRPr="00066CC7" w:rsidRDefault="002664C2" w:rsidP="001F61D7">
            <w:pPr>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Cibles 2020-2021</w:t>
            </w:r>
          </w:p>
        </w:tc>
        <w:tc>
          <w:tcPr>
            <w:tcW w:w="2392" w:type="pct"/>
            <w:shd w:val="clear" w:color="auto" w:fill="D9D9D9" w:themeFill="background1" w:themeFillShade="D9"/>
            <w:vAlign w:val="center"/>
          </w:tcPr>
          <w:p w14:paraId="6FC02861" w14:textId="77777777" w:rsidR="002664C2" w:rsidRPr="00066CC7" w:rsidRDefault="002664C2" w:rsidP="001F61D7">
            <w:pPr>
              <w:autoSpaceDE w:val="0"/>
              <w:autoSpaceDN w:val="0"/>
              <w:adjustRightInd w:val="0"/>
              <w:jc w:val="center"/>
              <w:rPr>
                <w:rFonts w:asciiTheme="minorBidi" w:eastAsia="Calibri" w:hAnsiTheme="minorBidi" w:cstheme="minorBidi"/>
                <w:b/>
                <w:color w:val="000000"/>
                <w:sz w:val="22"/>
                <w:szCs w:val="22"/>
              </w:rPr>
            </w:pPr>
            <w:r w:rsidRPr="00066CC7">
              <w:rPr>
                <w:rFonts w:asciiTheme="minorBidi" w:eastAsia="Calibri" w:hAnsiTheme="minorBidi" w:cstheme="minorBidi"/>
                <w:b/>
                <w:bCs/>
                <w:sz w:val="22"/>
                <w:szCs w:val="22"/>
              </w:rPr>
              <w:t>Évaluation des progrès :</w:t>
            </w:r>
            <w:r w:rsidRPr="00066CC7">
              <w:rPr>
                <w:rFonts w:asciiTheme="minorBidi" w:eastAsia="Calibri" w:hAnsiTheme="minorBidi" w:cstheme="minorBidi"/>
                <w:sz w:val="22"/>
                <w:szCs w:val="22"/>
              </w:rPr>
              <w:br/>
            </w:r>
            <w:r w:rsidRPr="00066CC7">
              <w:rPr>
                <w:rFonts w:asciiTheme="minorBidi" w:eastAsia="Calibri" w:hAnsiTheme="minorBidi" w:cstheme="minorBidi"/>
                <w:b/>
                <w:bCs/>
                <w:sz w:val="22"/>
                <w:szCs w:val="22"/>
              </w:rPr>
              <w:t>du 01/01/2020 au 30/06/2021</w:t>
            </w:r>
          </w:p>
        </w:tc>
      </w:tr>
      <w:tr w:rsidR="002664C2" w:rsidRPr="00066CC7" w14:paraId="23CBA39A" w14:textId="77777777" w:rsidTr="00D62B98">
        <w:tc>
          <w:tcPr>
            <w:tcW w:w="1409" w:type="pct"/>
            <w:tcBorders>
              <w:bottom w:val="single" w:sz="4" w:space="0" w:color="auto"/>
            </w:tcBorders>
          </w:tcPr>
          <w:p w14:paraId="79865FB7"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Fonds du patrimoine culturel immatériel utilisé par les États parties pour compléter efficacement leurs efforts nationaux de sauvegarde</w:t>
            </w:r>
          </w:p>
          <w:p w14:paraId="3312E1AC" w14:textId="77777777" w:rsidR="002664C2" w:rsidRPr="00066CC7" w:rsidRDefault="002664C2" w:rsidP="00C92E6A">
            <w:pPr>
              <w:pStyle w:val="ListParagraph"/>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Assistance préparatoire/technique du Fonds du patrimoine culturel immatériel utilisée par les États parties pour élaborer des demandes d’assistance internationale afin de compléter efficacement leurs efforts nationaux de sauvegarde</w:t>
            </w:r>
          </w:p>
        </w:tc>
        <w:tc>
          <w:tcPr>
            <w:tcW w:w="585" w:type="pct"/>
            <w:tcBorders>
              <w:bottom w:val="single" w:sz="4" w:space="0" w:color="auto"/>
            </w:tcBorders>
            <w:shd w:val="clear" w:color="auto" w:fill="auto"/>
          </w:tcPr>
          <w:p w14:paraId="7668566D" w14:textId="77777777" w:rsidR="002664C2" w:rsidRPr="00066CC7" w:rsidRDefault="002664C2" w:rsidP="002664C2">
            <w:pPr>
              <w:pStyle w:val="ListParagraph"/>
              <w:numPr>
                <w:ilvl w:val="0"/>
                <w:numId w:val="40"/>
              </w:numPr>
              <w:spacing w:before="120" w:after="120"/>
              <w:ind w:left="358" w:hanging="284"/>
              <w:contextualSpacing w:val="0"/>
              <w:rPr>
                <w:rFonts w:asciiTheme="minorBidi" w:eastAsia="Calibri" w:hAnsiTheme="minorBidi" w:cstheme="minorBidi"/>
                <w:sz w:val="22"/>
                <w:szCs w:val="22"/>
              </w:rPr>
            </w:pPr>
            <w:r w:rsidRPr="00066CC7">
              <w:rPr>
                <w:rFonts w:asciiTheme="minorBidi" w:hAnsiTheme="minorBidi" w:cstheme="minorBidi"/>
                <w:sz w:val="22"/>
                <w:szCs w:val="22"/>
              </w:rPr>
              <w:t>9, dont 7 en Afrique et 2 dans les PEID</w:t>
            </w:r>
          </w:p>
        </w:tc>
        <w:tc>
          <w:tcPr>
            <w:tcW w:w="614" w:type="pct"/>
            <w:tcBorders>
              <w:bottom w:val="single" w:sz="4" w:space="0" w:color="auto"/>
            </w:tcBorders>
            <w:shd w:val="clear" w:color="auto" w:fill="auto"/>
          </w:tcPr>
          <w:p w14:paraId="1BC896BA" w14:textId="77777777" w:rsidR="002664C2" w:rsidRPr="00066CC7" w:rsidRDefault="002664C2" w:rsidP="002664C2">
            <w:pPr>
              <w:pStyle w:val="ListParagraph"/>
              <w:numPr>
                <w:ilvl w:val="0"/>
                <w:numId w:val="40"/>
              </w:numPr>
              <w:spacing w:before="120" w:after="120"/>
              <w:ind w:left="358" w:hanging="284"/>
              <w:contextualSpacing w:val="0"/>
              <w:rPr>
                <w:rFonts w:asciiTheme="minorBidi" w:hAnsiTheme="minorBidi" w:cstheme="minorBidi"/>
                <w:iCs/>
                <w:sz w:val="22"/>
                <w:szCs w:val="22"/>
              </w:rPr>
            </w:pPr>
            <w:r w:rsidRPr="00066CC7">
              <w:rPr>
                <w:rFonts w:asciiTheme="minorBidi" w:hAnsiTheme="minorBidi" w:cstheme="minorBidi"/>
                <w:sz w:val="22"/>
                <w:szCs w:val="22"/>
              </w:rPr>
              <w:t>16 dont 12 en Afrique et 2 PEID</w:t>
            </w:r>
          </w:p>
        </w:tc>
        <w:tc>
          <w:tcPr>
            <w:tcW w:w="2392" w:type="pct"/>
            <w:tcBorders>
              <w:bottom w:val="single" w:sz="4" w:space="0" w:color="auto"/>
            </w:tcBorders>
          </w:tcPr>
          <w:p w14:paraId="794B0C3F" w14:textId="77777777" w:rsidR="002664C2" w:rsidRPr="00066CC7" w:rsidRDefault="002664C2" w:rsidP="00C92E6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7 États parties sont parvenus au terme de la mise en œuvre d'un projet d'assistance internationale, dont 4 en Afrique et 1 dans les PEID.</w:t>
            </w:r>
          </w:p>
          <w:p w14:paraId="4F21D34F" w14:textId="77777777" w:rsidR="002664C2" w:rsidRPr="00066CC7" w:rsidRDefault="002664C2" w:rsidP="00C92E6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t>27 demandes d'assistance internationale jusqu'à 100 000 dollars US traitées par le Secrétariat, dont douze ont été soumises au Bureau du Comité intergouvernemental de la Convention. 10 demandes ont été approuvées, dont 5 pour l'Afrique et 3 pour les PEID.</w:t>
            </w:r>
          </w:p>
          <w:p w14:paraId="5FB45271" w14:textId="77777777" w:rsidR="002664C2" w:rsidRPr="00066CC7" w:rsidRDefault="002664C2" w:rsidP="00C92E6A">
            <w:pPr>
              <w:pStyle w:val="ListParagraph"/>
              <w:numPr>
                <w:ilvl w:val="0"/>
                <w:numId w:val="40"/>
              </w:numPr>
              <w:spacing w:before="120" w:after="120"/>
              <w:ind w:left="425" w:hanging="425"/>
              <w:contextualSpacing w:val="0"/>
              <w:jc w:val="both"/>
              <w:rPr>
                <w:rFonts w:asciiTheme="minorBidi" w:hAnsiTheme="minorBidi" w:cstheme="minorBidi"/>
                <w:sz w:val="22"/>
                <w:szCs w:val="22"/>
              </w:rPr>
            </w:pPr>
            <w:r w:rsidRPr="00066CC7">
              <w:rPr>
                <w:rFonts w:asciiTheme="minorBidi" w:hAnsiTheme="minorBidi" w:cstheme="minorBidi"/>
                <w:sz w:val="22"/>
                <w:szCs w:val="22"/>
              </w:rPr>
              <w:lastRenderedPageBreak/>
              <w:t>4 Etats parties ont reçu une assistance technique pour l'élaboration ou la révision d'une demande, dont 2 d'Afrique et 1 PEID.</w:t>
            </w:r>
          </w:p>
        </w:tc>
      </w:tr>
      <w:tr w:rsidR="00437BDD" w:rsidRPr="00066CC7" w14:paraId="0E342C80" w14:textId="77777777" w:rsidTr="00D62B98">
        <w:tc>
          <w:tcPr>
            <w:tcW w:w="1409" w:type="pct"/>
            <w:tcBorders>
              <w:left w:val="nil"/>
              <w:right w:val="nil"/>
            </w:tcBorders>
          </w:tcPr>
          <w:p w14:paraId="39E4221B" w14:textId="77777777" w:rsidR="00437BDD" w:rsidRPr="00066CC7" w:rsidRDefault="00437BDD" w:rsidP="00D62B98">
            <w:pPr>
              <w:pStyle w:val="ListParagraph"/>
              <w:spacing w:before="120" w:after="120"/>
              <w:ind w:left="312"/>
              <w:contextualSpacing w:val="0"/>
              <w:jc w:val="both"/>
              <w:rPr>
                <w:rFonts w:asciiTheme="minorBidi" w:hAnsiTheme="minorBidi" w:cstheme="minorBidi"/>
                <w:sz w:val="22"/>
                <w:szCs w:val="22"/>
              </w:rPr>
            </w:pPr>
          </w:p>
        </w:tc>
        <w:tc>
          <w:tcPr>
            <w:tcW w:w="585" w:type="pct"/>
            <w:tcBorders>
              <w:left w:val="nil"/>
              <w:right w:val="nil"/>
            </w:tcBorders>
            <w:shd w:val="clear" w:color="auto" w:fill="auto"/>
          </w:tcPr>
          <w:p w14:paraId="7FFD2EEF" w14:textId="77777777" w:rsidR="00437BDD" w:rsidRPr="00066CC7" w:rsidRDefault="00437BDD" w:rsidP="00D62B98">
            <w:pPr>
              <w:pStyle w:val="ListParagraph"/>
              <w:spacing w:before="120" w:after="120"/>
              <w:ind w:left="358"/>
              <w:contextualSpacing w:val="0"/>
              <w:rPr>
                <w:rFonts w:asciiTheme="minorBidi" w:hAnsiTheme="minorBidi" w:cstheme="minorBidi"/>
                <w:sz w:val="22"/>
                <w:szCs w:val="22"/>
              </w:rPr>
            </w:pPr>
          </w:p>
        </w:tc>
        <w:tc>
          <w:tcPr>
            <w:tcW w:w="614" w:type="pct"/>
            <w:tcBorders>
              <w:left w:val="nil"/>
              <w:right w:val="nil"/>
            </w:tcBorders>
            <w:shd w:val="clear" w:color="auto" w:fill="auto"/>
          </w:tcPr>
          <w:p w14:paraId="2EFE91D1" w14:textId="77777777" w:rsidR="00437BDD" w:rsidRPr="00066CC7" w:rsidRDefault="00437BDD" w:rsidP="00D62B98">
            <w:pPr>
              <w:pStyle w:val="ListParagraph"/>
              <w:spacing w:before="120" w:after="120"/>
              <w:ind w:left="358"/>
              <w:contextualSpacing w:val="0"/>
              <w:rPr>
                <w:rFonts w:asciiTheme="minorBidi" w:hAnsiTheme="minorBidi" w:cstheme="minorBidi"/>
                <w:sz w:val="22"/>
                <w:szCs w:val="22"/>
              </w:rPr>
            </w:pPr>
          </w:p>
        </w:tc>
        <w:tc>
          <w:tcPr>
            <w:tcW w:w="2392" w:type="pct"/>
            <w:tcBorders>
              <w:left w:val="nil"/>
              <w:right w:val="nil"/>
            </w:tcBorders>
          </w:tcPr>
          <w:p w14:paraId="772CD6AA" w14:textId="77777777" w:rsidR="00437BDD" w:rsidRPr="00066CC7" w:rsidRDefault="00437BDD" w:rsidP="00D62B98">
            <w:pPr>
              <w:pStyle w:val="ListParagraph"/>
              <w:spacing w:before="120" w:after="120"/>
              <w:ind w:left="425"/>
              <w:contextualSpacing w:val="0"/>
              <w:jc w:val="both"/>
              <w:rPr>
                <w:rFonts w:asciiTheme="minorBidi" w:hAnsiTheme="minorBidi" w:cstheme="minorBidi"/>
                <w:sz w:val="22"/>
                <w:szCs w:val="22"/>
              </w:rPr>
            </w:pPr>
          </w:p>
        </w:tc>
      </w:tr>
    </w:tbl>
    <w:tbl>
      <w:tblPr>
        <w:tblStyle w:val="TableGrid2"/>
        <w:tblW w:w="14572" w:type="dxa"/>
        <w:tblLook w:val="04A0" w:firstRow="1" w:lastRow="0" w:firstColumn="1" w:lastColumn="0" w:noHBand="0" w:noVBand="1"/>
      </w:tblPr>
      <w:tblGrid>
        <w:gridCol w:w="3964"/>
        <w:gridCol w:w="10608"/>
      </w:tblGrid>
      <w:tr w:rsidR="002664C2" w:rsidRPr="00066CC7" w14:paraId="354F1745" w14:textId="77777777" w:rsidTr="00D62B98">
        <w:tc>
          <w:tcPr>
            <w:tcW w:w="1360" w:type="pct"/>
            <w:shd w:val="clear" w:color="auto" w:fill="808080" w:themeFill="background1" w:themeFillShade="80"/>
            <w:vAlign w:val="center"/>
          </w:tcPr>
          <w:p w14:paraId="565009A9" w14:textId="77777777" w:rsidR="002664C2" w:rsidRPr="00066CC7" w:rsidRDefault="002664C2" w:rsidP="001F61D7">
            <w:pPr>
              <w:keepNext/>
              <w:keepLines/>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40C/5 Indicateur de performance 5</w:t>
            </w:r>
          </w:p>
        </w:tc>
        <w:tc>
          <w:tcPr>
            <w:tcW w:w="3640" w:type="pct"/>
            <w:shd w:val="clear" w:color="auto" w:fill="808080" w:themeFill="background1" w:themeFillShade="80"/>
            <w:vAlign w:val="center"/>
          </w:tcPr>
          <w:p w14:paraId="578F7382" w14:textId="77777777" w:rsidR="002664C2" w:rsidRPr="00066CC7" w:rsidRDefault="002664C2" w:rsidP="001F61D7">
            <w:pPr>
              <w:keepNext/>
              <w:keepLines/>
              <w:spacing w:before="120" w:after="120"/>
              <w:rPr>
                <w:rFonts w:asciiTheme="minorBidi" w:hAnsiTheme="minorBidi" w:cstheme="minorBidi"/>
                <w:b/>
                <w:bCs/>
                <w:color w:val="FFFFFF" w:themeColor="background1"/>
                <w:sz w:val="22"/>
                <w:szCs w:val="22"/>
              </w:rPr>
            </w:pPr>
            <w:r w:rsidRPr="00066CC7">
              <w:rPr>
                <w:rFonts w:asciiTheme="minorBidi" w:hAnsiTheme="minorBidi" w:cstheme="minorBidi"/>
                <w:b/>
                <w:bCs/>
                <w:color w:val="FFFFFF" w:themeColor="background1"/>
                <w:sz w:val="22"/>
                <w:szCs w:val="22"/>
              </w:rPr>
              <w:t>Nombre d’initiatives lancées par des États membres soutenus qui ont amélioré la connaissance et la compréhension de la sauvegarde du patrimoine culturel immatériel et de la Convention de 2003</w:t>
            </w:r>
          </w:p>
        </w:tc>
      </w:tr>
    </w:tbl>
    <w:tbl>
      <w:tblPr>
        <w:tblW w:w="14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1507"/>
        <w:gridCol w:w="1961"/>
        <w:gridCol w:w="7139"/>
      </w:tblGrid>
      <w:tr w:rsidR="002664C2" w:rsidRPr="00066CC7" w14:paraId="1B32B2BC" w14:textId="77777777" w:rsidTr="001F61D7">
        <w:trPr>
          <w:tblHeader/>
        </w:trPr>
        <w:tc>
          <w:tcPr>
            <w:tcW w:w="1360" w:type="pct"/>
            <w:shd w:val="clear" w:color="auto" w:fill="D9D9D9" w:themeFill="background1" w:themeFillShade="D9"/>
            <w:vAlign w:val="center"/>
          </w:tcPr>
          <w:p w14:paraId="363C9220" w14:textId="77777777" w:rsidR="002664C2" w:rsidRPr="00066CC7" w:rsidRDefault="002664C2" w:rsidP="001F61D7">
            <w:pPr>
              <w:keepNext/>
              <w:keepLines/>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Évalué selon les éléments suivants :</w:t>
            </w:r>
          </w:p>
        </w:tc>
        <w:tc>
          <w:tcPr>
            <w:tcW w:w="517" w:type="pct"/>
            <w:shd w:val="clear" w:color="auto" w:fill="D9D9D9" w:themeFill="background1" w:themeFillShade="D9"/>
            <w:vAlign w:val="center"/>
          </w:tcPr>
          <w:p w14:paraId="4CBEAA38" w14:textId="77777777" w:rsidR="002664C2" w:rsidRPr="00066CC7" w:rsidRDefault="002664C2" w:rsidP="001F61D7">
            <w:pPr>
              <w:keepNext/>
              <w:keepLines/>
              <w:spacing w:before="60" w:after="60"/>
              <w:jc w:val="center"/>
              <w:rPr>
                <w:rFonts w:asciiTheme="minorBidi" w:eastAsia="Calibri" w:hAnsiTheme="minorBidi" w:cstheme="minorBidi"/>
                <w:b/>
                <w:sz w:val="22"/>
                <w:szCs w:val="22"/>
              </w:rPr>
            </w:pPr>
            <w:r w:rsidRPr="00066CC7">
              <w:rPr>
                <w:rFonts w:asciiTheme="minorBidi" w:hAnsiTheme="minorBidi" w:cstheme="minorBidi"/>
                <w:b/>
                <w:bCs/>
                <w:sz w:val="22"/>
                <w:szCs w:val="22"/>
              </w:rPr>
              <w:t>Références</w:t>
            </w:r>
          </w:p>
        </w:tc>
        <w:tc>
          <w:tcPr>
            <w:tcW w:w="673" w:type="pct"/>
            <w:shd w:val="clear" w:color="auto" w:fill="D9D9D9" w:themeFill="background1" w:themeFillShade="D9"/>
            <w:vAlign w:val="center"/>
          </w:tcPr>
          <w:p w14:paraId="499502F4" w14:textId="77777777" w:rsidR="002664C2" w:rsidRPr="00066CC7" w:rsidRDefault="002664C2" w:rsidP="001F61D7">
            <w:pPr>
              <w:keepNext/>
              <w:keepLines/>
              <w:spacing w:before="60" w:after="60"/>
              <w:jc w:val="center"/>
              <w:rPr>
                <w:rFonts w:asciiTheme="minorBidi" w:eastAsia="Calibri" w:hAnsiTheme="minorBidi" w:cstheme="minorBidi"/>
                <w:b/>
                <w:sz w:val="22"/>
                <w:szCs w:val="22"/>
              </w:rPr>
            </w:pPr>
            <w:r w:rsidRPr="00066CC7">
              <w:rPr>
                <w:rFonts w:asciiTheme="minorBidi" w:eastAsia="Calibri" w:hAnsiTheme="minorBidi" w:cstheme="minorBidi"/>
                <w:b/>
                <w:bCs/>
                <w:sz w:val="22"/>
                <w:szCs w:val="22"/>
              </w:rPr>
              <w:t>Objectifs 2020-2021</w:t>
            </w:r>
          </w:p>
        </w:tc>
        <w:tc>
          <w:tcPr>
            <w:tcW w:w="2450" w:type="pct"/>
            <w:shd w:val="clear" w:color="auto" w:fill="D9D9D9" w:themeFill="background1" w:themeFillShade="D9"/>
            <w:vAlign w:val="center"/>
          </w:tcPr>
          <w:p w14:paraId="749F37F5" w14:textId="77777777" w:rsidR="002664C2" w:rsidRPr="00066CC7" w:rsidRDefault="002664C2" w:rsidP="001F61D7">
            <w:pPr>
              <w:keepNext/>
              <w:keepLines/>
              <w:autoSpaceDE w:val="0"/>
              <w:autoSpaceDN w:val="0"/>
              <w:adjustRightInd w:val="0"/>
              <w:jc w:val="center"/>
              <w:rPr>
                <w:rFonts w:asciiTheme="minorBidi" w:eastAsia="Calibri" w:hAnsiTheme="minorBidi" w:cstheme="minorBidi"/>
                <w:b/>
                <w:color w:val="000000"/>
                <w:sz w:val="22"/>
                <w:szCs w:val="22"/>
              </w:rPr>
            </w:pPr>
            <w:r w:rsidRPr="00066CC7">
              <w:rPr>
                <w:rFonts w:asciiTheme="minorBidi" w:eastAsia="Calibri" w:hAnsiTheme="minorBidi" w:cstheme="minorBidi"/>
                <w:b/>
                <w:bCs/>
                <w:sz w:val="22"/>
                <w:szCs w:val="22"/>
              </w:rPr>
              <w:t>Évaluation des progrès :</w:t>
            </w:r>
            <w:r w:rsidRPr="00066CC7">
              <w:rPr>
                <w:rFonts w:asciiTheme="minorBidi" w:eastAsia="Calibri" w:hAnsiTheme="minorBidi" w:cstheme="minorBidi"/>
                <w:sz w:val="22"/>
                <w:szCs w:val="22"/>
              </w:rPr>
              <w:br/>
            </w:r>
            <w:r w:rsidRPr="00066CC7">
              <w:rPr>
                <w:rFonts w:asciiTheme="minorBidi" w:eastAsia="Calibri" w:hAnsiTheme="minorBidi" w:cstheme="minorBidi"/>
                <w:b/>
                <w:bCs/>
                <w:sz w:val="22"/>
                <w:szCs w:val="22"/>
              </w:rPr>
              <w:t>du 01/01/2020 au 30/06/2021</w:t>
            </w:r>
          </w:p>
        </w:tc>
      </w:tr>
      <w:tr w:rsidR="002664C2" w:rsidRPr="00066CC7" w14:paraId="6450FB4D" w14:textId="77777777" w:rsidTr="001F61D7">
        <w:tc>
          <w:tcPr>
            <w:tcW w:w="1360" w:type="pct"/>
          </w:tcPr>
          <w:p w14:paraId="02FF8C2D" w14:textId="77777777" w:rsidR="002664C2" w:rsidRPr="00066CC7" w:rsidRDefault="002664C2" w:rsidP="00D62B98">
            <w:pPr>
              <w:pStyle w:val="ListParagraph"/>
              <w:keepLines/>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Preuve de programmes, projets ou initiatives de sauvegarde du patrimoine reflétant les principes et objectifs de la Convention de 2003 et dont l’efficacité à contribuer à la viabilité du patrimoine culturel immatériel concerné a été démontrée</w:t>
            </w:r>
          </w:p>
          <w:p w14:paraId="20B13E77" w14:textId="77777777" w:rsidR="002664C2" w:rsidRPr="00066CC7" w:rsidRDefault="002664C2" w:rsidP="00C92E6A">
            <w:pPr>
              <w:pStyle w:val="ListParagraph"/>
              <w:keepNext/>
              <w:keepLines/>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Initiatives de communication et/ou de sensibilisation développées conformément à la stratégie de communication et de sensibilisation de la Convention</w:t>
            </w:r>
          </w:p>
          <w:p w14:paraId="4AB623D7" w14:textId="77777777" w:rsidR="002664C2" w:rsidRPr="00066CC7" w:rsidRDefault="002664C2" w:rsidP="00C92E6A">
            <w:pPr>
              <w:pStyle w:val="ListParagraph"/>
              <w:keepNext/>
              <w:keepLines/>
              <w:numPr>
                <w:ilvl w:val="0"/>
                <w:numId w:val="40"/>
              </w:numPr>
              <w:spacing w:before="120" w:after="120"/>
              <w:ind w:left="312" w:hanging="340"/>
              <w:contextualSpacing w:val="0"/>
              <w:jc w:val="both"/>
              <w:rPr>
                <w:rFonts w:asciiTheme="minorBidi" w:eastAsia="Calibri" w:hAnsiTheme="minorBidi" w:cstheme="minorBidi"/>
                <w:sz w:val="22"/>
                <w:szCs w:val="22"/>
              </w:rPr>
            </w:pPr>
            <w:r w:rsidRPr="00066CC7">
              <w:rPr>
                <w:rFonts w:asciiTheme="minorBidi" w:hAnsiTheme="minorBidi" w:cstheme="minorBidi"/>
                <w:sz w:val="22"/>
                <w:szCs w:val="22"/>
              </w:rPr>
              <w:t>Niveau d’engagement de tous les acteurs (gouvernementaux et non gouvernementaux) concernés par la sauvegarde du patrimoine culturel immatériel dans des initiatives connexes</w:t>
            </w:r>
          </w:p>
        </w:tc>
        <w:tc>
          <w:tcPr>
            <w:tcW w:w="517" w:type="pct"/>
            <w:shd w:val="clear" w:color="auto" w:fill="auto"/>
          </w:tcPr>
          <w:p w14:paraId="4889B9F5" w14:textId="77777777" w:rsidR="002664C2" w:rsidRPr="00066CC7" w:rsidRDefault="002664C2" w:rsidP="002664C2">
            <w:pPr>
              <w:pStyle w:val="ListParagraph"/>
              <w:keepNext/>
              <w:keepLines/>
              <w:numPr>
                <w:ilvl w:val="0"/>
                <w:numId w:val="40"/>
              </w:numPr>
              <w:spacing w:before="120" w:after="120"/>
              <w:ind w:left="358" w:hanging="284"/>
              <w:contextualSpacing w:val="0"/>
              <w:rPr>
                <w:rFonts w:asciiTheme="minorBidi" w:eastAsia="Calibri" w:hAnsiTheme="minorBidi" w:cstheme="minorBidi"/>
                <w:sz w:val="22"/>
                <w:szCs w:val="22"/>
              </w:rPr>
            </w:pPr>
            <w:r w:rsidRPr="00066CC7">
              <w:rPr>
                <w:rFonts w:asciiTheme="minorBidi" w:hAnsiTheme="minorBidi" w:cstheme="minorBidi"/>
                <w:sz w:val="22"/>
                <w:szCs w:val="22"/>
              </w:rPr>
              <w:t>15, dont 5 en Afrique et 1 dans les PEID</w:t>
            </w:r>
          </w:p>
        </w:tc>
        <w:tc>
          <w:tcPr>
            <w:tcW w:w="673" w:type="pct"/>
            <w:shd w:val="clear" w:color="auto" w:fill="auto"/>
          </w:tcPr>
          <w:p w14:paraId="66AFD773" w14:textId="77777777" w:rsidR="002664C2" w:rsidRPr="00066CC7" w:rsidRDefault="002664C2" w:rsidP="002664C2">
            <w:pPr>
              <w:pStyle w:val="ListParagraph"/>
              <w:keepNext/>
              <w:keepLines/>
              <w:numPr>
                <w:ilvl w:val="0"/>
                <w:numId w:val="40"/>
              </w:numPr>
              <w:spacing w:before="120" w:after="120"/>
              <w:ind w:left="358" w:hanging="284"/>
              <w:contextualSpacing w:val="0"/>
              <w:rPr>
                <w:rFonts w:asciiTheme="minorBidi" w:hAnsiTheme="minorBidi" w:cstheme="minorBidi"/>
                <w:iCs/>
                <w:sz w:val="22"/>
                <w:szCs w:val="22"/>
              </w:rPr>
            </w:pPr>
            <w:r w:rsidRPr="00066CC7">
              <w:rPr>
                <w:rFonts w:asciiTheme="minorBidi" w:hAnsiTheme="minorBidi" w:cstheme="minorBidi"/>
                <w:sz w:val="22"/>
                <w:szCs w:val="22"/>
              </w:rPr>
              <w:t>20 dont 5 en Afrique et 5 dans les PEID</w:t>
            </w:r>
          </w:p>
        </w:tc>
        <w:tc>
          <w:tcPr>
            <w:tcW w:w="2450" w:type="pct"/>
          </w:tcPr>
          <w:p w14:paraId="02E942C1" w14:textId="77777777" w:rsidR="002664C2" w:rsidRPr="00066CC7" w:rsidRDefault="002664C2" w:rsidP="00C92E6A">
            <w:pPr>
              <w:pStyle w:val="ListParagraph"/>
              <w:numPr>
                <w:ilvl w:val="0"/>
                <w:numId w:val="40"/>
              </w:numPr>
              <w:spacing w:before="120"/>
              <w:ind w:left="499" w:hanging="357"/>
              <w:contextualSpacing w:val="0"/>
              <w:jc w:val="both"/>
              <w:rPr>
                <w:rFonts w:asciiTheme="minorBidi" w:hAnsiTheme="minorBidi" w:cstheme="minorBidi"/>
                <w:iCs/>
                <w:sz w:val="22"/>
                <w:szCs w:val="22"/>
              </w:rPr>
            </w:pPr>
            <w:r w:rsidRPr="00066CC7">
              <w:rPr>
                <w:rFonts w:asciiTheme="minorBidi" w:hAnsiTheme="minorBidi" w:cstheme="minorBidi"/>
                <w:iCs/>
                <w:sz w:val="22"/>
                <w:szCs w:val="22"/>
              </w:rPr>
              <w:t>30 initiatives entreprises par les États membres soutenus, dont 8 en Afrique et 8 PEID.</w:t>
            </w:r>
          </w:p>
          <w:p w14:paraId="49B28FC6" w14:textId="1D0A4867" w:rsidR="002664C2" w:rsidRPr="00066CC7" w:rsidRDefault="002664C2" w:rsidP="00C92E6A">
            <w:pPr>
              <w:pStyle w:val="ListParagraph"/>
              <w:numPr>
                <w:ilvl w:val="0"/>
                <w:numId w:val="40"/>
              </w:numPr>
              <w:spacing w:before="120"/>
              <w:ind w:left="499" w:hanging="357"/>
              <w:contextualSpacing w:val="0"/>
              <w:jc w:val="both"/>
              <w:rPr>
                <w:rFonts w:asciiTheme="minorBidi" w:hAnsiTheme="minorBidi" w:cstheme="minorBidi"/>
                <w:iCs/>
                <w:sz w:val="22"/>
                <w:szCs w:val="22"/>
              </w:rPr>
            </w:pPr>
            <w:r w:rsidRPr="00066CC7">
              <w:rPr>
                <w:rFonts w:asciiTheme="minorBidi" w:hAnsiTheme="minorBidi" w:cstheme="minorBidi"/>
                <w:iCs/>
                <w:sz w:val="22"/>
                <w:szCs w:val="22"/>
              </w:rPr>
              <w:t>Des initiatives de communication ont été lancées dans le cadre de la réponse de l'UNESCO à la pandémie de COVID-19, y compris une plateforme en ligne et une enquête sur « les expériences de patrimoine vivant dans le contexte de la pandémie de COVID-19 », avec plus de 230 témoignages de praticiens et de communautés accessibles.</w:t>
            </w:r>
          </w:p>
          <w:p w14:paraId="62427878" w14:textId="2E885BD4" w:rsidR="002664C2" w:rsidRPr="00066CC7" w:rsidRDefault="002664C2" w:rsidP="00C92E6A">
            <w:pPr>
              <w:pStyle w:val="ListParagraph"/>
              <w:numPr>
                <w:ilvl w:val="0"/>
                <w:numId w:val="40"/>
              </w:numPr>
              <w:spacing w:before="120"/>
              <w:ind w:left="499" w:hanging="357"/>
              <w:contextualSpacing w:val="0"/>
              <w:jc w:val="both"/>
              <w:rPr>
                <w:rFonts w:asciiTheme="minorBidi" w:hAnsiTheme="minorBidi" w:cstheme="minorBidi"/>
                <w:iCs/>
                <w:sz w:val="22"/>
                <w:szCs w:val="22"/>
              </w:rPr>
            </w:pPr>
            <w:r w:rsidRPr="00066CC7">
              <w:rPr>
                <w:rFonts w:asciiTheme="minorBidi" w:hAnsiTheme="minorBidi" w:cstheme="minorBidi"/>
                <w:iCs/>
                <w:sz w:val="22"/>
                <w:szCs w:val="22"/>
              </w:rPr>
              <w:t>Une exposition thématique - une reproduction d'une exposition sonore de langues autochtones - reconfigurée et installée au siège de l'UNESCO.</w:t>
            </w:r>
          </w:p>
          <w:p w14:paraId="2B1486C3" w14:textId="4037A7A3" w:rsidR="002664C2" w:rsidRPr="00066CC7" w:rsidRDefault="002664C2" w:rsidP="00C92E6A">
            <w:pPr>
              <w:pStyle w:val="ListParagraph"/>
              <w:numPr>
                <w:ilvl w:val="0"/>
                <w:numId w:val="40"/>
              </w:numPr>
              <w:spacing w:before="120"/>
              <w:ind w:left="499" w:hanging="357"/>
              <w:contextualSpacing w:val="0"/>
              <w:jc w:val="both"/>
              <w:rPr>
                <w:rFonts w:asciiTheme="minorBidi" w:hAnsiTheme="minorBidi" w:cstheme="minorBidi"/>
                <w:iCs/>
                <w:sz w:val="22"/>
                <w:szCs w:val="22"/>
              </w:rPr>
            </w:pPr>
            <w:r w:rsidRPr="00066CC7">
              <w:rPr>
                <w:rFonts w:asciiTheme="minorBidi" w:hAnsiTheme="minorBidi" w:cstheme="minorBidi"/>
                <w:iCs/>
                <w:sz w:val="22"/>
                <w:szCs w:val="22"/>
              </w:rPr>
              <w:t>« Plongez dans le patrimoine culturel immatériel » : mise à jour des visualisations existantes (sur la diversité culturelle, l'environnement et les menaces) avec des inscriptions pour 2020 ; lancement en décembre 2020 d'une nouvelle série de visualisations consacrées aux relations entre le patrimoine vivant et le développement durable (interface présentée le 21 mai 2021 lors de l'événement de haut niveau sur la culture et le développement durable organisé à New York par le président de l'Assemblée générale des Nations unies).</w:t>
            </w:r>
          </w:p>
          <w:p w14:paraId="4D82A149" w14:textId="77777777" w:rsidR="002664C2" w:rsidRPr="00066CC7" w:rsidRDefault="002664C2" w:rsidP="00C92E6A">
            <w:pPr>
              <w:pStyle w:val="ListParagraph"/>
              <w:numPr>
                <w:ilvl w:val="0"/>
                <w:numId w:val="40"/>
              </w:numPr>
              <w:spacing w:before="120"/>
              <w:ind w:left="499" w:hanging="357"/>
              <w:contextualSpacing w:val="0"/>
              <w:jc w:val="both"/>
              <w:rPr>
                <w:rFonts w:asciiTheme="minorBidi" w:hAnsiTheme="minorBidi" w:cstheme="minorBidi"/>
                <w:iCs/>
                <w:sz w:val="22"/>
                <w:szCs w:val="22"/>
              </w:rPr>
            </w:pPr>
            <w:r w:rsidRPr="00066CC7">
              <w:rPr>
                <w:rFonts w:asciiTheme="minorBidi" w:hAnsiTheme="minorBidi" w:cstheme="minorBidi"/>
                <w:iCs/>
                <w:sz w:val="22"/>
                <w:szCs w:val="22"/>
              </w:rPr>
              <w:lastRenderedPageBreak/>
              <w:t>Contenu plus fréquent, diversifié et engageant publié sur le portail de la Convention (pages thématiques, actualités sur les journées internationales).</w:t>
            </w:r>
          </w:p>
          <w:p w14:paraId="27723B12" w14:textId="77777777" w:rsidR="002664C2" w:rsidRPr="00066CC7" w:rsidRDefault="002664C2" w:rsidP="00C92E6A">
            <w:pPr>
              <w:pStyle w:val="ListParagraph"/>
              <w:numPr>
                <w:ilvl w:val="0"/>
                <w:numId w:val="40"/>
              </w:numPr>
              <w:spacing w:before="120"/>
              <w:ind w:left="499" w:hanging="357"/>
              <w:contextualSpacing w:val="0"/>
              <w:jc w:val="both"/>
              <w:rPr>
                <w:rFonts w:asciiTheme="minorBidi" w:hAnsiTheme="minorBidi" w:cstheme="minorBidi"/>
                <w:iCs/>
                <w:sz w:val="22"/>
                <w:szCs w:val="22"/>
              </w:rPr>
            </w:pPr>
            <w:r w:rsidRPr="00066CC7">
              <w:rPr>
                <w:rFonts w:asciiTheme="minorBidi" w:hAnsiTheme="minorBidi" w:cstheme="minorBidi"/>
                <w:iCs/>
                <w:sz w:val="22"/>
                <w:szCs w:val="22"/>
              </w:rPr>
              <w:t>Cartographie en cours des domaines de compétences des organisations non gouvernementales accréditées, en coopération avec le Forum des ONG du PCI.</w:t>
            </w:r>
          </w:p>
        </w:tc>
      </w:tr>
    </w:tbl>
    <w:p w14:paraId="70117C29" w14:textId="77777777" w:rsidR="002664C2" w:rsidRPr="00066CC7" w:rsidRDefault="002664C2" w:rsidP="002664C2">
      <w:pPr>
        <w:rPr>
          <w:rFonts w:asciiTheme="minorBidi" w:hAnsiTheme="minorBidi" w:cstheme="minorBidi"/>
          <w:sz w:val="22"/>
          <w:szCs w:val="22"/>
        </w:rPr>
        <w:sectPr w:rsidR="002664C2" w:rsidRPr="00066CC7" w:rsidSect="003719E6">
          <w:headerReference w:type="first" r:id="rId33"/>
          <w:footnotePr>
            <w:pos w:val="beneathText"/>
            <w:numRestart w:val="eachSect"/>
          </w:footnotePr>
          <w:pgSz w:w="16838" w:h="11906" w:orient="landscape" w:code="9"/>
          <w:pgMar w:top="1138" w:right="1411" w:bottom="1138" w:left="1138" w:header="403" w:footer="288" w:gutter="0"/>
          <w:cols w:space="708"/>
          <w:titlePg/>
          <w:docGrid w:linePitch="360"/>
        </w:sectPr>
      </w:pPr>
    </w:p>
    <w:p w14:paraId="433928E0" w14:textId="77777777" w:rsidR="002664C2" w:rsidRPr="00066CC7" w:rsidRDefault="002664C2" w:rsidP="002664C2">
      <w:pPr>
        <w:pStyle w:val="COMParaDecision"/>
        <w:numPr>
          <w:ilvl w:val="0"/>
          <w:numId w:val="0"/>
        </w:numPr>
        <w:jc w:val="center"/>
        <w:rPr>
          <w:rFonts w:asciiTheme="minorBidi" w:hAnsiTheme="minorBidi" w:cstheme="minorBidi"/>
          <w:b/>
        </w:rPr>
      </w:pPr>
      <w:r w:rsidRPr="00066CC7">
        <w:rPr>
          <w:rFonts w:asciiTheme="minorBidi" w:hAnsiTheme="minorBidi" w:cstheme="minorBidi"/>
          <w:b/>
        </w:rPr>
        <w:lastRenderedPageBreak/>
        <w:t>Annexe II</w:t>
      </w:r>
    </w:p>
    <w:p w14:paraId="02E1F996" w14:textId="77777777" w:rsidR="002664C2" w:rsidRPr="00066CC7" w:rsidRDefault="002664C2" w:rsidP="002664C2">
      <w:pPr>
        <w:jc w:val="center"/>
        <w:rPr>
          <w:rFonts w:asciiTheme="minorBidi" w:hAnsiTheme="minorBidi" w:cstheme="minorBidi"/>
          <w:b/>
          <w:sz w:val="22"/>
          <w:szCs w:val="22"/>
        </w:rPr>
      </w:pPr>
      <w:r w:rsidRPr="00066CC7">
        <w:rPr>
          <w:rFonts w:asciiTheme="minorBidi" w:hAnsiTheme="minorBidi" w:cstheme="minorBidi"/>
          <w:b/>
          <w:sz w:val="22"/>
          <w:szCs w:val="22"/>
        </w:rPr>
        <w:t>Rapport sur « Le patrimoine vivant face à la COVID-19 » (mai 2021)</w:t>
      </w:r>
    </w:p>
    <w:p w14:paraId="3230ABA9" w14:textId="77777777" w:rsidR="002664C2" w:rsidRPr="00066CC7" w:rsidRDefault="002664C2" w:rsidP="002664C2">
      <w:pPr>
        <w:jc w:val="center"/>
        <w:rPr>
          <w:rFonts w:asciiTheme="minorBidi" w:hAnsiTheme="minorBidi" w:cstheme="minorBidi"/>
          <w:b/>
          <w:sz w:val="22"/>
          <w:szCs w:val="22"/>
        </w:rPr>
      </w:pPr>
    </w:p>
    <w:p w14:paraId="103646C5" w14:textId="77777777" w:rsidR="002664C2" w:rsidRPr="00066CC7" w:rsidRDefault="002664C2" w:rsidP="002664C2">
      <w:pPr>
        <w:shd w:val="clear" w:color="auto" w:fill="FFFFFF"/>
        <w:spacing w:after="480"/>
        <w:jc w:val="center"/>
        <w:rPr>
          <w:b/>
        </w:rPr>
      </w:pPr>
      <w:r w:rsidRPr="00D62B98">
        <w:rPr>
          <w:b/>
          <w:noProof/>
        </w:rPr>
        <w:drawing>
          <wp:anchor distT="0" distB="0" distL="114300" distR="114300" simplePos="0" relativeHeight="251659264" behindDoc="0" locked="0" layoutInCell="1" allowOverlap="1" wp14:anchorId="77495F39" wp14:editId="54D6FD80">
            <wp:simplePos x="0" y="0"/>
            <wp:positionH relativeFrom="column">
              <wp:posOffset>330200</wp:posOffset>
            </wp:positionH>
            <wp:positionV relativeFrom="paragraph">
              <wp:posOffset>415290</wp:posOffset>
            </wp:positionV>
            <wp:extent cx="5227955" cy="7384415"/>
            <wp:effectExtent l="19050" t="19050" r="10795" b="260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7955" cy="7384415"/>
                    </a:xfrm>
                    <a:prstGeom prst="rect">
                      <a:avLst/>
                    </a:prstGeom>
                    <a:noFill/>
                    <a:ln w="19050">
                      <a:solidFill>
                        <a:schemeClr val="tx1"/>
                      </a:solidFill>
                    </a:ln>
                  </pic:spPr>
                </pic:pic>
              </a:graphicData>
            </a:graphic>
          </wp:anchor>
        </w:drawing>
      </w:r>
      <w:r w:rsidRPr="00066CC7">
        <w:rPr>
          <w:rStyle w:val="Strong"/>
          <w:rFonts w:ascii="Arial" w:hAnsi="Arial" w:cs="Arial"/>
          <w:color w:val="000000"/>
          <w:sz w:val="20"/>
          <w:szCs w:val="20"/>
          <w:shd w:val="clear" w:color="auto" w:fill="DADADA"/>
        </w:rPr>
        <w:t xml:space="preserve">Télécharger </w:t>
      </w:r>
      <w:r w:rsidRPr="00066CC7">
        <w:rPr>
          <w:rFonts w:ascii="Arial" w:hAnsi="Arial" w:cs="Arial"/>
          <w:b/>
          <w:color w:val="000000"/>
          <w:sz w:val="20"/>
          <w:szCs w:val="20"/>
          <w:shd w:val="clear" w:color="auto" w:fill="DADADA"/>
        </w:rPr>
        <w:t>: </w:t>
      </w:r>
      <w:proofErr w:type="spellStart"/>
      <w:r w:rsidR="0078767E">
        <w:fldChar w:fldCharType="begin"/>
      </w:r>
      <w:r w:rsidR="0078767E">
        <w:instrText xml:space="preserve"> HYPERLINK "https://ich.unesco.org/doc/src/Living_Heritage_in_the_face_of_COVID-19_-_High_Resolution.pdf" \t "_blank" </w:instrText>
      </w:r>
      <w:r w:rsidR="0078767E">
        <w:fldChar w:fldCharType="separate"/>
      </w:r>
      <w:r w:rsidRPr="00066CC7">
        <w:rPr>
          <w:rStyle w:val="Hyperlink"/>
          <w:rFonts w:ascii="Arial" w:hAnsi="Arial" w:cs="Arial"/>
          <w:bCs/>
          <w:color w:val="0872CB"/>
          <w:sz w:val="20"/>
          <w:szCs w:val="20"/>
          <w:shd w:val="clear" w:color="auto" w:fill="DADADA"/>
        </w:rPr>
        <w:t>anglais</w:t>
      </w:r>
      <w:r w:rsidR="0078767E">
        <w:rPr>
          <w:rStyle w:val="Hyperlink"/>
          <w:rFonts w:ascii="Arial" w:hAnsi="Arial" w:cs="Arial"/>
          <w:bCs/>
          <w:color w:val="0872CB"/>
          <w:sz w:val="20"/>
          <w:szCs w:val="20"/>
          <w:shd w:val="clear" w:color="auto" w:fill="DADADA"/>
        </w:rPr>
        <w:fldChar w:fldCharType="end"/>
      </w:r>
      <w:r w:rsidRPr="00066CC7">
        <w:rPr>
          <w:rFonts w:ascii="Arial" w:hAnsi="Arial" w:cs="Arial"/>
          <w:bCs/>
          <w:color w:val="000000"/>
          <w:sz w:val="20"/>
          <w:szCs w:val="20"/>
          <w:shd w:val="clear" w:color="auto" w:fill="DADADA"/>
        </w:rPr>
        <w:t>|</w:t>
      </w:r>
      <w:hyperlink r:id="rId35" w:tgtFrame="_blank" w:history="1">
        <w:r w:rsidRPr="00066CC7">
          <w:rPr>
            <w:rStyle w:val="Hyperlink"/>
            <w:rFonts w:ascii="Arial" w:hAnsi="Arial" w:cs="Arial"/>
            <w:bCs/>
            <w:color w:val="0872CB"/>
            <w:sz w:val="20"/>
            <w:szCs w:val="20"/>
            <w:shd w:val="clear" w:color="auto" w:fill="DADADA"/>
          </w:rPr>
          <w:t>français</w:t>
        </w:r>
        <w:proofErr w:type="spellEnd"/>
      </w:hyperlink>
    </w:p>
    <w:p w14:paraId="0D45ABEA" w14:textId="77777777" w:rsidR="002664C2" w:rsidRPr="00066CC7" w:rsidRDefault="002664C2" w:rsidP="002664C2">
      <w:pPr>
        <w:shd w:val="clear" w:color="auto" w:fill="FFFFFF"/>
        <w:spacing w:after="480"/>
        <w:jc w:val="center"/>
        <w:rPr>
          <w:b/>
        </w:rPr>
      </w:pPr>
    </w:p>
    <w:p w14:paraId="44E0FA43" w14:textId="77777777" w:rsidR="002664C2" w:rsidRPr="00066CC7" w:rsidRDefault="002664C2" w:rsidP="002664C2">
      <w:pPr>
        <w:shd w:val="clear" w:color="auto" w:fill="FFFFFF"/>
        <w:spacing w:after="480"/>
        <w:jc w:val="center"/>
      </w:pPr>
    </w:p>
    <w:p w14:paraId="05EDB668" w14:textId="77777777" w:rsidR="002664C2" w:rsidRPr="00066CC7" w:rsidRDefault="002664C2" w:rsidP="002664C2">
      <w:pPr>
        <w:shd w:val="clear" w:color="auto" w:fill="FFFFFF"/>
        <w:spacing w:after="480"/>
        <w:jc w:val="center"/>
      </w:pPr>
    </w:p>
    <w:p w14:paraId="0B7B7400" w14:textId="77777777" w:rsidR="002664C2" w:rsidRPr="00066CC7" w:rsidRDefault="002664C2" w:rsidP="002664C2">
      <w:pPr>
        <w:jc w:val="center"/>
      </w:pPr>
    </w:p>
    <w:p w14:paraId="1A1DCAAA" w14:textId="77777777" w:rsidR="002664C2" w:rsidRPr="00066CC7" w:rsidRDefault="002664C2" w:rsidP="002664C2">
      <w:pPr>
        <w:jc w:val="center"/>
      </w:pPr>
    </w:p>
    <w:p w14:paraId="03F4AB1C" w14:textId="77777777" w:rsidR="002664C2" w:rsidRPr="00066CC7" w:rsidRDefault="002664C2" w:rsidP="002664C2">
      <w:pPr>
        <w:jc w:val="center"/>
      </w:pPr>
    </w:p>
    <w:p w14:paraId="5C55125C" w14:textId="77777777" w:rsidR="002664C2" w:rsidRPr="00066CC7" w:rsidRDefault="002664C2" w:rsidP="002664C2">
      <w:pPr>
        <w:jc w:val="center"/>
      </w:pPr>
    </w:p>
    <w:p w14:paraId="46AE2E4F" w14:textId="77777777" w:rsidR="002664C2" w:rsidRPr="00066CC7" w:rsidRDefault="002664C2" w:rsidP="002664C2">
      <w:pPr>
        <w:jc w:val="center"/>
      </w:pPr>
    </w:p>
    <w:p w14:paraId="23337334" w14:textId="77777777" w:rsidR="002664C2" w:rsidRPr="00066CC7" w:rsidRDefault="002664C2" w:rsidP="002664C2">
      <w:pPr>
        <w:jc w:val="center"/>
      </w:pPr>
    </w:p>
    <w:p w14:paraId="07D757F4" w14:textId="77777777" w:rsidR="002664C2" w:rsidRPr="00066CC7" w:rsidRDefault="002664C2" w:rsidP="002664C2">
      <w:pPr>
        <w:jc w:val="center"/>
      </w:pPr>
    </w:p>
    <w:p w14:paraId="6B55D8BF" w14:textId="77777777" w:rsidR="002664C2" w:rsidRPr="00066CC7" w:rsidRDefault="002664C2" w:rsidP="002664C2">
      <w:pPr>
        <w:jc w:val="center"/>
      </w:pPr>
    </w:p>
    <w:p w14:paraId="5768FE90" w14:textId="77777777" w:rsidR="002664C2" w:rsidRPr="00066CC7" w:rsidRDefault="002664C2" w:rsidP="002664C2">
      <w:pPr>
        <w:jc w:val="center"/>
      </w:pPr>
    </w:p>
    <w:p w14:paraId="71FAB8CB" w14:textId="77777777" w:rsidR="002664C2" w:rsidRPr="00066CC7" w:rsidRDefault="002664C2" w:rsidP="002664C2">
      <w:pPr>
        <w:jc w:val="center"/>
      </w:pPr>
    </w:p>
    <w:p w14:paraId="3A9045D2" w14:textId="77777777" w:rsidR="002664C2" w:rsidRPr="00066CC7" w:rsidRDefault="002664C2" w:rsidP="002664C2">
      <w:pPr>
        <w:jc w:val="center"/>
      </w:pPr>
    </w:p>
    <w:p w14:paraId="4BD36FB7" w14:textId="77777777" w:rsidR="002664C2" w:rsidRPr="00066CC7" w:rsidRDefault="002664C2" w:rsidP="002664C2">
      <w:pPr>
        <w:jc w:val="center"/>
      </w:pPr>
    </w:p>
    <w:p w14:paraId="0971A4F0" w14:textId="77777777" w:rsidR="002664C2" w:rsidRPr="00066CC7" w:rsidRDefault="002664C2" w:rsidP="002664C2">
      <w:pPr>
        <w:jc w:val="center"/>
      </w:pPr>
    </w:p>
    <w:p w14:paraId="67D13C6A" w14:textId="77777777" w:rsidR="002664C2" w:rsidRPr="00066CC7" w:rsidRDefault="002664C2" w:rsidP="002664C2">
      <w:pPr>
        <w:jc w:val="center"/>
      </w:pPr>
    </w:p>
    <w:p w14:paraId="6107954F" w14:textId="77777777" w:rsidR="002664C2" w:rsidRPr="00066CC7" w:rsidRDefault="002664C2" w:rsidP="002664C2">
      <w:pPr>
        <w:jc w:val="center"/>
      </w:pPr>
    </w:p>
    <w:p w14:paraId="7AF7D9A1" w14:textId="77777777" w:rsidR="002664C2" w:rsidRPr="00066CC7" w:rsidRDefault="002664C2" w:rsidP="002664C2">
      <w:pPr>
        <w:jc w:val="center"/>
      </w:pPr>
    </w:p>
    <w:p w14:paraId="1164DED7" w14:textId="77777777" w:rsidR="002664C2" w:rsidRPr="00066CC7" w:rsidRDefault="002664C2" w:rsidP="002664C2">
      <w:pPr>
        <w:jc w:val="center"/>
      </w:pPr>
    </w:p>
    <w:p w14:paraId="65C5A091" w14:textId="77777777" w:rsidR="002664C2" w:rsidRPr="00066CC7" w:rsidRDefault="002664C2" w:rsidP="002664C2">
      <w:pPr>
        <w:jc w:val="center"/>
      </w:pPr>
    </w:p>
    <w:p w14:paraId="69ADB8EF" w14:textId="77777777" w:rsidR="002664C2" w:rsidRPr="00066CC7" w:rsidRDefault="002664C2" w:rsidP="002664C2">
      <w:pPr>
        <w:jc w:val="center"/>
      </w:pPr>
    </w:p>
    <w:p w14:paraId="489C95FF" w14:textId="77777777" w:rsidR="002664C2" w:rsidRPr="00066CC7" w:rsidRDefault="002664C2" w:rsidP="002664C2">
      <w:pPr>
        <w:jc w:val="center"/>
      </w:pPr>
    </w:p>
    <w:p w14:paraId="3A332410" w14:textId="77777777" w:rsidR="002664C2" w:rsidRPr="00066CC7" w:rsidRDefault="002664C2" w:rsidP="002664C2">
      <w:pPr>
        <w:jc w:val="center"/>
      </w:pPr>
    </w:p>
    <w:p w14:paraId="56FB5E24" w14:textId="77777777" w:rsidR="002664C2" w:rsidRPr="00066CC7" w:rsidRDefault="002664C2" w:rsidP="002664C2">
      <w:pPr>
        <w:jc w:val="center"/>
      </w:pPr>
    </w:p>
    <w:p w14:paraId="04576D3D" w14:textId="77777777" w:rsidR="002664C2" w:rsidRPr="00066CC7" w:rsidRDefault="002664C2" w:rsidP="002664C2">
      <w:pPr>
        <w:jc w:val="center"/>
      </w:pPr>
    </w:p>
    <w:p w14:paraId="29066EB1" w14:textId="77777777" w:rsidR="002664C2" w:rsidRPr="00066CC7" w:rsidRDefault="002664C2" w:rsidP="002664C2">
      <w:pPr>
        <w:jc w:val="center"/>
      </w:pPr>
    </w:p>
    <w:p w14:paraId="76D1323F" w14:textId="77777777" w:rsidR="002664C2" w:rsidRPr="00066CC7" w:rsidRDefault="002664C2" w:rsidP="002664C2">
      <w:pPr>
        <w:jc w:val="center"/>
      </w:pPr>
    </w:p>
    <w:p w14:paraId="528192B2" w14:textId="77777777" w:rsidR="002664C2" w:rsidRPr="00066CC7" w:rsidRDefault="002664C2" w:rsidP="002664C2">
      <w:pPr>
        <w:jc w:val="center"/>
      </w:pPr>
    </w:p>
    <w:p w14:paraId="4FE5A196" w14:textId="77777777" w:rsidR="002664C2" w:rsidRPr="00066CC7" w:rsidRDefault="002664C2" w:rsidP="002664C2">
      <w:pPr>
        <w:jc w:val="center"/>
      </w:pPr>
    </w:p>
    <w:p w14:paraId="3774D90D" w14:textId="77777777" w:rsidR="002664C2" w:rsidRPr="00066CC7" w:rsidRDefault="002664C2" w:rsidP="002664C2">
      <w:pPr>
        <w:jc w:val="center"/>
      </w:pPr>
    </w:p>
    <w:p w14:paraId="18B78E3C" w14:textId="77777777" w:rsidR="002664C2" w:rsidRPr="00066CC7" w:rsidRDefault="002664C2" w:rsidP="002664C2">
      <w:pPr>
        <w:jc w:val="center"/>
      </w:pPr>
    </w:p>
    <w:p w14:paraId="54D84459" w14:textId="77777777" w:rsidR="002664C2" w:rsidRPr="00066CC7" w:rsidRDefault="002664C2" w:rsidP="002664C2">
      <w:pPr>
        <w:jc w:val="center"/>
      </w:pPr>
    </w:p>
    <w:p w14:paraId="07C2FF26" w14:textId="77777777" w:rsidR="002664C2" w:rsidRPr="00066CC7" w:rsidRDefault="002664C2" w:rsidP="002664C2">
      <w:pPr>
        <w:jc w:val="center"/>
      </w:pPr>
    </w:p>
    <w:p w14:paraId="5EC30F19" w14:textId="77777777" w:rsidR="002664C2" w:rsidRPr="00066CC7" w:rsidRDefault="002664C2" w:rsidP="002664C2"/>
    <w:p w14:paraId="7C27180E" w14:textId="77777777" w:rsidR="002664C2" w:rsidRPr="00066CC7" w:rsidRDefault="002664C2" w:rsidP="002664C2">
      <w:pPr>
        <w:jc w:val="center"/>
      </w:pPr>
      <w:r w:rsidRPr="00D62B98">
        <w:rPr>
          <w:noProof/>
        </w:rPr>
        <w:lastRenderedPageBreak/>
        <w:drawing>
          <wp:inline distT="0" distB="0" distL="0" distR="0" wp14:anchorId="56C7F1A3" wp14:editId="4F8DE7C2">
            <wp:extent cx="581406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4060" cy="8229600"/>
                    </a:xfrm>
                    <a:prstGeom prst="rect">
                      <a:avLst/>
                    </a:prstGeom>
                    <a:noFill/>
                    <a:ln>
                      <a:noFill/>
                    </a:ln>
                  </pic:spPr>
                </pic:pic>
              </a:graphicData>
            </a:graphic>
          </wp:inline>
        </w:drawing>
      </w:r>
    </w:p>
    <w:p w14:paraId="02D2D976" w14:textId="77777777" w:rsidR="002664C2" w:rsidRPr="00066CC7" w:rsidRDefault="002664C2" w:rsidP="002664C2">
      <w:pPr>
        <w:jc w:val="center"/>
      </w:pPr>
      <w:r w:rsidRPr="00D62B98">
        <w:rPr>
          <w:noProof/>
        </w:rPr>
        <w:lastRenderedPageBreak/>
        <w:drawing>
          <wp:inline distT="0" distB="0" distL="0" distR="0" wp14:anchorId="1200ECC0" wp14:editId="48872B1C">
            <wp:extent cx="5812155"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2155" cy="8229600"/>
                    </a:xfrm>
                    <a:prstGeom prst="rect">
                      <a:avLst/>
                    </a:prstGeom>
                    <a:noFill/>
                    <a:ln>
                      <a:noFill/>
                    </a:ln>
                  </pic:spPr>
                </pic:pic>
              </a:graphicData>
            </a:graphic>
          </wp:inline>
        </w:drawing>
      </w:r>
    </w:p>
    <w:p w14:paraId="6DED2775" w14:textId="77777777" w:rsidR="002664C2" w:rsidRPr="00066CC7" w:rsidRDefault="002664C2" w:rsidP="002664C2">
      <w:pPr>
        <w:jc w:val="center"/>
      </w:pPr>
      <w:r w:rsidRPr="00D62B98">
        <w:rPr>
          <w:noProof/>
        </w:rPr>
        <w:lastRenderedPageBreak/>
        <w:drawing>
          <wp:inline distT="0" distB="0" distL="0" distR="0" wp14:anchorId="048DB535" wp14:editId="4B6D522C">
            <wp:extent cx="5749925" cy="8229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9925" cy="8229600"/>
                    </a:xfrm>
                    <a:prstGeom prst="rect">
                      <a:avLst/>
                    </a:prstGeom>
                    <a:noFill/>
                    <a:ln>
                      <a:noFill/>
                    </a:ln>
                  </pic:spPr>
                </pic:pic>
              </a:graphicData>
            </a:graphic>
          </wp:inline>
        </w:drawing>
      </w:r>
    </w:p>
    <w:p w14:paraId="11C5AA0B" w14:textId="071D8B56" w:rsidR="002664C2" w:rsidRPr="00066CC7" w:rsidRDefault="002664C2" w:rsidP="002664C2">
      <w:pPr>
        <w:jc w:val="center"/>
      </w:pPr>
      <w:r w:rsidRPr="00D62B98">
        <w:rPr>
          <w:noProof/>
        </w:rPr>
        <w:lastRenderedPageBreak/>
        <w:drawing>
          <wp:inline distT="0" distB="0" distL="0" distR="0" wp14:anchorId="3BF64A5C" wp14:editId="728F863B">
            <wp:extent cx="585724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57240" cy="8229600"/>
                    </a:xfrm>
                    <a:prstGeom prst="rect">
                      <a:avLst/>
                    </a:prstGeom>
                    <a:noFill/>
                    <a:ln>
                      <a:noFill/>
                    </a:ln>
                  </pic:spPr>
                </pic:pic>
              </a:graphicData>
            </a:graphic>
          </wp:inline>
        </w:drawing>
      </w:r>
    </w:p>
    <w:sectPr w:rsidR="002664C2" w:rsidRPr="00066C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EFDA18" w14:textId="77777777" w:rsidR="00A47C8A" w:rsidRDefault="00A47C8A" w:rsidP="00655736">
      <w:r>
        <w:separator/>
      </w:r>
    </w:p>
  </w:endnote>
  <w:endnote w:type="continuationSeparator" w:id="0">
    <w:p w14:paraId="3DB90EB5" w14:textId="77777777" w:rsidR="00A47C8A" w:rsidRDefault="00A47C8A" w:rsidP="00655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09532" w14:textId="77777777" w:rsidR="00A47C8A" w:rsidRDefault="00A47C8A" w:rsidP="00655736">
      <w:r>
        <w:separator/>
      </w:r>
    </w:p>
  </w:footnote>
  <w:footnote w:type="continuationSeparator" w:id="0">
    <w:p w14:paraId="53D4C59B" w14:textId="77777777" w:rsidR="00A47C8A" w:rsidRDefault="00A47C8A" w:rsidP="00655736">
      <w:r>
        <w:continuationSeparator/>
      </w:r>
    </w:p>
  </w:footnote>
  <w:footnote w:id="1">
    <w:p w14:paraId="796CEAB2" w14:textId="14AFB326" w:rsidR="00BE7841" w:rsidRPr="00066CC7" w:rsidRDefault="00BE7841" w:rsidP="00440EAF">
      <w:pPr>
        <w:pStyle w:val="COMPara"/>
        <w:numPr>
          <w:ilvl w:val="0"/>
          <w:numId w:val="0"/>
        </w:numPr>
        <w:ind w:left="567" w:hanging="567"/>
        <w:jc w:val="both"/>
        <w:rPr>
          <w:rFonts w:asciiTheme="minorBidi" w:hAnsiTheme="minorBidi" w:cstheme="minorBidi"/>
          <w:sz w:val="18"/>
          <w:szCs w:val="18"/>
        </w:rPr>
      </w:pPr>
      <w:r w:rsidRPr="00066CC7">
        <w:rPr>
          <w:rStyle w:val="FootnoteReference"/>
          <w:rFonts w:asciiTheme="minorBidi" w:hAnsiTheme="minorBidi" w:cstheme="minorBidi"/>
          <w:sz w:val="18"/>
          <w:szCs w:val="18"/>
          <w:vertAlign w:val="baseline"/>
        </w:rPr>
        <w:footnoteRef/>
      </w:r>
      <w:r w:rsidR="004D1352" w:rsidRPr="00D62B98">
        <w:rPr>
          <w:rFonts w:asciiTheme="minorBidi" w:hAnsiTheme="minorBidi" w:cstheme="minorBidi"/>
          <w:sz w:val="18"/>
          <w:szCs w:val="18"/>
        </w:rPr>
        <w:t>.</w:t>
      </w:r>
      <w:r w:rsidRPr="00D62B98">
        <w:rPr>
          <w:rFonts w:asciiTheme="minorBidi" w:hAnsiTheme="minorBidi" w:cstheme="minorBidi"/>
          <w:sz w:val="18"/>
          <w:szCs w:val="18"/>
        </w:rPr>
        <w:t xml:space="preserve"> </w:t>
      </w:r>
      <w:r w:rsidRPr="00D62B98">
        <w:rPr>
          <w:rFonts w:asciiTheme="minorBidi" w:hAnsiTheme="minorBidi" w:cstheme="minorBidi"/>
          <w:sz w:val="18"/>
          <w:szCs w:val="18"/>
        </w:rPr>
        <w:tab/>
        <w:t xml:space="preserve">Il convient de lire le présent rapport parallèlement au rapport financier du Fonds de la Convention pour la sauvegarde du patrimoine culturel immatériel (document </w:t>
      </w:r>
      <w:hyperlink r:id="rId1" w:history="1">
        <w:r w:rsidRPr="00D62B98">
          <w:rPr>
            <w:rStyle w:val="Hyperlink"/>
            <w:rFonts w:asciiTheme="minorBidi" w:hAnsiTheme="minorBidi" w:cstheme="minorBidi"/>
            <w:sz w:val="18"/>
            <w:szCs w:val="18"/>
          </w:rPr>
          <w:t>LHE/21/16.COM/INF.13.1</w:t>
        </w:r>
      </w:hyperlink>
      <w:r w:rsidRPr="00D62B98">
        <w:rPr>
          <w:rFonts w:asciiTheme="minorBidi" w:hAnsiTheme="minorBidi" w:cstheme="minorBidi"/>
          <w:sz w:val="18"/>
          <w:szCs w:val="18"/>
        </w:rPr>
        <w:t xml:space="preserve">) et au dernier rapport de mise en œuvre du plan de dépenses pour les « autres fonctions du Comité » qui est présenté à la présente session du Comité (document </w:t>
      </w:r>
      <w:hyperlink r:id="rId2" w:history="1">
        <w:r w:rsidRPr="00D62B98">
          <w:rPr>
            <w:rStyle w:val="Hyperlink"/>
            <w:rFonts w:asciiTheme="minorBidi" w:hAnsiTheme="minorBidi" w:cstheme="minorBidi"/>
            <w:sz w:val="18"/>
            <w:szCs w:val="18"/>
          </w:rPr>
          <w:t>LHE/21/16.COM/INF.13.2</w:t>
        </w:r>
      </w:hyperlink>
      <w:r w:rsidRPr="00D62B98">
        <w:rPr>
          <w:rFonts w:asciiTheme="minorBidi" w:hAnsiTheme="minorBidi" w:cstheme="minorBidi"/>
          <w:sz w:val="18"/>
          <w:szCs w:val="18"/>
        </w:rPr>
        <w:t>). Par ailleurs, l’Évaluation par l’IOS (2021) de l’action de l’UNESCO dans le cadre de la Convention de 2003 (document LHE/21/16.COM/INF.10) fournit des indications complémentaires sur les activités menées par le Secrétariat depuis 2018.</w:t>
      </w:r>
    </w:p>
  </w:footnote>
  <w:footnote w:id="2">
    <w:p w14:paraId="222C7B10" w14:textId="2F4347CB" w:rsidR="00BE7841" w:rsidRPr="00066CC7" w:rsidRDefault="00BE7841" w:rsidP="00440EAF">
      <w:pPr>
        <w:pStyle w:val="FootnoteText"/>
        <w:ind w:left="567" w:hanging="567"/>
        <w:jc w:val="both"/>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napToGrid w:val="0"/>
          <w:sz w:val="18"/>
          <w:szCs w:val="18"/>
        </w:rPr>
        <w:t>.</w:t>
      </w:r>
      <w:r w:rsidRPr="00D62B98">
        <w:rPr>
          <w:rFonts w:asciiTheme="minorBidi" w:hAnsiTheme="minorBidi"/>
          <w:sz w:val="18"/>
          <w:szCs w:val="18"/>
        </w:rPr>
        <w:tab/>
      </w:r>
      <w:r w:rsidRPr="00D62B98">
        <w:rPr>
          <w:rFonts w:asciiTheme="minorBidi" w:hAnsiTheme="minorBidi"/>
          <w:snapToGrid w:val="0"/>
          <w:sz w:val="18"/>
          <w:szCs w:val="18"/>
        </w:rPr>
        <w:t>L’Évaluation par l’IOS de l’action de l’UNESCO dans le cadre de la Convention de 2003 pour la sauvegarde du patrimoine culturel immatériel fournit une description détaillée de la composition et de la structure du Secrétariat (document LHE/21/16.COM/</w:t>
      </w:r>
      <w:r w:rsidRPr="00D62B98">
        <w:rPr>
          <w:rFonts w:asciiTheme="minorBidi" w:hAnsiTheme="minorBidi"/>
          <w:sz w:val="18"/>
          <w:szCs w:val="18"/>
        </w:rPr>
        <w:t>INF.10, paragraphes 33-34).</w:t>
      </w:r>
    </w:p>
  </w:footnote>
  <w:footnote w:id="3">
    <w:p w14:paraId="47752354" w14:textId="3C1DFF3C" w:rsidR="00BE7841" w:rsidRPr="00066CC7" w:rsidRDefault="00BE7841" w:rsidP="00440EA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r>
      <w:r w:rsidRPr="00066CC7">
        <w:rPr>
          <w:rFonts w:asciiTheme="minorBidi" w:hAnsiTheme="minorBidi"/>
          <w:sz w:val="18"/>
          <w:szCs w:val="18"/>
        </w:rPr>
        <w:t xml:space="preserve">Voir </w:t>
      </w:r>
      <w:r w:rsidR="00B70A55" w:rsidRPr="00066CC7">
        <w:rPr>
          <w:rFonts w:asciiTheme="minorBidi" w:hAnsiTheme="minorBidi"/>
          <w:sz w:val="18"/>
          <w:szCs w:val="18"/>
        </w:rPr>
        <w:t xml:space="preserve">le </w:t>
      </w:r>
      <w:r w:rsidRPr="00066CC7">
        <w:rPr>
          <w:rFonts w:asciiTheme="minorBidi" w:hAnsiTheme="minorBidi"/>
          <w:sz w:val="18"/>
          <w:szCs w:val="18"/>
        </w:rPr>
        <w:t>document</w:t>
      </w:r>
      <w:r w:rsidRPr="00D62B98">
        <w:rPr>
          <w:rFonts w:asciiTheme="minorBidi" w:hAnsiTheme="minorBidi"/>
          <w:sz w:val="18"/>
          <w:szCs w:val="18"/>
        </w:rPr>
        <w:t xml:space="preserve"> </w:t>
      </w:r>
      <w:hyperlink r:id="rId3" w:history="1">
        <w:r w:rsidRPr="00D62B98">
          <w:rPr>
            <w:rStyle w:val="Hyperlink"/>
            <w:rFonts w:asciiTheme="minorBidi" w:hAnsiTheme="minorBidi" w:cstheme="minorBidi"/>
            <w:sz w:val="18"/>
            <w:szCs w:val="18"/>
          </w:rPr>
          <w:t>LHE/21/16.COM/14</w:t>
        </w:r>
      </w:hyperlink>
    </w:p>
  </w:footnote>
  <w:footnote w:id="4">
    <w:p w14:paraId="73A4C3EF" w14:textId="43D309C7" w:rsidR="00FA400F" w:rsidRPr="00066CC7" w:rsidRDefault="00FA400F" w:rsidP="00FA400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t xml:space="preserve">Voir la décision </w:t>
      </w:r>
      <w:hyperlink r:id="rId4" w:history="1">
        <w:r w:rsidRPr="00D62B98">
          <w:rPr>
            <w:rStyle w:val="Hyperlink"/>
            <w:rFonts w:asciiTheme="minorBidi" w:hAnsiTheme="minorBidi" w:cstheme="minorBidi"/>
            <w:sz w:val="18"/>
            <w:szCs w:val="18"/>
          </w:rPr>
          <w:t>14.COM 15</w:t>
        </w:r>
      </w:hyperlink>
    </w:p>
  </w:footnote>
  <w:footnote w:id="5">
    <w:p w14:paraId="6F329430" w14:textId="122AECA4" w:rsidR="00765B3D" w:rsidRPr="00066CC7" w:rsidRDefault="00765B3D" w:rsidP="00440EAF">
      <w:pPr>
        <w:pStyle w:val="FootnoteText"/>
        <w:tabs>
          <w:tab w:val="left" w:pos="540"/>
          <w:tab w:val="left" w:pos="567"/>
        </w:tabs>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r>
      <w:r w:rsidRPr="00D62B98">
        <w:rPr>
          <w:rFonts w:asciiTheme="minorBidi" w:hAnsiTheme="minorBidi"/>
          <w:sz w:val="18"/>
          <w:szCs w:val="18"/>
        </w:rPr>
        <w:tab/>
        <w:t xml:space="preserve">Voir la résolution </w:t>
      </w:r>
      <w:hyperlink r:id="rId5" w:history="1">
        <w:r w:rsidRPr="00D62B98">
          <w:rPr>
            <w:rStyle w:val="Hyperlink"/>
            <w:rFonts w:asciiTheme="minorBidi" w:hAnsiTheme="minorBidi" w:cstheme="minorBidi"/>
            <w:sz w:val="18"/>
            <w:szCs w:val="18"/>
          </w:rPr>
          <w:t>7.GA 8</w:t>
        </w:r>
      </w:hyperlink>
    </w:p>
  </w:footnote>
  <w:footnote w:id="6">
    <w:p w14:paraId="026BEE9A" w14:textId="13C4FEC9" w:rsidR="00765B3D" w:rsidRPr="00066CC7" w:rsidRDefault="00765B3D" w:rsidP="00440EAF">
      <w:pPr>
        <w:pStyle w:val="FootnoteText"/>
        <w:tabs>
          <w:tab w:val="left" w:pos="567"/>
        </w:tabs>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Style w:val="FootnoteReference"/>
          <w:rFonts w:asciiTheme="minorBidi" w:hAnsiTheme="minorBidi"/>
          <w:sz w:val="18"/>
          <w:szCs w:val="18"/>
          <w:vertAlign w:val="baseline"/>
        </w:rPr>
        <w:t>.</w:t>
      </w:r>
      <w:r w:rsidRPr="00D62B98">
        <w:rPr>
          <w:rStyle w:val="FootnoteReference"/>
          <w:rFonts w:asciiTheme="minorBidi" w:hAnsiTheme="minorBidi"/>
          <w:sz w:val="18"/>
          <w:szCs w:val="18"/>
          <w:vertAlign w:val="baseline"/>
        </w:rPr>
        <w:tab/>
      </w:r>
      <w:r w:rsidRPr="00D62B98">
        <w:rPr>
          <w:rFonts w:asciiTheme="minorBidi" w:hAnsiTheme="minorBidi"/>
          <w:sz w:val="18"/>
          <w:szCs w:val="18"/>
        </w:rPr>
        <w:t xml:space="preserve">Voir </w:t>
      </w:r>
      <w:r w:rsidR="00B70A55" w:rsidRPr="00D62B98">
        <w:rPr>
          <w:rFonts w:asciiTheme="minorBidi" w:hAnsiTheme="minorBidi"/>
          <w:sz w:val="18"/>
          <w:szCs w:val="18"/>
        </w:rPr>
        <w:t xml:space="preserve">le </w:t>
      </w:r>
      <w:r w:rsidRPr="00D62B98">
        <w:rPr>
          <w:rStyle w:val="Hyperlink"/>
          <w:rFonts w:asciiTheme="minorBidi" w:hAnsiTheme="minorBidi" w:cstheme="minorBidi"/>
          <w:color w:val="auto"/>
          <w:sz w:val="18"/>
          <w:szCs w:val="18"/>
          <w:u w:val="none"/>
        </w:rPr>
        <w:t xml:space="preserve">document </w:t>
      </w:r>
      <w:hyperlink r:id="rId6" w:history="1">
        <w:r w:rsidRPr="00D62B98">
          <w:rPr>
            <w:rStyle w:val="Hyperlink"/>
            <w:rFonts w:asciiTheme="minorBidi" w:hAnsiTheme="minorBidi" w:cstheme="minorBidi"/>
            <w:sz w:val="18"/>
            <w:szCs w:val="18"/>
          </w:rPr>
          <w:t>LHE/21/16.COM/INF.13.1</w:t>
        </w:r>
      </w:hyperlink>
    </w:p>
  </w:footnote>
  <w:footnote w:id="7">
    <w:p w14:paraId="5A356A38" w14:textId="332E7513" w:rsidR="00BE7841" w:rsidRPr="00066CC7" w:rsidRDefault="00BE7841" w:rsidP="00440EA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t xml:space="preserve">Voir </w:t>
      </w:r>
      <w:r w:rsidR="00B70A55" w:rsidRPr="00D62B98">
        <w:rPr>
          <w:rFonts w:asciiTheme="minorBidi" w:hAnsiTheme="minorBidi"/>
          <w:sz w:val="18"/>
          <w:szCs w:val="18"/>
        </w:rPr>
        <w:t xml:space="preserve">le </w:t>
      </w:r>
      <w:r w:rsidRPr="00D62B98">
        <w:rPr>
          <w:rStyle w:val="Hyperlink"/>
          <w:rFonts w:asciiTheme="minorBidi" w:hAnsiTheme="minorBidi" w:cstheme="minorBidi"/>
          <w:color w:val="auto"/>
          <w:sz w:val="18"/>
          <w:szCs w:val="18"/>
          <w:u w:val="none"/>
        </w:rPr>
        <w:t xml:space="preserve">document </w:t>
      </w:r>
      <w:hyperlink r:id="rId7" w:history="1">
        <w:r w:rsidRPr="00D62B98">
          <w:rPr>
            <w:rStyle w:val="Hyperlink"/>
            <w:rFonts w:asciiTheme="minorBidi" w:hAnsiTheme="minorBidi" w:cstheme="minorBidi"/>
            <w:sz w:val="18"/>
            <w:szCs w:val="18"/>
          </w:rPr>
          <w:t>LHE/21/16.COM/7.b</w:t>
        </w:r>
      </w:hyperlink>
    </w:p>
  </w:footnote>
  <w:footnote w:id="8">
    <w:p w14:paraId="61824DCE" w14:textId="4E89B519" w:rsidR="00BE7841" w:rsidRPr="00066CC7" w:rsidRDefault="00DF5EEF" w:rsidP="00440EAF">
      <w:pPr>
        <w:pStyle w:val="FootnoteText"/>
        <w:ind w:left="567" w:hanging="567"/>
        <w:rPr>
          <w:rFonts w:asciiTheme="minorBidi" w:hAnsiTheme="minorBidi"/>
          <w:sz w:val="18"/>
          <w:szCs w:val="18"/>
        </w:rPr>
      </w:pPr>
      <w:r w:rsidRPr="00D62B98">
        <w:rPr>
          <w:rFonts w:asciiTheme="minorBidi" w:hAnsiTheme="minorBidi"/>
          <w:sz w:val="18"/>
          <w:szCs w:val="18"/>
        </w:rPr>
        <w:t>8</w:t>
      </w:r>
      <w:r w:rsidR="00BE7841" w:rsidRPr="00D62B98">
        <w:rPr>
          <w:rFonts w:asciiTheme="minorBidi" w:hAnsiTheme="minorBidi"/>
          <w:sz w:val="18"/>
          <w:szCs w:val="18"/>
        </w:rPr>
        <w:t>.</w:t>
      </w:r>
      <w:r w:rsidR="00BE7841" w:rsidRPr="00D62B98">
        <w:rPr>
          <w:rFonts w:asciiTheme="minorBidi" w:hAnsiTheme="minorBidi"/>
          <w:sz w:val="18"/>
          <w:szCs w:val="18"/>
        </w:rPr>
        <w:tab/>
        <w:t>Voir</w:t>
      </w:r>
      <w:r w:rsidR="00B70A55" w:rsidRPr="00D62B98">
        <w:rPr>
          <w:rFonts w:asciiTheme="minorBidi" w:hAnsiTheme="minorBidi"/>
          <w:sz w:val="18"/>
          <w:szCs w:val="18"/>
        </w:rPr>
        <w:t xml:space="preserve"> la</w:t>
      </w:r>
      <w:r w:rsidR="00BE7841" w:rsidRPr="00D62B98">
        <w:rPr>
          <w:rFonts w:asciiTheme="minorBidi" w:hAnsiTheme="minorBidi"/>
          <w:sz w:val="18"/>
          <w:szCs w:val="18"/>
        </w:rPr>
        <w:t xml:space="preserve"> décision </w:t>
      </w:r>
      <w:hyperlink r:id="rId8" w:history="1">
        <w:r w:rsidR="00BE7841" w:rsidRPr="00D62B98">
          <w:rPr>
            <w:rStyle w:val="Hyperlink"/>
            <w:rFonts w:asciiTheme="minorBidi" w:hAnsiTheme="minorBidi" w:cstheme="minorBidi"/>
            <w:sz w:val="18"/>
            <w:szCs w:val="18"/>
          </w:rPr>
          <w:t>12.COM 6</w:t>
        </w:r>
      </w:hyperlink>
    </w:p>
  </w:footnote>
  <w:footnote w:id="9">
    <w:p w14:paraId="1963B0F3" w14:textId="5BBD2B4C" w:rsidR="00BE7841" w:rsidRPr="00066CC7" w:rsidRDefault="00BE7841" w:rsidP="00440EA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t xml:space="preserve">Voir </w:t>
      </w:r>
      <w:r w:rsidR="00B70A55" w:rsidRPr="00D62B98">
        <w:rPr>
          <w:rFonts w:asciiTheme="minorBidi" w:hAnsiTheme="minorBidi"/>
          <w:sz w:val="18"/>
          <w:szCs w:val="18"/>
        </w:rPr>
        <w:t xml:space="preserve">la </w:t>
      </w:r>
      <w:r w:rsidRPr="00D62B98">
        <w:rPr>
          <w:rFonts w:asciiTheme="minorBidi" w:hAnsiTheme="minorBidi"/>
          <w:sz w:val="18"/>
          <w:szCs w:val="18"/>
        </w:rPr>
        <w:t xml:space="preserve">décision </w:t>
      </w:r>
      <w:hyperlink r:id="rId9" w:history="1">
        <w:r w:rsidRPr="00D62B98">
          <w:rPr>
            <w:rStyle w:val="Hyperlink"/>
            <w:rFonts w:asciiTheme="minorBidi" w:hAnsiTheme="minorBidi" w:cstheme="minorBidi"/>
            <w:sz w:val="18"/>
            <w:szCs w:val="18"/>
          </w:rPr>
          <w:t>15.COM 8</w:t>
        </w:r>
      </w:hyperlink>
    </w:p>
  </w:footnote>
  <w:footnote w:id="10">
    <w:p w14:paraId="06E44B66" w14:textId="13F55F52" w:rsidR="00BE7841" w:rsidRPr="00066CC7" w:rsidRDefault="00BE7841" w:rsidP="00440EA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t xml:space="preserve">Voir </w:t>
      </w:r>
      <w:r w:rsidR="00B70A55" w:rsidRPr="00D62B98">
        <w:rPr>
          <w:rFonts w:asciiTheme="minorBidi" w:hAnsiTheme="minorBidi"/>
          <w:sz w:val="18"/>
          <w:szCs w:val="18"/>
        </w:rPr>
        <w:t xml:space="preserve">la </w:t>
      </w:r>
      <w:r w:rsidRPr="00D62B98">
        <w:rPr>
          <w:rFonts w:asciiTheme="minorBidi" w:hAnsiTheme="minorBidi"/>
          <w:sz w:val="18"/>
          <w:szCs w:val="18"/>
        </w:rPr>
        <w:t xml:space="preserve">décision </w:t>
      </w:r>
      <w:hyperlink r:id="rId10" w:history="1">
        <w:r w:rsidRPr="00D62B98">
          <w:rPr>
            <w:rStyle w:val="Hyperlink"/>
            <w:rFonts w:asciiTheme="minorBidi" w:hAnsiTheme="minorBidi" w:cstheme="minorBidi"/>
            <w:sz w:val="18"/>
            <w:szCs w:val="18"/>
          </w:rPr>
          <w:t>14.COM 10</w:t>
        </w:r>
      </w:hyperlink>
      <w:r w:rsidRPr="00D62B98">
        <w:rPr>
          <w:rFonts w:asciiTheme="minorBidi" w:hAnsiTheme="minorBidi"/>
          <w:sz w:val="18"/>
          <w:szCs w:val="18"/>
        </w:rPr>
        <w:t xml:space="preserve"> (paragraphe 14) </w:t>
      </w:r>
    </w:p>
  </w:footnote>
  <w:footnote w:id="11">
    <w:p w14:paraId="1A134D28" w14:textId="3711F11F" w:rsidR="00BE7841" w:rsidRPr="00066CC7" w:rsidRDefault="00BE7841" w:rsidP="00440EA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 xml:space="preserve">. </w:t>
      </w:r>
      <w:r w:rsidRPr="00D62B98">
        <w:rPr>
          <w:rFonts w:asciiTheme="minorBidi" w:hAnsiTheme="minorBidi"/>
          <w:sz w:val="18"/>
          <w:szCs w:val="18"/>
        </w:rPr>
        <w:tab/>
        <w:t xml:space="preserve">Voir </w:t>
      </w:r>
      <w:r w:rsidR="00B70A55" w:rsidRPr="00D62B98">
        <w:rPr>
          <w:rFonts w:asciiTheme="minorBidi" w:hAnsiTheme="minorBidi"/>
          <w:sz w:val="18"/>
          <w:szCs w:val="18"/>
        </w:rPr>
        <w:t xml:space="preserve">le </w:t>
      </w:r>
      <w:r w:rsidRPr="00D62B98">
        <w:rPr>
          <w:rFonts w:asciiTheme="minorBidi" w:hAnsiTheme="minorBidi"/>
          <w:sz w:val="18"/>
          <w:szCs w:val="18"/>
        </w:rPr>
        <w:t xml:space="preserve">document </w:t>
      </w:r>
      <w:hyperlink r:id="rId11" w:history="1">
        <w:r w:rsidRPr="00D62B98">
          <w:rPr>
            <w:rStyle w:val="Hyperlink"/>
            <w:rFonts w:asciiTheme="minorBidi" w:hAnsiTheme="minorBidi" w:cstheme="minorBidi"/>
            <w:sz w:val="18"/>
            <w:szCs w:val="18"/>
          </w:rPr>
          <w:t>C54/21/16.COM/INF.5.III</w:t>
        </w:r>
      </w:hyperlink>
      <w:r w:rsidRPr="00D62B98">
        <w:rPr>
          <w:rFonts w:asciiTheme="minorBidi" w:hAnsiTheme="minorBidi"/>
          <w:sz w:val="18"/>
          <w:szCs w:val="18"/>
        </w:rPr>
        <w:t xml:space="preserve"> </w:t>
      </w:r>
    </w:p>
  </w:footnote>
  <w:footnote w:id="12">
    <w:p w14:paraId="51DD38D3" w14:textId="26784F4F" w:rsidR="008622E1" w:rsidRPr="00066CC7" w:rsidRDefault="008622E1" w:rsidP="00440EA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t>Voir</w:t>
      </w:r>
      <w:r w:rsidR="00B70A55" w:rsidRPr="00D62B98">
        <w:rPr>
          <w:rFonts w:asciiTheme="minorBidi" w:hAnsiTheme="minorBidi"/>
          <w:sz w:val="18"/>
          <w:szCs w:val="18"/>
        </w:rPr>
        <w:t xml:space="preserve"> le</w:t>
      </w:r>
      <w:r w:rsidRPr="00D62B98">
        <w:rPr>
          <w:rFonts w:asciiTheme="minorBidi" w:hAnsiTheme="minorBidi"/>
          <w:sz w:val="18"/>
          <w:szCs w:val="18"/>
        </w:rPr>
        <w:t xml:space="preserve"> document LHE/21/16.COM/INF.10 (paragraphe 181)</w:t>
      </w:r>
    </w:p>
  </w:footnote>
  <w:footnote w:id="13">
    <w:p w14:paraId="51DFDC56" w14:textId="70875FF0" w:rsidR="000175CA" w:rsidRPr="00066CC7" w:rsidRDefault="000175CA" w:rsidP="000175CA">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w:t>
      </w:r>
      <w:r w:rsidRPr="00D62B98">
        <w:rPr>
          <w:rFonts w:asciiTheme="minorBidi" w:hAnsiTheme="minorBidi"/>
          <w:sz w:val="18"/>
          <w:szCs w:val="18"/>
        </w:rPr>
        <w:tab/>
        <w:t xml:space="preserve">Voir </w:t>
      </w:r>
      <w:r w:rsidR="00B70A55" w:rsidRPr="00D62B98">
        <w:rPr>
          <w:rFonts w:asciiTheme="minorBidi" w:hAnsiTheme="minorBidi"/>
          <w:sz w:val="18"/>
          <w:szCs w:val="18"/>
        </w:rPr>
        <w:t xml:space="preserve">le </w:t>
      </w:r>
      <w:r w:rsidRPr="00D62B98">
        <w:rPr>
          <w:rFonts w:asciiTheme="minorBidi" w:hAnsiTheme="minorBidi"/>
          <w:sz w:val="18"/>
          <w:szCs w:val="18"/>
        </w:rPr>
        <w:t>document</w:t>
      </w:r>
      <w:r w:rsidR="000C2772" w:rsidRPr="00D62B98">
        <w:rPr>
          <w:rFonts w:asciiTheme="minorBidi" w:hAnsiTheme="minorBidi"/>
          <w:sz w:val="18"/>
          <w:szCs w:val="18"/>
        </w:rPr>
        <w:t xml:space="preserve"> LHE/21/16.COM/INF.10 </w:t>
      </w:r>
      <w:r w:rsidRPr="00D62B98">
        <w:rPr>
          <w:rFonts w:asciiTheme="minorBidi" w:hAnsiTheme="minorBidi"/>
          <w:sz w:val="18"/>
          <w:szCs w:val="18"/>
        </w:rPr>
        <w:t>(paragraphe 182</w:t>
      </w:r>
      <w:r w:rsidR="003E5D22" w:rsidRPr="00D62B98">
        <w:rPr>
          <w:rFonts w:asciiTheme="minorBidi" w:hAnsiTheme="minorBidi"/>
          <w:sz w:val="18"/>
          <w:szCs w:val="18"/>
        </w:rPr>
        <w:t>)</w:t>
      </w:r>
    </w:p>
  </w:footnote>
  <w:footnote w:id="14">
    <w:p w14:paraId="27784FCF" w14:textId="6BB41148" w:rsidR="00DF0B7B" w:rsidRPr="00066CC7" w:rsidRDefault="00DF0B7B" w:rsidP="00440EAF">
      <w:pPr>
        <w:pStyle w:val="FootnoteText"/>
        <w:ind w:left="567" w:hanging="567"/>
        <w:rPr>
          <w:rFonts w:asciiTheme="minorBidi" w:hAnsiTheme="minorBidi"/>
          <w:sz w:val="18"/>
          <w:szCs w:val="18"/>
        </w:rPr>
      </w:pPr>
      <w:r w:rsidRPr="00D62B98">
        <w:rPr>
          <w:rStyle w:val="FootnoteReference"/>
          <w:rFonts w:asciiTheme="minorBidi" w:hAnsiTheme="minorBidi"/>
          <w:sz w:val="18"/>
          <w:szCs w:val="18"/>
          <w:vertAlign w:val="baseline"/>
        </w:rPr>
        <w:footnoteRef/>
      </w:r>
      <w:r w:rsidRPr="00D62B98">
        <w:rPr>
          <w:rFonts w:asciiTheme="minorBidi" w:hAnsiTheme="minorBidi"/>
          <w:sz w:val="18"/>
          <w:szCs w:val="18"/>
        </w:rPr>
        <w:t xml:space="preserve">. </w:t>
      </w:r>
      <w:r w:rsidRPr="00D62B98">
        <w:rPr>
          <w:rFonts w:asciiTheme="minorBidi" w:hAnsiTheme="minorBidi"/>
          <w:sz w:val="18"/>
          <w:szCs w:val="18"/>
        </w:rPr>
        <w:tab/>
        <w:t xml:space="preserve">Voir </w:t>
      </w:r>
      <w:r w:rsidR="00B70A55" w:rsidRPr="00D62B98">
        <w:rPr>
          <w:rFonts w:asciiTheme="minorBidi" w:hAnsiTheme="minorBidi"/>
          <w:sz w:val="18"/>
          <w:szCs w:val="18"/>
        </w:rPr>
        <w:t xml:space="preserve">le </w:t>
      </w:r>
      <w:r w:rsidRPr="00D62B98">
        <w:rPr>
          <w:rFonts w:asciiTheme="minorBidi" w:hAnsiTheme="minorBidi"/>
          <w:sz w:val="18"/>
          <w:szCs w:val="18"/>
        </w:rPr>
        <w:t>document LHE/21/16.COM/INF.10 (Recommandation 11 de l’IOS)</w:t>
      </w:r>
    </w:p>
  </w:footnote>
  <w:footnote w:id="15">
    <w:p w14:paraId="6977A6E6" w14:textId="77777777" w:rsidR="002664C2" w:rsidRPr="00066CC7" w:rsidRDefault="002664C2" w:rsidP="002664C2">
      <w:pPr>
        <w:pStyle w:val="FootnoteText"/>
        <w:spacing w:after="60"/>
        <w:ind w:left="567" w:hanging="567"/>
        <w:contextualSpacing/>
        <w:rPr>
          <w:rFonts w:asciiTheme="minorBidi" w:hAnsiTheme="minorBidi"/>
          <w:sz w:val="18"/>
          <w:szCs w:val="18"/>
        </w:rPr>
      </w:pPr>
      <w:r w:rsidRPr="00D62B98">
        <w:rPr>
          <w:rFonts w:asciiTheme="minorBidi" w:hAnsiTheme="minorBidi"/>
          <w:sz w:val="18"/>
          <w:szCs w:val="18"/>
        </w:rPr>
        <w:footnoteRef/>
      </w:r>
      <w:r w:rsidRPr="00066CC7">
        <w:rPr>
          <w:rFonts w:asciiTheme="minorBidi" w:hAnsiTheme="minorBidi"/>
          <w:sz w:val="18"/>
          <w:szCs w:val="18"/>
        </w:rPr>
        <w:t>.</w:t>
      </w:r>
      <w:r w:rsidRPr="00066CC7">
        <w:rPr>
          <w:rFonts w:asciiTheme="minorBidi" w:hAnsiTheme="minorBidi"/>
          <w:sz w:val="18"/>
          <w:szCs w:val="18"/>
        </w:rPr>
        <w:tab/>
        <w:t xml:space="preserve">Résolution </w:t>
      </w:r>
      <w:hyperlink r:id="rId12" w:history="1">
        <w:r w:rsidRPr="00D62B98">
          <w:rPr>
            <w:rStyle w:val="Hyperlink"/>
            <w:rFonts w:asciiTheme="minorBidi" w:hAnsiTheme="minorBidi" w:cstheme="minorBidi"/>
            <w:sz w:val="18"/>
            <w:szCs w:val="18"/>
          </w:rPr>
          <w:t>8.GA 9</w:t>
        </w:r>
      </w:hyperlink>
      <w:r w:rsidRPr="00D62B98">
        <w:rPr>
          <w:rStyle w:val="Hyperlink"/>
          <w:rFonts w:asciiTheme="minorBidi" w:hAnsiTheme="minorBidi" w:cstheme="minorBidi"/>
          <w:sz w:val="18"/>
          <w:szCs w:val="18"/>
        </w:rPr>
        <w:t>.</w:t>
      </w:r>
    </w:p>
  </w:footnote>
  <w:footnote w:id="16">
    <w:p w14:paraId="2E4AA491" w14:textId="77777777" w:rsidR="002664C2" w:rsidRPr="00066CC7" w:rsidRDefault="002664C2" w:rsidP="002664C2">
      <w:pPr>
        <w:pStyle w:val="FootnoteText"/>
        <w:ind w:left="567" w:hanging="567"/>
        <w:contextualSpacing/>
        <w:rPr>
          <w:rFonts w:asciiTheme="minorBidi" w:hAnsiTheme="minorBidi"/>
          <w:sz w:val="18"/>
          <w:szCs w:val="18"/>
        </w:rPr>
      </w:pPr>
      <w:r w:rsidRPr="00D62B98">
        <w:rPr>
          <w:rFonts w:asciiTheme="minorBidi" w:hAnsiTheme="minorBidi"/>
          <w:sz w:val="18"/>
          <w:szCs w:val="18"/>
        </w:rPr>
        <w:footnoteRef/>
      </w:r>
      <w:r w:rsidRPr="00066CC7">
        <w:rPr>
          <w:rFonts w:asciiTheme="minorBidi" w:hAnsiTheme="minorBidi"/>
          <w:sz w:val="18"/>
          <w:szCs w:val="18"/>
        </w:rPr>
        <w:t xml:space="preserve">. </w:t>
      </w:r>
      <w:r w:rsidRPr="00066CC7">
        <w:rPr>
          <w:rFonts w:asciiTheme="minorBidi" w:hAnsiTheme="minorBidi"/>
          <w:sz w:val="18"/>
          <w:szCs w:val="18"/>
        </w:rPr>
        <w:tab/>
        <w:t xml:space="preserve">Résolution </w:t>
      </w:r>
      <w:hyperlink r:id="rId13" w:history="1">
        <w:r w:rsidRPr="00D62B98">
          <w:rPr>
            <w:rStyle w:val="Hyperlink"/>
            <w:rFonts w:asciiTheme="minorBidi" w:hAnsiTheme="minorBidi" w:cstheme="minorBidi"/>
            <w:sz w:val="18"/>
            <w:szCs w:val="18"/>
          </w:rPr>
          <w:t>8.GA 10</w:t>
        </w:r>
      </w:hyperlink>
      <w:r w:rsidRPr="00D62B98">
        <w:rPr>
          <w:rStyle w:val="Hyperlink"/>
          <w:rFonts w:asciiTheme="minorBidi" w:hAnsiTheme="minorBidi" w:cstheme="minorBidi"/>
          <w:sz w:val="18"/>
          <w:szCs w:val="18"/>
        </w:rPr>
        <w:t>.</w:t>
      </w:r>
    </w:p>
  </w:footnote>
  <w:footnote w:id="17">
    <w:p w14:paraId="00980E72" w14:textId="77777777" w:rsidR="002664C2" w:rsidRPr="00066CC7" w:rsidRDefault="002664C2" w:rsidP="002664C2">
      <w:pPr>
        <w:pStyle w:val="FootnoteText"/>
        <w:ind w:left="567" w:hanging="567"/>
        <w:contextualSpacing/>
        <w:jc w:val="both"/>
        <w:rPr>
          <w:rFonts w:asciiTheme="minorBidi" w:hAnsiTheme="minorBidi"/>
          <w:sz w:val="18"/>
          <w:szCs w:val="18"/>
        </w:rPr>
      </w:pPr>
      <w:r w:rsidRPr="00D62B98">
        <w:rPr>
          <w:rFonts w:asciiTheme="minorBidi" w:hAnsiTheme="minorBidi"/>
          <w:sz w:val="18"/>
          <w:szCs w:val="18"/>
        </w:rPr>
        <w:footnoteRef/>
      </w:r>
      <w:r w:rsidRPr="00D62B98">
        <w:rPr>
          <w:rFonts w:asciiTheme="minorBidi" w:hAnsiTheme="minorBidi"/>
          <w:sz w:val="18"/>
          <w:szCs w:val="18"/>
        </w:rPr>
        <w:t>.</w:t>
      </w:r>
      <w:r w:rsidRPr="00066CC7">
        <w:rPr>
          <w:rFonts w:asciiTheme="minorBidi" w:hAnsiTheme="minorBidi"/>
          <w:sz w:val="18"/>
          <w:szCs w:val="18"/>
        </w:rPr>
        <w:tab/>
        <w:t>Pendant la période de référence, le Secrétariat a organisé cinq réunions de l'Organe d'évaluation pour évaluer cinquante-deux dossiers de candidature pour le cycle 2020 ainsi que soixante dossiers pour le cycle 2021. Le Secrétariat a également géré la complétude technique de cinquante-neuf dossiers de nomination pour le cycle 2022.</w:t>
      </w:r>
    </w:p>
  </w:footnote>
  <w:footnote w:id="18">
    <w:p w14:paraId="646ECEA1" w14:textId="272897EE" w:rsidR="002664C2" w:rsidRPr="00066CC7" w:rsidRDefault="002664C2" w:rsidP="002664C2">
      <w:pPr>
        <w:pStyle w:val="FootnoteText"/>
        <w:tabs>
          <w:tab w:val="left" w:pos="567"/>
        </w:tabs>
        <w:contextualSpacing/>
        <w:jc w:val="both"/>
        <w:rPr>
          <w:rFonts w:asciiTheme="minorBidi" w:hAnsiTheme="minorBidi"/>
          <w:sz w:val="18"/>
          <w:szCs w:val="18"/>
        </w:rPr>
      </w:pPr>
      <w:r w:rsidRPr="00D62B98">
        <w:rPr>
          <w:rStyle w:val="FootnoteReference"/>
          <w:rFonts w:asciiTheme="minorBidi" w:hAnsiTheme="minorBidi"/>
          <w:sz w:val="18"/>
          <w:szCs w:val="18"/>
          <w:vertAlign w:val="baseline"/>
        </w:rPr>
        <w:footnoteRef/>
      </w:r>
      <w:r w:rsidRPr="00066CC7">
        <w:rPr>
          <w:rFonts w:asciiTheme="minorBidi" w:hAnsiTheme="minorBidi"/>
          <w:sz w:val="18"/>
          <w:szCs w:val="18"/>
        </w:rPr>
        <w:t>.</w:t>
      </w:r>
      <w:r w:rsidRPr="00066CC7">
        <w:rPr>
          <w:rFonts w:asciiTheme="minorBidi" w:hAnsiTheme="minorBidi"/>
          <w:sz w:val="18"/>
          <w:szCs w:val="18"/>
        </w:rPr>
        <w:tab/>
      </w:r>
      <w:r w:rsidRPr="00066CC7">
        <w:rPr>
          <w:rFonts w:asciiTheme="minorBidi" w:hAnsiTheme="minorBidi"/>
          <w:b/>
          <w:sz w:val="18"/>
          <w:szCs w:val="18"/>
        </w:rPr>
        <w:t>Réunions en 2020</w:t>
      </w:r>
      <w:r w:rsidR="00DF4E75" w:rsidRPr="00066CC7">
        <w:rPr>
          <w:rFonts w:asciiTheme="minorBidi" w:hAnsiTheme="minorBidi"/>
          <w:b/>
          <w:sz w:val="18"/>
          <w:szCs w:val="18"/>
        </w:rPr>
        <w:t xml:space="preserve"> </w:t>
      </w:r>
      <w:r w:rsidRPr="00066CC7">
        <w:rPr>
          <w:rFonts w:asciiTheme="minorBidi" w:hAnsiTheme="minorBidi"/>
          <w:b/>
          <w:sz w:val="18"/>
          <w:szCs w:val="18"/>
        </w:rPr>
        <w:t>:</w:t>
      </w:r>
    </w:p>
    <w:p w14:paraId="09F9DE92" w14:textId="77777777" w:rsidR="002664C2" w:rsidRPr="00066CC7" w:rsidRDefault="002664C2" w:rsidP="002664C2">
      <w:pPr>
        <w:pStyle w:val="FootnoteText"/>
        <w:ind w:left="567" w:firstLine="153"/>
        <w:contextualSpacing/>
        <w:jc w:val="both"/>
        <w:rPr>
          <w:rFonts w:asciiTheme="minorBidi" w:hAnsiTheme="minorBidi"/>
          <w:sz w:val="18"/>
          <w:szCs w:val="18"/>
        </w:rPr>
      </w:pPr>
      <w:r w:rsidRPr="00066CC7">
        <w:rPr>
          <w:rFonts w:asciiTheme="minorBidi" w:hAnsiTheme="minorBidi"/>
          <w:sz w:val="18"/>
          <w:szCs w:val="18"/>
        </w:rPr>
        <w:t>4 réunions du Bureau 15.COM;</w:t>
      </w:r>
    </w:p>
    <w:p w14:paraId="51DC2B14" w14:textId="77777777" w:rsidR="002664C2" w:rsidRPr="00066CC7" w:rsidRDefault="002664C2" w:rsidP="002664C2">
      <w:pPr>
        <w:pStyle w:val="FootnoteText"/>
        <w:ind w:left="567" w:firstLine="153"/>
        <w:contextualSpacing/>
        <w:jc w:val="both"/>
        <w:rPr>
          <w:rFonts w:asciiTheme="minorBidi" w:hAnsiTheme="minorBidi"/>
          <w:sz w:val="18"/>
          <w:szCs w:val="18"/>
        </w:rPr>
      </w:pPr>
      <w:r w:rsidRPr="00066CC7">
        <w:rPr>
          <w:rFonts w:asciiTheme="minorBidi" w:hAnsiTheme="minorBidi"/>
          <w:sz w:val="18"/>
          <w:szCs w:val="18"/>
        </w:rPr>
        <w:t>8</w:t>
      </w:r>
      <w:r w:rsidRPr="00066CC7">
        <w:rPr>
          <w:rFonts w:asciiTheme="minorBidi" w:hAnsiTheme="minorBidi"/>
          <w:sz w:val="18"/>
          <w:szCs w:val="18"/>
          <w:vertAlign w:val="superscript"/>
        </w:rPr>
        <w:t>ème</w:t>
      </w:r>
      <w:r w:rsidRPr="00066CC7">
        <w:rPr>
          <w:rFonts w:asciiTheme="minorBidi" w:hAnsiTheme="minorBidi"/>
          <w:sz w:val="18"/>
          <w:szCs w:val="18"/>
        </w:rPr>
        <w:t xml:space="preserve"> session de l’Assemblée Générale des Etats parties à la Convention, Siège de l’UNESCO, 8 – 10 septembre 2020 ;</w:t>
      </w:r>
    </w:p>
    <w:p w14:paraId="066D8645" w14:textId="77777777" w:rsidR="002664C2" w:rsidRPr="00066CC7" w:rsidRDefault="002664C2" w:rsidP="002664C2">
      <w:pPr>
        <w:pStyle w:val="FootnoteText"/>
        <w:ind w:left="567" w:firstLine="153"/>
        <w:contextualSpacing/>
        <w:jc w:val="both"/>
        <w:rPr>
          <w:rFonts w:asciiTheme="minorBidi" w:hAnsiTheme="minorBidi"/>
          <w:sz w:val="18"/>
          <w:szCs w:val="18"/>
        </w:rPr>
      </w:pPr>
      <w:r w:rsidRPr="00066CC7">
        <w:rPr>
          <w:rFonts w:asciiTheme="minorBidi" w:hAnsiTheme="minorBidi"/>
          <w:sz w:val="18"/>
          <w:szCs w:val="18"/>
        </w:rPr>
        <w:t xml:space="preserve">3 </w:t>
      </w:r>
      <w:bookmarkStart w:id="2" w:name="_Hlk88756008"/>
      <w:r w:rsidRPr="00066CC7">
        <w:rPr>
          <w:rFonts w:asciiTheme="minorBidi" w:hAnsiTheme="minorBidi"/>
          <w:sz w:val="18"/>
          <w:szCs w:val="18"/>
        </w:rPr>
        <w:t>réunions de l’Organe d’évaluation pour le cycle 2020</w:t>
      </w:r>
      <w:bookmarkEnd w:id="2"/>
      <w:r w:rsidRPr="00066CC7">
        <w:rPr>
          <w:rFonts w:asciiTheme="minorBidi" w:hAnsiTheme="minorBidi"/>
          <w:sz w:val="18"/>
          <w:szCs w:val="18"/>
        </w:rPr>
        <w:t>; et</w:t>
      </w:r>
    </w:p>
    <w:p w14:paraId="32C4BD0A" w14:textId="77777777" w:rsidR="002664C2" w:rsidRPr="00066CC7" w:rsidRDefault="002664C2" w:rsidP="002664C2">
      <w:pPr>
        <w:pStyle w:val="FootnoteText"/>
        <w:ind w:left="567" w:firstLine="153"/>
        <w:contextualSpacing/>
        <w:jc w:val="both"/>
        <w:rPr>
          <w:rFonts w:asciiTheme="minorBidi" w:hAnsiTheme="minorBidi"/>
          <w:sz w:val="18"/>
          <w:szCs w:val="18"/>
        </w:rPr>
      </w:pPr>
      <w:r w:rsidRPr="00066CC7">
        <w:rPr>
          <w:rFonts w:asciiTheme="minorBidi" w:hAnsiTheme="minorBidi"/>
          <w:sz w:val="18"/>
          <w:szCs w:val="18"/>
        </w:rPr>
        <w:t>15</w:t>
      </w:r>
      <w:r w:rsidRPr="00066CC7">
        <w:rPr>
          <w:rFonts w:asciiTheme="minorBidi" w:hAnsiTheme="minorBidi"/>
          <w:sz w:val="18"/>
          <w:szCs w:val="18"/>
          <w:vertAlign w:val="superscript"/>
        </w:rPr>
        <w:t>ème</w:t>
      </w:r>
      <w:r w:rsidRPr="00066CC7">
        <w:rPr>
          <w:rFonts w:asciiTheme="minorBidi" w:hAnsiTheme="minorBidi"/>
          <w:sz w:val="18"/>
          <w:szCs w:val="18"/>
        </w:rPr>
        <w:t xml:space="preserve"> session du Comité intergouvernemental, en ligne, 14–19 décembre 2020.</w:t>
      </w:r>
    </w:p>
    <w:p w14:paraId="4094F669" w14:textId="5B595B1A" w:rsidR="002664C2" w:rsidRPr="00066CC7" w:rsidRDefault="002664C2" w:rsidP="002664C2">
      <w:pPr>
        <w:pStyle w:val="FootnoteText"/>
        <w:keepNext/>
        <w:ind w:left="567"/>
        <w:contextualSpacing/>
        <w:jc w:val="both"/>
        <w:rPr>
          <w:rFonts w:asciiTheme="minorBidi" w:hAnsiTheme="minorBidi"/>
          <w:b/>
          <w:sz w:val="18"/>
          <w:szCs w:val="18"/>
        </w:rPr>
      </w:pPr>
      <w:r w:rsidRPr="00066CC7">
        <w:rPr>
          <w:rFonts w:asciiTheme="minorBidi" w:hAnsiTheme="minorBidi"/>
          <w:b/>
          <w:sz w:val="18"/>
          <w:szCs w:val="18"/>
        </w:rPr>
        <w:t>Réunions en 2021 (du 01/01/2021 au 30/06/2021)</w:t>
      </w:r>
      <w:r w:rsidR="00DF4E75" w:rsidRPr="00066CC7">
        <w:rPr>
          <w:rFonts w:asciiTheme="minorBidi" w:hAnsiTheme="minorBidi"/>
          <w:b/>
          <w:sz w:val="18"/>
          <w:szCs w:val="18"/>
        </w:rPr>
        <w:t xml:space="preserve"> </w:t>
      </w:r>
      <w:r w:rsidRPr="00066CC7">
        <w:rPr>
          <w:rFonts w:asciiTheme="minorBidi" w:hAnsiTheme="minorBidi"/>
          <w:b/>
          <w:sz w:val="18"/>
          <w:szCs w:val="18"/>
        </w:rPr>
        <w:t>:</w:t>
      </w:r>
    </w:p>
    <w:p w14:paraId="2DBDE274" w14:textId="77777777" w:rsidR="002664C2" w:rsidRPr="00066CC7" w:rsidRDefault="002664C2" w:rsidP="002664C2">
      <w:pPr>
        <w:pStyle w:val="FootnoteText"/>
        <w:ind w:left="567" w:firstLine="153"/>
        <w:contextualSpacing/>
        <w:jc w:val="both"/>
        <w:rPr>
          <w:rFonts w:asciiTheme="minorBidi" w:hAnsiTheme="minorBidi"/>
          <w:sz w:val="18"/>
          <w:szCs w:val="18"/>
        </w:rPr>
      </w:pPr>
      <w:r w:rsidRPr="00066CC7">
        <w:rPr>
          <w:rFonts w:asciiTheme="minorBidi" w:hAnsiTheme="minorBidi"/>
          <w:sz w:val="18"/>
          <w:szCs w:val="18"/>
        </w:rPr>
        <w:t>2 réunions du Bureau 16.COM;</w:t>
      </w:r>
    </w:p>
    <w:p w14:paraId="68A53A7B" w14:textId="77777777" w:rsidR="002664C2" w:rsidRPr="00066CC7" w:rsidRDefault="002664C2" w:rsidP="002664C2">
      <w:pPr>
        <w:pStyle w:val="FootnoteText"/>
        <w:ind w:left="567" w:firstLine="153"/>
        <w:contextualSpacing/>
        <w:jc w:val="both"/>
        <w:rPr>
          <w:rFonts w:asciiTheme="minorBidi" w:hAnsiTheme="minorBidi"/>
          <w:sz w:val="18"/>
          <w:szCs w:val="18"/>
        </w:rPr>
      </w:pPr>
      <w:r w:rsidRPr="00066CC7">
        <w:rPr>
          <w:rFonts w:asciiTheme="minorBidi" w:hAnsiTheme="minorBidi"/>
          <w:sz w:val="18"/>
          <w:szCs w:val="18"/>
        </w:rPr>
        <w:t>2 réunions de l’Organe d’évaluation pour le cycle 2021;</w:t>
      </w:r>
    </w:p>
    <w:p w14:paraId="25C15F52" w14:textId="77777777" w:rsidR="002664C2" w:rsidRPr="00066CC7" w:rsidRDefault="002664C2" w:rsidP="002664C2">
      <w:pPr>
        <w:pStyle w:val="FootnoteText"/>
        <w:ind w:left="567" w:firstLine="153"/>
        <w:contextualSpacing/>
        <w:jc w:val="both"/>
        <w:rPr>
          <w:rFonts w:asciiTheme="minorBidi" w:hAnsiTheme="minorBidi"/>
          <w:sz w:val="18"/>
          <w:szCs w:val="18"/>
        </w:rPr>
      </w:pPr>
      <w:r w:rsidRPr="00066CC7">
        <w:rPr>
          <w:rFonts w:asciiTheme="minorBidi" w:hAnsiTheme="minorBidi"/>
          <w:sz w:val="18"/>
          <w:szCs w:val="18"/>
        </w:rPr>
        <w:t>Réunion d'experts (Catégorie VI) dans le cadre de la réflexion globale sur les mécanismes d'inscription sur les listes de la Convention de 2003, en ligne, 7-27 mai 2021.</w:t>
      </w:r>
    </w:p>
  </w:footnote>
  <w:footnote w:id="19">
    <w:p w14:paraId="06729014" w14:textId="77777777" w:rsidR="002664C2" w:rsidRPr="00066CC7" w:rsidRDefault="002664C2" w:rsidP="002664C2">
      <w:pPr>
        <w:pStyle w:val="FootnoteText"/>
        <w:tabs>
          <w:tab w:val="left" w:pos="567"/>
        </w:tabs>
        <w:spacing w:after="60"/>
        <w:ind w:left="567" w:hanging="567"/>
        <w:contextualSpacing/>
        <w:jc w:val="both"/>
        <w:rPr>
          <w:rFonts w:asciiTheme="minorBidi" w:hAnsiTheme="minorBidi"/>
          <w:sz w:val="18"/>
          <w:szCs w:val="18"/>
          <w:highlight w:val="yellow"/>
        </w:rPr>
      </w:pPr>
      <w:r w:rsidRPr="00D62B98">
        <w:rPr>
          <w:rFonts w:asciiTheme="minorBidi" w:eastAsia="Times New Roman" w:hAnsiTheme="minorBidi"/>
          <w:sz w:val="18"/>
          <w:szCs w:val="18"/>
          <w:lang w:eastAsia="fr-FR"/>
        </w:rPr>
        <w:footnoteRef/>
      </w:r>
      <w:r w:rsidRPr="00066CC7">
        <w:rPr>
          <w:rFonts w:asciiTheme="minorBidi" w:eastAsia="Times New Roman" w:hAnsiTheme="minorBidi"/>
          <w:sz w:val="18"/>
          <w:szCs w:val="18"/>
          <w:lang w:eastAsia="fr-FR"/>
        </w:rPr>
        <w:t>.</w:t>
      </w:r>
      <w:r w:rsidRPr="00066CC7">
        <w:rPr>
          <w:rFonts w:asciiTheme="minorBidi" w:hAnsiTheme="minorBidi"/>
          <w:sz w:val="18"/>
          <w:szCs w:val="18"/>
        </w:rPr>
        <w:tab/>
        <w:t>Formation des points focaux nationaux pour le processus réformé de rapports périodiques en Amérique latine et dans les Caraïbes - En ligne (19 mai-23 juin 2020), Formation des formateurs du PCI pour l'Asie centrale - En ligne (24-28 août 2020), Formation des points focaux nationaux pour le processus réformé de rapports périodiques dans la région Europe - En ligne (19 mars-16 avril 2021).</w:t>
      </w:r>
    </w:p>
  </w:footnote>
  <w:footnote w:id="20">
    <w:p w14:paraId="740E0716" w14:textId="77777777" w:rsidR="002664C2" w:rsidRPr="00066CC7" w:rsidRDefault="002664C2" w:rsidP="002664C2">
      <w:pPr>
        <w:tabs>
          <w:tab w:val="left" w:pos="540"/>
        </w:tabs>
        <w:spacing w:after="60"/>
        <w:ind w:left="567" w:hanging="567"/>
        <w:contextualSpacing/>
        <w:jc w:val="both"/>
        <w:rPr>
          <w:rFonts w:asciiTheme="minorBidi" w:hAnsiTheme="minorBidi" w:cstheme="minorBidi"/>
          <w:sz w:val="18"/>
          <w:szCs w:val="18"/>
        </w:rPr>
      </w:pPr>
      <w:r w:rsidRPr="00D62B98">
        <w:rPr>
          <w:rFonts w:asciiTheme="minorBidi" w:hAnsiTheme="minorBidi" w:cstheme="minorBidi"/>
          <w:sz w:val="18"/>
          <w:szCs w:val="18"/>
        </w:rPr>
        <w:footnoteRef/>
      </w:r>
      <w:r w:rsidRPr="00066CC7">
        <w:rPr>
          <w:rFonts w:asciiTheme="minorBidi" w:hAnsiTheme="minorBidi" w:cstheme="minorBidi"/>
          <w:sz w:val="18"/>
          <w:szCs w:val="18"/>
        </w:rPr>
        <w:t>.</w:t>
      </w:r>
      <w:r w:rsidRPr="00066CC7">
        <w:rPr>
          <w:rFonts w:asciiTheme="minorBidi" w:hAnsiTheme="minorBidi" w:cstheme="minorBidi"/>
          <w:sz w:val="18"/>
          <w:szCs w:val="18"/>
        </w:rPr>
        <w:tab/>
        <w:t>Centre régional pour la sauvegarde du patrimoine culturel immatériel en Amérique latine (CRESPIAL), Centre international de formation pour le patrimoine culturel immatériel dans la région Asie-Pacifique (CRIHAP).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EA055" w14:textId="62F951C6" w:rsidR="00BE7841" w:rsidRPr="00C23A97" w:rsidRDefault="00BE7841" w:rsidP="00C5776D">
    <w:pPr>
      <w:pStyle w:val="Header"/>
      <w:rPr>
        <w:rFonts w:ascii="Arial" w:hAnsi="Arial" w:cs="Arial"/>
      </w:rPr>
    </w:pPr>
    <w:r>
      <w:rPr>
        <w:rFonts w:ascii="Arial" w:hAnsi="Arial"/>
        <w:sz w:val="20"/>
      </w:rPr>
      <w:t xml:space="preserve">LHE/21/16.COM/5.b </w:t>
    </w:r>
    <w:r w:rsidR="0078767E">
      <w:rPr>
        <w:rFonts w:ascii="Arial" w:hAnsi="Arial"/>
        <w:sz w:val="20"/>
      </w:rPr>
      <w:t>Rev.</w:t>
    </w:r>
    <w:r w:rsidR="00CE4C2B">
      <w:rPr>
        <w:rFonts w:ascii="Arial" w:hAnsi="Arial"/>
        <w:sz w:val="20"/>
      </w:rPr>
      <w:t xml:space="preserve"> </w:t>
    </w:r>
    <w:r>
      <w:rPr>
        <w:rFonts w:ascii="Arial" w:hAnsi="Arial"/>
        <w:sz w:val="20"/>
      </w:rPr>
      <w:t xml:space="preserve">– page </w:t>
    </w:r>
    <w:r w:rsidRPr="00C23A97">
      <w:rPr>
        <w:rStyle w:val="PageNumber"/>
        <w:rFonts w:ascii="Arial" w:hAnsi="Arial" w:cs="Arial"/>
        <w:sz w:val="20"/>
      </w:rPr>
      <w:fldChar w:fldCharType="begin"/>
    </w:r>
    <w:r w:rsidRPr="00C23A97">
      <w:rPr>
        <w:rStyle w:val="PageNumber"/>
        <w:rFonts w:ascii="Arial" w:hAnsi="Arial" w:cs="Arial"/>
        <w:sz w:val="20"/>
      </w:rPr>
      <w:instrText xml:space="preserve"> PAGE </w:instrText>
    </w:r>
    <w:r w:rsidRPr="00C23A97">
      <w:rPr>
        <w:rStyle w:val="PageNumber"/>
        <w:rFonts w:ascii="Arial" w:hAnsi="Arial" w:cs="Arial"/>
        <w:sz w:val="20"/>
      </w:rPr>
      <w:fldChar w:fldCharType="separate"/>
    </w:r>
    <w:r>
      <w:rPr>
        <w:rStyle w:val="PageNumber"/>
        <w:rFonts w:ascii="Arial" w:hAnsi="Arial" w:cs="Arial"/>
        <w:sz w:val="20"/>
      </w:rPr>
      <w:t>2</w:t>
    </w:r>
    <w:r w:rsidRPr="00C23A97">
      <w:rPr>
        <w:rStyle w:val="PageNumber"/>
        <w:rFonts w:ascii="Arial" w:hAnsi="Arial" w:cs="Arial"/>
        <w:sz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F231B" w14:textId="11C3013C" w:rsidR="00BE7841" w:rsidRPr="0063300C" w:rsidRDefault="00BE7841" w:rsidP="00C5776D">
    <w:pPr>
      <w:pStyle w:val="Header"/>
      <w:jc w:val="right"/>
      <w:rPr>
        <w:rFonts w:ascii="Arial" w:hAnsi="Arial" w:cs="Arial"/>
      </w:rPr>
    </w:pPr>
    <w:r>
      <w:rPr>
        <w:rFonts w:ascii="Arial" w:hAnsi="Arial"/>
        <w:sz w:val="20"/>
      </w:rPr>
      <w:t xml:space="preserve">LHE/21/16.COM/5.b </w:t>
    </w:r>
    <w:r w:rsidR="0078767E">
      <w:rPr>
        <w:rFonts w:ascii="Arial" w:hAnsi="Arial"/>
        <w:sz w:val="20"/>
      </w:rPr>
      <w:t>Rev.</w:t>
    </w:r>
    <w:r w:rsidR="00CE4C2B">
      <w:rPr>
        <w:rFonts w:ascii="Arial" w:hAnsi="Arial"/>
        <w:sz w:val="20"/>
      </w:rPr>
      <w:t xml:space="preserve"> </w:t>
    </w:r>
    <w:r>
      <w:rPr>
        <w:rFonts w:ascii="Arial" w:hAnsi="Arial"/>
        <w:sz w:val="20"/>
      </w:rPr>
      <w:t xml:space="preserve">– page </w:t>
    </w:r>
    <w:r w:rsidRPr="0063300C">
      <w:rPr>
        <w:rStyle w:val="PageNumber"/>
        <w:rFonts w:ascii="Arial" w:hAnsi="Arial" w:cs="Arial"/>
        <w:sz w:val="20"/>
      </w:rPr>
      <w:fldChar w:fldCharType="begin"/>
    </w:r>
    <w:r w:rsidRPr="0063300C">
      <w:rPr>
        <w:rStyle w:val="PageNumber"/>
        <w:rFonts w:ascii="Arial" w:hAnsi="Arial" w:cs="Arial"/>
        <w:sz w:val="20"/>
      </w:rPr>
      <w:instrText xml:space="preserve"> PAGE </w:instrText>
    </w:r>
    <w:r w:rsidRPr="0063300C">
      <w:rPr>
        <w:rStyle w:val="PageNumber"/>
        <w:rFonts w:ascii="Arial" w:hAnsi="Arial" w:cs="Arial"/>
        <w:sz w:val="20"/>
      </w:rPr>
      <w:fldChar w:fldCharType="separate"/>
    </w:r>
    <w:r>
      <w:rPr>
        <w:rStyle w:val="PageNumber"/>
        <w:rFonts w:ascii="Arial" w:hAnsi="Arial" w:cs="Arial"/>
        <w:sz w:val="20"/>
      </w:rPr>
      <w:t>3</w:t>
    </w:r>
    <w:r w:rsidRPr="0063300C">
      <w:rPr>
        <w:rStyle w:val="PageNumber"/>
        <w:rFonts w:ascii="Arial" w:hAnsi="Arial" w:cs="Arial"/>
        <w:sz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B9E0" w14:textId="7CEAD333" w:rsidR="00BE7841" w:rsidRPr="00CB72CE" w:rsidRDefault="00847ACC">
    <w:pPr>
      <w:pStyle w:val="Header"/>
      <w:rPr>
        <w:sz w:val="22"/>
        <w:szCs w:val="22"/>
      </w:rPr>
    </w:pPr>
    <w:r w:rsidRPr="00CB72CE">
      <w:rPr>
        <w:rFonts w:ascii="Arial" w:hAnsi="Arial" w:cs="Arial"/>
        <w:b/>
        <w:noProof/>
        <w:sz w:val="44"/>
        <w:szCs w:val="44"/>
        <w:lang w:val="pt-PT"/>
      </w:rPr>
      <w:drawing>
        <wp:anchor distT="0" distB="0" distL="114300" distR="114300" simplePos="0" relativeHeight="251659264" behindDoc="0" locked="0" layoutInCell="1" allowOverlap="1" wp14:anchorId="57B5583E" wp14:editId="6A4120CF">
          <wp:simplePos x="0" y="0"/>
          <wp:positionH relativeFrom="column">
            <wp:posOffset>19050</wp:posOffset>
          </wp:positionH>
          <wp:positionV relativeFrom="paragraph">
            <wp:posOffset>104775</wp:posOffset>
          </wp:positionV>
          <wp:extent cx="1657350" cy="1391920"/>
          <wp:effectExtent l="0" t="0" r="0" b="0"/>
          <wp:wrapSquare wrapText="bothSides"/>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39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7B917" w14:textId="1BA222D0" w:rsidR="00BE7841" w:rsidRPr="00CB72CE" w:rsidRDefault="00BE7841" w:rsidP="00C5776D">
    <w:pPr>
      <w:pStyle w:val="Header"/>
      <w:spacing w:after="520"/>
      <w:jc w:val="right"/>
      <w:rPr>
        <w:rFonts w:ascii="Arial" w:hAnsi="Arial" w:cs="Arial"/>
        <w:b/>
        <w:sz w:val="44"/>
        <w:szCs w:val="44"/>
        <w:lang w:val="pt-PT"/>
      </w:rPr>
    </w:pPr>
    <w:r w:rsidRPr="00CB72CE">
      <w:rPr>
        <w:rFonts w:ascii="Arial" w:hAnsi="Arial"/>
        <w:b/>
        <w:sz w:val="44"/>
        <w:lang w:val="pt-PT"/>
      </w:rPr>
      <w:t>16 COM</w:t>
    </w:r>
  </w:p>
  <w:p w14:paraId="306484B8" w14:textId="7B50E29A" w:rsidR="00BE7841" w:rsidRPr="00D33948" w:rsidRDefault="00BE7841" w:rsidP="00C5776D">
    <w:pPr>
      <w:jc w:val="right"/>
      <w:rPr>
        <w:rFonts w:ascii="Arial" w:hAnsi="Arial" w:cs="Arial"/>
        <w:b/>
        <w:sz w:val="22"/>
        <w:szCs w:val="22"/>
        <w:lang w:val="pt-PT"/>
      </w:rPr>
    </w:pPr>
    <w:r w:rsidRPr="00D33948">
      <w:rPr>
        <w:rFonts w:ascii="Arial" w:hAnsi="Arial"/>
        <w:b/>
        <w:sz w:val="22"/>
        <w:lang w:val="pt-PT"/>
      </w:rPr>
      <w:t>LHE/21/16.COM/5.b</w:t>
    </w:r>
    <w:r w:rsidR="0078767E" w:rsidRPr="00D33948">
      <w:rPr>
        <w:rFonts w:ascii="Arial" w:hAnsi="Arial"/>
        <w:b/>
        <w:sz w:val="22"/>
        <w:lang w:val="pt-PT"/>
      </w:rPr>
      <w:t xml:space="preserve"> Rev.</w:t>
    </w:r>
  </w:p>
  <w:p w14:paraId="1B4446C3" w14:textId="13BD26AD" w:rsidR="00BE7841" w:rsidRPr="0078767E" w:rsidRDefault="00BE7841" w:rsidP="00655736">
    <w:pPr>
      <w:jc w:val="right"/>
      <w:rPr>
        <w:rFonts w:ascii="Arial" w:eastAsiaTheme="minorEastAsia" w:hAnsi="Arial" w:cs="Arial"/>
        <w:b/>
        <w:sz w:val="22"/>
        <w:szCs w:val="22"/>
      </w:rPr>
    </w:pPr>
    <w:r w:rsidRPr="0078767E">
      <w:rPr>
        <w:rFonts w:ascii="Arial" w:hAnsi="Arial"/>
        <w:b/>
        <w:sz w:val="22"/>
      </w:rPr>
      <w:t xml:space="preserve">Paris, </w:t>
    </w:r>
    <w:r w:rsidR="00CB72CE" w:rsidRPr="0078767E">
      <w:rPr>
        <w:rFonts w:ascii="Arial" w:hAnsi="Arial"/>
        <w:b/>
        <w:sz w:val="22"/>
      </w:rPr>
      <w:t xml:space="preserve">le </w:t>
    </w:r>
    <w:r w:rsidR="0078767E" w:rsidRPr="0078767E">
      <w:rPr>
        <w:rFonts w:ascii="Arial" w:hAnsi="Arial"/>
        <w:b/>
        <w:sz w:val="22"/>
      </w:rPr>
      <w:t>10</w:t>
    </w:r>
    <w:r w:rsidRPr="0078767E">
      <w:rPr>
        <w:rFonts w:ascii="Arial" w:hAnsi="Arial"/>
        <w:b/>
        <w:sz w:val="22"/>
      </w:rPr>
      <w:t xml:space="preserve"> </w:t>
    </w:r>
    <w:r w:rsidR="0078767E" w:rsidRPr="0078767E">
      <w:rPr>
        <w:rFonts w:ascii="Arial" w:hAnsi="Arial"/>
        <w:b/>
        <w:sz w:val="22"/>
      </w:rPr>
      <w:t>décembre</w:t>
    </w:r>
    <w:r w:rsidRPr="0078767E">
      <w:rPr>
        <w:rFonts w:ascii="Arial" w:hAnsi="Arial"/>
        <w:b/>
        <w:sz w:val="22"/>
      </w:rPr>
      <w:t xml:space="preserve"> 2021</w:t>
    </w:r>
  </w:p>
  <w:p w14:paraId="255B57FF" w14:textId="3B83B06C" w:rsidR="00BE7841" w:rsidRPr="0078767E" w:rsidRDefault="00BE7841" w:rsidP="00962034">
    <w:pPr>
      <w:spacing w:after="120"/>
      <w:jc w:val="right"/>
      <w:rPr>
        <w:rFonts w:ascii="Arial" w:hAnsi="Arial" w:cs="Arial"/>
        <w:b/>
        <w:sz w:val="22"/>
        <w:szCs w:val="22"/>
      </w:rPr>
    </w:pPr>
    <w:r w:rsidRPr="0078767E">
      <w:rPr>
        <w:rFonts w:ascii="Arial" w:hAnsi="Arial"/>
        <w:b/>
        <w:sz w:val="22"/>
      </w:rPr>
      <w:t>Original : anglais</w:t>
    </w:r>
  </w:p>
  <w:p w14:paraId="3C4B8B1B" w14:textId="77777777" w:rsidR="00BE7841" w:rsidRPr="0078767E" w:rsidRDefault="00BE7841">
    <w:pPr>
      <w:pStyle w:val="Header"/>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B8796" w14:textId="73FC08A9" w:rsidR="000E52F0" w:rsidRPr="008120C4" w:rsidRDefault="00497A55" w:rsidP="008120C4">
    <w:pPr>
      <w:pStyle w:val="Header"/>
      <w:jc w:val="right"/>
      <w:rPr>
        <w:rFonts w:ascii="Arial" w:hAnsi="Arial" w:cs="Arial"/>
      </w:rPr>
    </w:pPr>
    <w:r>
      <w:rPr>
        <w:rFonts w:ascii="Arial" w:hAnsi="Arial"/>
        <w:sz w:val="20"/>
      </w:rPr>
      <w:t xml:space="preserve">LHE/21/16.COM/5.b </w:t>
    </w:r>
    <w:r w:rsidR="008E660C">
      <w:rPr>
        <w:rFonts w:ascii="Arial" w:hAnsi="Arial"/>
        <w:sz w:val="20"/>
      </w:rPr>
      <w:t>Rev.</w:t>
    </w:r>
    <w:r>
      <w:rPr>
        <w:rFonts w:ascii="Arial" w:hAnsi="Arial"/>
        <w:sz w:val="20"/>
      </w:rPr>
      <w:t xml:space="preserve">– page </w:t>
    </w:r>
    <w:r w:rsidRPr="00C23A97">
      <w:rPr>
        <w:rStyle w:val="PageNumber"/>
        <w:rFonts w:ascii="Arial" w:hAnsi="Arial" w:cs="Arial"/>
        <w:sz w:val="20"/>
      </w:rPr>
      <w:fldChar w:fldCharType="begin"/>
    </w:r>
    <w:r w:rsidRPr="00C23A97">
      <w:rPr>
        <w:rStyle w:val="PageNumber"/>
        <w:rFonts w:ascii="Arial" w:hAnsi="Arial" w:cs="Arial"/>
        <w:sz w:val="20"/>
      </w:rPr>
      <w:instrText xml:space="preserve"> PAGE </w:instrText>
    </w:r>
    <w:r w:rsidRPr="00C23A97">
      <w:rPr>
        <w:rStyle w:val="PageNumber"/>
        <w:rFonts w:ascii="Arial" w:hAnsi="Arial" w:cs="Arial"/>
        <w:sz w:val="20"/>
      </w:rPr>
      <w:fldChar w:fldCharType="separate"/>
    </w:r>
    <w:r>
      <w:rPr>
        <w:rStyle w:val="PageNumber"/>
        <w:rFonts w:ascii="Arial" w:hAnsi="Arial" w:cs="Arial"/>
        <w:sz w:val="20"/>
      </w:rPr>
      <w:t>17</w:t>
    </w:r>
    <w:r w:rsidRPr="00C23A97">
      <w:rPr>
        <w:rStyle w:val="PageNumber"/>
        <w:rFonts w:ascii="Arial" w:hAnsi="Arial" w:cs="Arial"/>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B401E05"/>
    <w:multiLevelType w:val="hybridMultilevel"/>
    <w:tmpl w:val="761438F6"/>
    <w:lvl w:ilvl="0" w:tplc="86807812">
      <w:start w:val="1"/>
      <w:numFmt w:val="decimal"/>
      <w:lvlText w:val="%1."/>
      <w:lvlJc w:val="left"/>
      <w:pPr>
        <w:ind w:left="1080" w:hanging="360"/>
      </w:pPr>
      <w:rPr>
        <w:b w:val="0"/>
      </w:rPr>
    </w:lvl>
    <w:lvl w:ilvl="1" w:tplc="040C0019">
      <w:start w:val="1"/>
      <w:numFmt w:val="lowerLetter"/>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 w15:restartNumberingAfterBreak="0">
    <w:nsid w:val="31973C66"/>
    <w:multiLevelType w:val="hybridMultilevel"/>
    <w:tmpl w:val="3D8A4CF6"/>
    <w:lvl w:ilvl="0" w:tplc="42BEFAF6">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15:restartNumberingAfterBreak="0">
    <w:nsid w:val="35F07BFE"/>
    <w:multiLevelType w:val="hybridMultilevel"/>
    <w:tmpl w:val="F4723D0A"/>
    <w:lvl w:ilvl="0" w:tplc="38AECA9A">
      <w:start w:val="1"/>
      <w:numFmt w:val="decimal"/>
      <w:pStyle w:val="COMPara"/>
      <w:lvlText w:val="%1."/>
      <w:lvlJc w:val="left"/>
      <w:pPr>
        <w:ind w:left="720" w:hanging="360"/>
      </w:pPr>
      <w:rPr>
        <w:rFonts w:ascii="Arial" w:hAnsi="Arial" w:cs="Arial" w:hint="default"/>
        <w:b w:val="0"/>
        <w:bCs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5" w15:restartNumberingAfterBreak="0">
    <w:nsid w:val="3AC30BD2"/>
    <w:multiLevelType w:val="hybridMultilevel"/>
    <w:tmpl w:val="2F02E984"/>
    <w:lvl w:ilvl="0" w:tplc="DFC65752">
      <w:start w:val="1"/>
      <w:numFmt w:val="upperRoman"/>
      <w:pStyle w:val="Heading4"/>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C786D46"/>
    <w:multiLevelType w:val="hybridMultilevel"/>
    <w:tmpl w:val="C6483E08"/>
    <w:lvl w:ilvl="0" w:tplc="86807812">
      <w:start w:val="1"/>
      <w:numFmt w:val="decimal"/>
      <w:lvlText w:val="%1."/>
      <w:lvlJc w:val="left"/>
      <w:pPr>
        <w:ind w:left="1080" w:hanging="360"/>
      </w:pPr>
      <w:rPr>
        <w:b w:val="0"/>
      </w:rPr>
    </w:lvl>
    <w:lvl w:ilvl="1" w:tplc="0409000F">
      <w:start w:val="1"/>
      <w:numFmt w:val="decimal"/>
      <w:lvlText w:val="%2."/>
      <w:lvlJc w:val="left"/>
      <w:pPr>
        <w:ind w:left="1800" w:hanging="360"/>
      </w:pPr>
    </w:lvl>
    <w:lvl w:ilvl="2" w:tplc="040C001B">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D012921"/>
    <w:multiLevelType w:val="hybridMultilevel"/>
    <w:tmpl w:val="0B8A0C5C"/>
    <w:lvl w:ilvl="0" w:tplc="6E4616FA">
      <w:start w:val="1"/>
      <w:numFmt w:val="upperRoman"/>
      <w:lvlText w:val="%1."/>
      <w:lvlJc w:val="righ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6C5391B"/>
    <w:multiLevelType w:val="hybridMultilevel"/>
    <w:tmpl w:val="D9F8A3A2"/>
    <w:lvl w:ilvl="0" w:tplc="040C0001">
      <w:start w:val="1"/>
      <w:numFmt w:val="bullet"/>
      <w:lvlText w:val=""/>
      <w:lvlJc w:val="left"/>
      <w:pPr>
        <w:ind w:left="501" w:hanging="360"/>
      </w:pPr>
      <w:rPr>
        <w:rFonts w:ascii="Symbol" w:hAnsi="Symbol" w:hint="default"/>
      </w:rPr>
    </w:lvl>
    <w:lvl w:ilvl="1" w:tplc="040C0003">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9" w15:restartNumberingAfterBreak="0">
    <w:nsid w:val="7C627CF4"/>
    <w:multiLevelType w:val="hybridMultilevel"/>
    <w:tmpl w:val="C5527DE8"/>
    <w:lvl w:ilvl="0" w:tplc="040C0015">
      <w:start w:val="1"/>
      <w:numFmt w:val="upperLetter"/>
      <w:lvlText w:val="%1."/>
      <w:lvlJc w:val="left"/>
      <w:pPr>
        <w:ind w:left="502"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num w:numId="1">
    <w:abstractNumId w:val="0"/>
  </w:num>
  <w:num w:numId="2">
    <w:abstractNumId w:val="3"/>
  </w:num>
  <w:num w:numId="3">
    <w:abstractNumId w:val="4"/>
  </w:num>
  <w:num w:numId="4">
    <w:abstractNumId w:val="5"/>
  </w:num>
  <w:num w:numId="5">
    <w:abstractNumId w:val="9"/>
  </w:num>
  <w:num w:numId="6">
    <w:abstractNumId w:val="7"/>
  </w:num>
  <w:num w:numId="7">
    <w:abstractNumId w:val="4"/>
    <w:lvlOverride w:ilvl="0">
      <w:startOverride w:val="1"/>
    </w:lvlOverride>
  </w:num>
  <w:num w:numId="8">
    <w:abstractNumId w:val="1"/>
  </w:num>
  <w:num w:numId="9">
    <w:abstractNumId w:val="3"/>
  </w:num>
  <w:num w:numId="10">
    <w:abstractNumId w:val="6"/>
  </w:num>
  <w:num w:numId="11">
    <w:abstractNumId w:val="2"/>
  </w:num>
  <w:num w:numId="12">
    <w:abstractNumId w:val="3"/>
  </w:num>
  <w:num w:numId="13">
    <w:abstractNumId w:val="3"/>
  </w:num>
  <w:num w:numId="14">
    <w:abstractNumId w:val="3"/>
  </w:num>
  <w:num w:numId="15">
    <w:abstractNumId w:val="3"/>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4"/>
  </w:num>
  <w:num w:numId="34">
    <w:abstractNumId w:val="3"/>
  </w:num>
  <w:num w:numId="35">
    <w:abstractNumId w:val="3"/>
  </w:num>
  <w:num w:numId="36">
    <w:abstractNumId w:val="3"/>
  </w:num>
  <w:num w:numId="37">
    <w:abstractNumId w:val="3"/>
  </w:num>
  <w:num w:numId="38">
    <w:abstractNumId w:val="3"/>
  </w:num>
  <w:num w:numId="39">
    <w:abstractNumId w:val="3"/>
  </w:num>
  <w:num w:numId="40">
    <w:abstractNumId w:val="8"/>
  </w:num>
  <w:num w:numId="41">
    <w:abstractNumId w:val="3"/>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3"/>
  </w:num>
  <w:num w:numId="45">
    <w:abstractNumId w:val="4"/>
  </w:num>
  <w:num w:numId="46">
    <w:abstractNumId w:val="4"/>
  </w:num>
  <w:num w:numId="4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48ED"/>
    <w:rsid w:val="00014915"/>
    <w:rsid w:val="00017461"/>
    <w:rsid w:val="000175CA"/>
    <w:rsid w:val="00022154"/>
    <w:rsid w:val="00025DE2"/>
    <w:rsid w:val="000337E6"/>
    <w:rsid w:val="00041A66"/>
    <w:rsid w:val="00042D88"/>
    <w:rsid w:val="00045BE3"/>
    <w:rsid w:val="00047A91"/>
    <w:rsid w:val="0005176E"/>
    <w:rsid w:val="00060671"/>
    <w:rsid w:val="00062BA3"/>
    <w:rsid w:val="00065FA6"/>
    <w:rsid w:val="00066CC7"/>
    <w:rsid w:val="000765F7"/>
    <w:rsid w:val="00077AB7"/>
    <w:rsid w:val="00081CD8"/>
    <w:rsid w:val="000A1D29"/>
    <w:rsid w:val="000A6F25"/>
    <w:rsid w:val="000A7F0E"/>
    <w:rsid w:val="000B1C8F"/>
    <w:rsid w:val="000C0D61"/>
    <w:rsid w:val="000C1076"/>
    <w:rsid w:val="000C2772"/>
    <w:rsid w:val="000C4013"/>
    <w:rsid w:val="000F221A"/>
    <w:rsid w:val="000F3A3F"/>
    <w:rsid w:val="00102557"/>
    <w:rsid w:val="001052E3"/>
    <w:rsid w:val="00115958"/>
    <w:rsid w:val="0011652D"/>
    <w:rsid w:val="001202ED"/>
    <w:rsid w:val="001403BE"/>
    <w:rsid w:val="00142E0D"/>
    <w:rsid w:val="00144400"/>
    <w:rsid w:val="00155955"/>
    <w:rsid w:val="0015752B"/>
    <w:rsid w:val="00157974"/>
    <w:rsid w:val="00164D56"/>
    <w:rsid w:val="00167B10"/>
    <w:rsid w:val="00171AF0"/>
    <w:rsid w:val="0017402F"/>
    <w:rsid w:val="001803F6"/>
    <w:rsid w:val="00180563"/>
    <w:rsid w:val="00182C3D"/>
    <w:rsid w:val="00184FDB"/>
    <w:rsid w:val="00190205"/>
    <w:rsid w:val="0019226F"/>
    <w:rsid w:val="00196C1B"/>
    <w:rsid w:val="00196F9B"/>
    <w:rsid w:val="001A1331"/>
    <w:rsid w:val="001B0F73"/>
    <w:rsid w:val="001B1637"/>
    <w:rsid w:val="001C25BB"/>
    <w:rsid w:val="001C2DB7"/>
    <w:rsid w:val="001C5067"/>
    <w:rsid w:val="001D14FE"/>
    <w:rsid w:val="001D5C04"/>
    <w:rsid w:val="001E222D"/>
    <w:rsid w:val="001F26CF"/>
    <w:rsid w:val="00202A66"/>
    <w:rsid w:val="002053F7"/>
    <w:rsid w:val="002078C5"/>
    <w:rsid w:val="00211BC5"/>
    <w:rsid w:val="00222A2D"/>
    <w:rsid w:val="00223029"/>
    <w:rsid w:val="00234745"/>
    <w:rsid w:val="002351A6"/>
    <w:rsid w:val="002407AF"/>
    <w:rsid w:val="00243ACA"/>
    <w:rsid w:val="002577F9"/>
    <w:rsid w:val="002664C2"/>
    <w:rsid w:val="00273A65"/>
    <w:rsid w:val="0027466B"/>
    <w:rsid w:val="002838A5"/>
    <w:rsid w:val="00285BB4"/>
    <w:rsid w:val="00286E89"/>
    <w:rsid w:val="002936AF"/>
    <w:rsid w:val="002B0A63"/>
    <w:rsid w:val="002C09E3"/>
    <w:rsid w:val="002D1244"/>
    <w:rsid w:val="002D35D2"/>
    <w:rsid w:val="002D363D"/>
    <w:rsid w:val="002F69C3"/>
    <w:rsid w:val="0030560C"/>
    <w:rsid w:val="00310CA5"/>
    <w:rsid w:val="0031672A"/>
    <w:rsid w:val="0033689E"/>
    <w:rsid w:val="00337CEB"/>
    <w:rsid w:val="00343CD3"/>
    <w:rsid w:val="00344B58"/>
    <w:rsid w:val="0034539A"/>
    <w:rsid w:val="00345CB4"/>
    <w:rsid w:val="003525C4"/>
    <w:rsid w:val="00375D42"/>
    <w:rsid w:val="00376548"/>
    <w:rsid w:val="003946BE"/>
    <w:rsid w:val="00395383"/>
    <w:rsid w:val="003961C7"/>
    <w:rsid w:val="003A2D34"/>
    <w:rsid w:val="003C750F"/>
    <w:rsid w:val="003C7650"/>
    <w:rsid w:val="003D069C"/>
    <w:rsid w:val="003D7646"/>
    <w:rsid w:val="003E5D22"/>
    <w:rsid w:val="003F113A"/>
    <w:rsid w:val="003F3E63"/>
    <w:rsid w:val="00407480"/>
    <w:rsid w:val="00414643"/>
    <w:rsid w:val="0041741F"/>
    <w:rsid w:val="0042468D"/>
    <w:rsid w:val="00435967"/>
    <w:rsid w:val="00437BDD"/>
    <w:rsid w:val="00440EAF"/>
    <w:rsid w:val="004421E5"/>
    <w:rsid w:val="00452284"/>
    <w:rsid w:val="00454694"/>
    <w:rsid w:val="00456ED7"/>
    <w:rsid w:val="00457C8E"/>
    <w:rsid w:val="00460F33"/>
    <w:rsid w:val="00462506"/>
    <w:rsid w:val="00464158"/>
    <w:rsid w:val="0046485B"/>
    <w:rsid w:val="004710D7"/>
    <w:rsid w:val="00477C0F"/>
    <w:rsid w:val="004856CA"/>
    <w:rsid w:val="00487E67"/>
    <w:rsid w:val="00496D24"/>
    <w:rsid w:val="0049705E"/>
    <w:rsid w:val="00497A55"/>
    <w:rsid w:val="004A2875"/>
    <w:rsid w:val="004A34A0"/>
    <w:rsid w:val="004A39C7"/>
    <w:rsid w:val="004A3E18"/>
    <w:rsid w:val="004B00ED"/>
    <w:rsid w:val="004C59C5"/>
    <w:rsid w:val="004C7C82"/>
    <w:rsid w:val="004D1352"/>
    <w:rsid w:val="004D6049"/>
    <w:rsid w:val="004E4AAE"/>
    <w:rsid w:val="004E615E"/>
    <w:rsid w:val="004F0AB1"/>
    <w:rsid w:val="004F73B8"/>
    <w:rsid w:val="005008A8"/>
    <w:rsid w:val="0050669D"/>
    <w:rsid w:val="00517FD8"/>
    <w:rsid w:val="00526B7B"/>
    <w:rsid w:val="005275A4"/>
    <w:rsid w:val="005308CE"/>
    <w:rsid w:val="00530E24"/>
    <w:rsid w:val="0053318C"/>
    <w:rsid w:val="00550FB3"/>
    <w:rsid w:val="00560316"/>
    <w:rsid w:val="0056127D"/>
    <w:rsid w:val="0057439C"/>
    <w:rsid w:val="00576B15"/>
    <w:rsid w:val="005831A9"/>
    <w:rsid w:val="0059752C"/>
    <w:rsid w:val="005A2B43"/>
    <w:rsid w:val="005B0127"/>
    <w:rsid w:val="005B7A35"/>
    <w:rsid w:val="005C0B46"/>
    <w:rsid w:val="005C4B73"/>
    <w:rsid w:val="005E1D2B"/>
    <w:rsid w:val="005E4BA8"/>
    <w:rsid w:val="005E7074"/>
    <w:rsid w:val="005F2BAF"/>
    <w:rsid w:val="00600D93"/>
    <w:rsid w:val="00603C68"/>
    <w:rsid w:val="00610138"/>
    <w:rsid w:val="0061460E"/>
    <w:rsid w:val="00626BEA"/>
    <w:rsid w:val="0063300C"/>
    <w:rsid w:val="00635B5A"/>
    <w:rsid w:val="00636D02"/>
    <w:rsid w:val="00646F50"/>
    <w:rsid w:val="0065187F"/>
    <w:rsid w:val="00651A5B"/>
    <w:rsid w:val="00655736"/>
    <w:rsid w:val="00657B7C"/>
    <w:rsid w:val="00661C60"/>
    <w:rsid w:val="00663B8D"/>
    <w:rsid w:val="00672AC9"/>
    <w:rsid w:val="00677AB3"/>
    <w:rsid w:val="00693D0D"/>
    <w:rsid w:val="00696C8D"/>
    <w:rsid w:val="00697C10"/>
    <w:rsid w:val="006A2AC2"/>
    <w:rsid w:val="006A3617"/>
    <w:rsid w:val="006B4452"/>
    <w:rsid w:val="006B58D3"/>
    <w:rsid w:val="006C1CA6"/>
    <w:rsid w:val="006C4666"/>
    <w:rsid w:val="006C50C8"/>
    <w:rsid w:val="006C77FA"/>
    <w:rsid w:val="006E46E4"/>
    <w:rsid w:val="006E75EB"/>
    <w:rsid w:val="00703208"/>
    <w:rsid w:val="0071261C"/>
    <w:rsid w:val="00717DA5"/>
    <w:rsid w:val="007404CA"/>
    <w:rsid w:val="00744484"/>
    <w:rsid w:val="00747566"/>
    <w:rsid w:val="007623B8"/>
    <w:rsid w:val="00765B3D"/>
    <w:rsid w:val="00767689"/>
    <w:rsid w:val="00773188"/>
    <w:rsid w:val="0078171F"/>
    <w:rsid w:val="00783782"/>
    <w:rsid w:val="00784B8C"/>
    <w:rsid w:val="0078767E"/>
    <w:rsid w:val="007879E1"/>
    <w:rsid w:val="007920FF"/>
    <w:rsid w:val="007B1277"/>
    <w:rsid w:val="007B7AFC"/>
    <w:rsid w:val="007C44BA"/>
    <w:rsid w:val="007C7081"/>
    <w:rsid w:val="00805F5B"/>
    <w:rsid w:val="00805FD2"/>
    <w:rsid w:val="00823A11"/>
    <w:rsid w:val="0083253B"/>
    <w:rsid w:val="00841E86"/>
    <w:rsid w:val="00844198"/>
    <w:rsid w:val="00847ACC"/>
    <w:rsid w:val="0085405E"/>
    <w:rsid w:val="0085414A"/>
    <w:rsid w:val="0085524F"/>
    <w:rsid w:val="00857EB9"/>
    <w:rsid w:val="008622E1"/>
    <w:rsid w:val="0086269D"/>
    <w:rsid w:val="0086543A"/>
    <w:rsid w:val="008724E5"/>
    <w:rsid w:val="0088143C"/>
    <w:rsid w:val="00884A9D"/>
    <w:rsid w:val="0088512B"/>
    <w:rsid w:val="00893576"/>
    <w:rsid w:val="008A2B2D"/>
    <w:rsid w:val="008A4E1E"/>
    <w:rsid w:val="008B1960"/>
    <w:rsid w:val="008C296C"/>
    <w:rsid w:val="008D4305"/>
    <w:rsid w:val="008E1A85"/>
    <w:rsid w:val="008E660C"/>
    <w:rsid w:val="008E6803"/>
    <w:rsid w:val="008F17FD"/>
    <w:rsid w:val="00913310"/>
    <w:rsid w:val="009163A7"/>
    <w:rsid w:val="00921877"/>
    <w:rsid w:val="009300B1"/>
    <w:rsid w:val="00946D0B"/>
    <w:rsid w:val="00955877"/>
    <w:rsid w:val="00962034"/>
    <w:rsid w:val="009657E7"/>
    <w:rsid w:val="009671CE"/>
    <w:rsid w:val="0096723E"/>
    <w:rsid w:val="009802E2"/>
    <w:rsid w:val="00996106"/>
    <w:rsid w:val="009A18CD"/>
    <w:rsid w:val="009B0BCE"/>
    <w:rsid w:val="009B4DB0"/>
    <w:rsid w:val="009B7B2F"/>
    <w:rsid w:val="009C279C"/>
    <w:rsid w:val="009C32DF"/>
    <w:rsid w:val="009C3BB1"/>
    <w:rsid w:val="009D02BE"/>
    <w:rsid w:val="009D0809"/>
    <w:rsid w:val="009D0A2B"/>
    <w:rsid w:val="009D1054"/>
    <w:rsid w:val="009D4CF5"/>
    <w:rsid w:val="009D5428"/>
    <w:rsid w:val="009E5CC7"/>
    <w:rsid w:val="009F0E83"/>
    <w:rsid w:val="00A00ED0"/>
    <w:rsid w:val="00A06AB0"/>
    <w:rsid w:val="00A10418"/>
    <w:rsid w:val="00A12558"/>
    <w:rsid w:val="00A13903"/>
    <w:rsid w:val="00A325AF"/>
    <w:rsid w:val="00A34ED5"/>
    <w:rsid w:val="00A45C4B"/>
    <w:rsid w:val="00A45DBF"/>
    <w:rsid w:val="00A47C8A"/>
    <w:rsid w:val="00A522D2"/>
    <w:rsid w:val="00A72429"/>
    <w:rsid w:val="00A725CF"/>
    <w:rsid w:val="00A755A2"/>
    <w:rsid w:val="00A76C86"/>
    <w:rsid w:val="00A7776F"/>
    <w:rsid w:val="00A93ECB"/>
    <w:rsid w:val="00AA440C"/>
    <w:rsid w:val="00AA6660"/>
    <w:rsid w:val="00AB2C36"/>
    <w:rsid w:val="00AB5F82"/>
    <w:rsid w:val="00AB6288"/>
    <w:rsid w:val="00AB6DDE"/>
    <w:rsid w:val="00AB70B6"/>
    <w:rsid w:val="00AC12E9"/>
    <w:rsid w:val="00AC4F7E"/>
    <w:rsid w:val="00AD0B69"/>
    <w:rsid w:val="00AD1A86"/>
    <w:rsid w:val="00AD3D9C"/>
    <w:rsid w:val="00AD4431"/>
    <w:rsid w:val="00AD51AF"/>
    <w:rsid w:val="00AE103E"/>
    <w:rsid w:val="00AE12BD"/>
    <w:rsid w:val="00AF0A07"/>
    <w:rsid w:val="00AF0A56"/>
    <w:rsid w:val="00AF4AEC"/>
    <w:rsid w:val="00AF625E"/>
    <w:rsid w:val="00B06CA4"/>
    <w:rsid w:val="00B139BE"/>
    <w:rsid w:val="00B2172B"/>
    <w:rsid w:val="00B32D3D"/>
    <w:rsid w:val="00B441C2"/>
    <w:rsid w:val="00B44C6A"/>
    <w:rsid w:val="00B63B65"/>
    <w:rsid w:val="00B64CF6"/>
    <w:rsid w:val="00B674F8"/>
    <w:rsid w:val="00B70A55"/>
    <w:rsid w:val="00B82FCB"/>
    <w:rsid w:val="00B833F2"/>
    <w:rsid w:val="00B8369B"/>
    <w:rsid w:val="00B90301"/>
    <w:rsid w:val="00B917D2"/>
    <w:rsid w:val="00BA241A"/>
    <w:rsid w:val="00BA466C"/>
    <w:rsid w:val="00BB04AF"/>
    <w:rsid w:val="00BB63B9"/>
    <w:rsid w:val="00BD200F"/>
    <w:rsid w:val="00BD52C9"/>
    <w:rsid w:val="00BE6354"/>
    <w:rsid w:val="00BE7841"/>
    <w:rsid w:val="00BF3D20"/>
    <w:rsid w:val="00C052CE"/>
    <w:rsid w:val="00C138D1"/>
    <w:rsid w:val="00C23A97"/>
    <w:rsid w:val="00C3051C"/>
    <w:rsid w:val="00C47951"/>
    <w:rsid w:val="00C52EBE"/>
    <w:rsid w:val="00C5776D"/>
    <w:rsid w:val="00C61960"/>
    <w:rsid w:val="00C61E7C"/>
    <w:rsid w:val="00C64855"/>
    <w:rsid w:val="00C70EA7"/>
    <w:rsid w:val="00C7433F"/>
    <w:rsid w:val="00C7516E"/>
    <w:rsid w:val="00C75770"/>
    <w:rsid w:val="00C86B52"/>
    <w:rsid w:val="00C9235A"/>
    <w:rsid w:val="00C92E6A"/>
    <w:rsid w:val="00C93594"/>
    <w:rsid w:val="00CA56BB"/>
    <w:rsid w:val="00CB0542"/>
    <w:rsid w:val="00CB72CE"/>
    <w:rsid w:val="00CD4AD5"/>
    <w:rsid w:val="00CD7660"/>
    <w:rsid w:val="00CE4C2B"/>
    <w:rsid w:val="00CE5B4C"/>
    <w:rsid w:val="00CE6EB1"/>
    <w:rsid w:val="00CF495B"/>
    <w:rsid w:val="00CF6E69"/>
    <w:rsid w:val="00D00B2B"/>
    <w:rsid w:val="00D05633"/>
    <w:rsid w:val="00D10013"/>
    <w:rsid w:val="00D17791"/>
    <w:rsid w:val="00D20305"/>
    <w:rsid w:val="00D230D0"/>
    <w:rsid w:val="00D24877"/>
    <w:rsid w:val="00D33948"/>
    <w:rsid w:val="00D3458A"/>
    <w:rsid w:val="00D51184"/>
    <w:rsid w:val="00D51B8B"/>
    <w:rsid w:val="00D611AD"/>
    <w:rsid w:val="00D62B98"/>
    <w:rsid w:val="00D7105A"/>
    <w:rsid w:val="00D710A3"/>
    <w:rsid w:val="00D71AFF"/>
    <w:rsid w:val="00D8250F"/>
    <w:rsid w:val="00D940A0"/>
    <w:rsid w:val="00D95C4C"/>
    <w:rsid w:val="00D96750"/>
    <w:rsid w:val="00D97F63"/>
    <w:rsid w:val="00DA36ED"/>
    <w:rsid w:val="00DD6BFB"/>
    <w:rsid w:val="00DE34F1"/>
    <w:rsid w:val="00DE6160"/>
    <w:rsid w:val="00DE7B9B"/>
    <w:rsid w:val="00DF0B7B"/>
    <w:rsid w:val="00DF3813"/>
    <w:rsid w:val="00DF4942"/>
    <w:rsid w:val="00DF4E75"/>
    <w:rsid w:val="00DF58E7"/>
    <w:rsid w:val="00DF5EEF"/>
    <w:rsid w:val="00DF6016"/>
    <w:rsid w:val="00E04172"/>
    <w:rsid w:val="00E074A7"/>
    <w:rsid w:val="00E155DF"/>
    <w:rsid w:val="00E20CA6"/>
    <w:rsid w:val="00E2125F"/>
    <w:rsid w:val="00E244E1"/>
    <w:rsid w:val="00E2565A"/>
    <w:rsid w:val="00E315B0"/>
    <w:rsid w:val="00E3326F"/>
    <w:rsid w:val="00E4150C"/>
    <w:rsid w:val="00E453D5"/>
    <w:rsid w:val="00E52240"/>
    <w:rsid w:val="00E627B1"/>
    <w:rsid w:val="00E70169"/>
    <w:rsid w:val="00E725DD"/>
    <w:rsid w:val="00E80547"/>
    <w:rsid w:val="00E81C1E"/>
    <w:rsid w:val="00E8244C"/>
    <w:rsid w:val="00E93363"/>
    <w:rsid w:val="00E9376C"/>
    <w:rsid w:val="00E94ED1"/>
    <w:rsid w:val="00E95AE2"/>
    <w:rsid w:val="00EA335E"/>
    <w:rsid w:val="00EA528C"/>
    <w:rsid w:val="00EA580C"/>
    <w:rsid w:val="00EC11E1"/>
    <w:rsid w:val="00EC4E7F"/>
    <w:rsid w:val="00EC6F8D"/>
    <w:rsid w:val="00ED39B2"/>
    <w:rsid w:val="00ED4A08"/>
    <w:rsid w:val="00EE4588"/>
    <w:rsid w:val="00EE49F4"/>
    <w:rsid w:val="00EF2604"/>
    <w:rsid w:val="00EF34E2"/>
    <w:rsid w:val="00F00392"/>
    <w:rsid w:val="00F00697"/>
    <w:rsid w:val="00F0630D"/>
    <w:rsid w:val="00F26557"/>
    <w:rsid w:val="00F30DC6"/>
    <w:rsid w:val="00F32C23"/>
    <w:rsid w:val="00F336D2"/>
    <w:rsid w:val="00F45BC2"/>
    <w:rsid w:val="00F53DE9"/>
    <w:rsid w:val="00F551EF"/>
    <w:rsid w:val="00F563AA"/>
    <w:rsid w:val="00F57321"/>
    <w:rsid w:val="00F576CB"/>
    <w:rsid w:val="00F60C58"/>
    <w:rsid w:val="00F67986"/>
    <w:rsid w:val="00F7035D"/>
    <w:rsid w:val="00F71A02"/>
    <w:rsid w:val="00F71B4F"/>
    <w:rsid w:val="00F829DB"/>
    <w:rsid w:val="00F8650B"/>
    <w:rsid w:val="00FA0871"/>
    <w:rsid w:val="00FA0D63"/>
    <w:rsid w:val="00FA400F"/>
    <w:rsid w:val="00FD1226"/>
    <w:rsid w:val="00FD1842"/>
    <w:rsid w:val="00FD523B"/>
    <w:rsid w:val="00FE2ABA"/>
    <w:rsid w:val="00FF4830"/>
    <w:rsid w:val="00FF7943"/>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F6C37C"/>
  <w15:docId w15:val="{D2DDCBC8-823A-4AC3-A89C-6D801968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1">
    <w:name w:val="heading 1"/>
    <w:basedOn w:val="Normal"/>
    <w:next w:val="Normal"/>
    <w:link w:val="Heading1Char"/>
    <w:uiPriority w:val="9"/>
    <w:rsid w:val="00343C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numPr>
        <w:numId w:val="4"/>
      </w:numPr>
      <w:tabs>
        <w:tab w:val="left" w:pos="567"/>
      </w:tabs>
      <w:snapToGrid w:val="0"/>
      <w:spacing w:after="240"/>
      <w:ind w:left="567" w:hanging="567"/>
      <w:outlineLvl w:val="3"/>
    </w:pPr>
    <w:rPr>
      <w:rFonts w:ascii="Arial" w:hAnsi="Arial"/>
      <w:b/>
      <w:bCs/>
      <w:snapToGrid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fr-FR"/>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fr-FR"/>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fr-FR"/>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fr-FR"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rPr>
  </w:style>
  <w:style w:type="paragraph" w:customStyle="1" w:styleId="COMParaDecision">
    <w:name w:val="COM Para Decision"/>
    <w:basedOn w:val="Normal"/>
    <w:uiPriority w:val="99"/>
    <w:qFormat/>
    <w:rsid w:val="00345CB4"/>
    <w:pPr>
      <w:numPr>
        <w:numId w:val="3"/>
      </w:numPr>
      <w:autoSpaceDE w:val="0"/>
      <w:autoSpaceDN w:val="0"/>
      <w:adjustRightInd w:val="0"/>
      <w:spacing w:after="120"/>
      <w:jc w:val="both"/>
    </w:pPr>
    <w:rPr>
      <w:rFonts w:ascii="Arial" w:eastAsia="SimSun" w:hAnsi="Arial" w:cs="Arial"/>
      <w:sz w:val="22"/>
      <w:szCs w:val="22"/>
      <w:u w:val="single"/>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numbered (a)),Lapis Bulleted List,Dot pt,F5 List Paragraph,No Spacing1,List Paragraph Char Char Char,Indicator Text,Numbered Para 1,Bullet 1,List Paragraph12,Bullet Points,MAIN CONTENT,List Paragraph1"/>
    <w:basedOn w:val="Normal"/>
    <w:link w:val="ListParagraphChar"/>
    <w:uiPriority w:val="34"/>
    <w:qFormat/>
    <w:rsid w:val="004A2875"/>
    <w:pPr>
      <w:ind w:left="720"/>
      <w:contextualSpacing/>
    </w:pPr>
  </w:style>
  <w:style w:type="character" w:styleId="Hyperlink">
    <w:name w:val="Hyperlink"/>
    <w:basedOn w:val="DefaultParagraphFont"/>
    <w:uiPriority w:val="99"/>
    <w:rsid w:val="00F67986"/>
    <w:rPr>
      <w:rFonts w:cs="Times New Roman"/>
      <w:color w:val="0000FF"/>
      <w:u w:val="single"/>
    </w:rPr>
  </w:style>
  <w:style w:type="paragraph" w:styleId="FootnoteText">
    <w:name w:val="footnote text"/>
    <w:basedOn w:val="Normal"/>
    <w:link w:val="FootnoteTextChar"/>
    <w:uiPriority w:val="99"/>
    <w:semiHidden/>
    <w:unhideWhenUsed/>
    <w:rsid w:val="00F67986"/>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F67986"/>
    <w:rPr>
      <w:rFonts w:asciiTheme="minorHAnsi" w:eastAsiaTheme="minorHAnsi" w:hAnsiTheme="minorHAnsi" w:cstheme="minorBidi"/>
      <w:lang w:val="fr-FR" w:eastAsia="en-US"/>
    </w:rPr>
  </w:style>
  <w:style w:type="character" w:styleId="FollowedHyperlink">
    <w:name w:val="FollowedHyperlink"/>
    <w:basedOn w:val="DefaultParagraphFont"/>
    <w:uiPriority w:val="99"/>
    <w:semiHidden/>
    <w:unhideWhenUsed/>
    <w:rsid w:val="007B7AFC"/>
    <w:rPr>
      <w:color w:val="800080" w:themeColor="followedHyperlink"/>
      <w:u w:val="single"/>
    </w:rPr>
  </w:style>
  <w:style w:type="character" w:styleId="UnresolvedMention">
    <w:name w:val="Unresolved Mention"/>
    <w:basedOn w:val="DefaultParagraphFont"/>
    <w:uiPriority w:val="99"/>
    <w:semiHidden/>
    <w:unhideWhenUsed/>
    <w:rsid w:val="007B7AFC"/>
    <w:rPr>
      <w:color w:val="605E5C"/>
      <w:shd w:val="clear" w:color="auto" w:fill="E1DFDD"/>
    </w:rPr>
  </w:style>
  <w:style w:type="character" w:styleId="FootnoteReference">
    <w:name w:val="footnote reference"/>
    <w:basedOn w:val="DefaultParagraphFont"/>
    <w:uiPriority w:val="99"/>
    <w:semiHidden/>
    <w:unhideWhenUsed/>
    <w:rsid w:val="000A1D29"/>
    <w:rPr>
      <w:vertAlign w:val="superscript"/>
    </w:rPr>
  </w:style>
  <w:style w:type="paragraph" w:styleId="CommentText">
    <w:name w:val="annotation text"/>
    <w:basedOn w:val="Normal"/>
    <w:link w:val="CommentTextChar"/>
    <w:uiPriority w:val="99"/>
    <w:semiHidden/>
    <w:unhideWhenUsed/>
    <w:rsid w:val="00E2565A"/>
    <w:rPr>
      <w:rFonts w:eastAsia="SimSun"/>
      <w:sz w:val="20"/>
      <w:szCs w:val="20"/>
      <w:lang w:eastAsia="en-US"/>
    </w:rPr>
  </w:style>
  <w:style w:type="character" w:customStyle="1" w:styleId="CommentTextChar">
    <w:name w:val="Comment Text Char"/>
    <w:basedOn w:val="DefaultParagraphFont"/>
    <w:link w:val="CommentText"/>
    <w:uiPriority w:val="99"/>
    <w:semiHidden/>
    <w:rsid w:val="00E2565A"/>
    <w:rPr>
      <w:rFonts w:ascii="Times New Roman" w:hAnsi="Times New Roman"/>
      <w:lang w:val="fr-FR" w:eastAsia="en-US"/>
    </w:rPr>
  </w:style>
  <w:style w:type="paragraph" w:customStyle="1" w:styleId="GAParaResolution">
    <w:name w:val="GA Para Resolution"/>
    <w:basedOn w:val="Normal"/>
    <w:qFormat/>
    <w:rsid w:val="00E2565A"/>
    <w:pPr>
      <w:autoSpaceDE w:val="0"/>
      <w:autoSpaceDN w:val="0"/>
      <w:adjustRightInd w:val="0"/>
      <w:spacing w:after="120"/>
      <w:ind w:left="1287" w:hanging="360"/>
      <w:jc w:val="both"/>
    </w:pPr>
    <w:rPr>
      <w:rFonts w:ascii="Arial" w:eastAsia="SimSun" w:hAnsi="Arial" w:cs="Arial"/>
      <w:sz w:val="22"/>
      <w:szCs w:val="22"/>
      <w:u w:val="single"/>
    </w:rPr>
  </w:style>
  <w:style w:type="character" w:customStyle="1" w:styleId="textview">
    <w:name w:val="textview"/>
    <w:basedOn w:val="DefaultParagraphFont"/>
    <w:rsid w:val="0059752C"/>
  </w:style>
  <w:style w:type="table" w:customStyle="1" w:styleId="TableGrid2">
    <w:name w:val="Table Grid2"/>
    <w:basedOn w:val="TableNormal"/>
    <w:next w:val="TableGrid"/>
    <w:uiPriority w:val="59"/>
    <w:rsid w:val="005975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numbered (a)) Char,Lapis Bulleted List Char,Dot pt Char,F5 List Paragraph Char,No Spacing1 Char,List Paragraph Char Char Char Char,Indicator Text Char,Numbered Para 1 Char,Bullet 1 Char,List Paragraph12 Char"/>
    <w:basedOn w:val="DefaultParagraphFont"/>
    <w:link w:val="ListParagraph"/>
    <w:uiPriority w:val="34"/>
    <w:locked/>
    <w:rsid w:val="0059752C"/>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59752C"/>
    <w:rPr>
      <w:sz w:val="16"/>
      <w:szCs w:val="16"/>
    </w:rPr>
  </w:style>
  <w:style w:type="paragraph" w:styleId="CommentSubject">
    <w:name w:val="annotation subject"/>
    <w:basedOn w:val="CommentText"/>
    <w:next w:val="CommentText"/>
    <w:link w:val="CommentSubjectChar"/>
    <w:uiPriority w:val="99"/>
    <w:semiHidden/>
    <w:unhideWhenUsed/>
    <w:rsid w:val="009C32DF"/>
    <w:rPr>
      <w:rFonts w:eastAsia="Times New Roman"/>
      <w:b/>
      <w:bCs/>
      <w:lang w:eastAsia="fr-FR"/>
    </w:rPr>
  </w:style>
  <w:style w:type="character" w:customStyle="1" w:styleId="CommentSubjectChar">
    <w:name w:val="Comment Subject Char"/>
    <w:basedOn w:val="CommentTextChar"/>
    <w:link w:val="CommentSubject"/>
    <w:uiPriority w:val="99"/>
    <w:semiHidden/>
    <w:rsid w:val="009C32DF"/>
    <w:rPr>
      <w:rFonts w:ascii="Times New Roman" w:eastAsia="Times New Roman" w:hAnsi="Times New Roman"/>
      <w:b/>
      <w:bCs/>
      <w:lang w:val="fr-FR" w:eastAsia="en-US"/>
    </w:rPr>
  </w:style>
  <w:style w:type="character" w:styleId="Strong">
    <w:name w:val="Strong"/>
    <w:basedOn w:val="DefaultParagraphFont"/>
    <w:uiPriority w:val="22"/>
    <w:qFormat/>
    <w:rsid w:val="002664C2"/>
    <w:rPr>
      <w:b/>
      <w:bCs/>
    </w:rPr>
  </w:style>
  <w:style w:type="character" w:customStyle="1" w:styleId="Heading1Char">
    <w:name w:val="Heading 1 Char"/>
    <w:basedOn w:val="DefaultParagraphFont"/>
    <w:link w:val="Heading1"/>
    <w:uiPriority w:val="9"/>
    <w:rsid w:val="00343CD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923963">
      <w:bodyDiv w:val="1"/>
      <w:marLeft w:val="0"/>
      <w:marRight w:val="0"/>
      <w:marTop w:val="0"/>
      <w:marBottom w:val="0"/>
      <w:divBdr>
        <w:top w:val="none" w:sz="0" w:space="0" w:color="auto"/>
        <w:left w:val="none" w:sz="0" w:space="0" w:color="auto"/>
        <w:bottom w:val="none" w:sz="0" w:space="0" w:color="auto"/>
        <w:right w:val="none" w:sz="0" w:space="0" w:color="auto"/>
      </w:divBdr>
    </w:div>
    <w:div w:id="704447606">
      <w:bodyDiv w:val="1"/>
      <w:marLeft w:val="0"/>
      <w:marRight w:val="0"/>
      <w:marTop w:val="0"/>
      <w:marBottom w:val="0"/>
      <w:divBdr>
        <w:top w:val="none" w:sz="0" w:space="0" w:color="auto"/>
        <w:left w:val="none" w:sz="0" w:space="0" w:color="auto"/>
        <w:bottom w:val="none" w:sz="0" w:space="0" w:color="auto"/>
        <w:right w:val="none" w:sz="0" w:space="0" w:color="auto"/>
      </w:divBdr>
    </w:div>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43677907">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253473427">
      <w:bodyDiv w:val="1"/>
      <w:marLeft w:val="0"/>
      <w:marRight w:val="0"/>
      <w:marTop w:val="0"/>
      <w:marBottom w:val="0"/>
      <w:divBdr>
        <w:top w:val="none" w:sz="0" w:space="0" w:color="auto"/>
        <w:left w:val="none" w:sz="0" w:space="0" w:color="auto"/>
        <w:bottom w:val="none" w:sz="0" w:space="0" w:color="auto"/>
        <w:right w:val="none" w:sz="0" w:space="0" w:color="auto"/>
      </w:divBdr>
    </w:div>
    <w:div w:id="1510565095">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nesdoc.unesco.org/ark:/48223/pf0000373473.locale=fr" TargetMode="External"/><Relationship Id="rId13" Type="http://schemas.openxmlformats.org/officeDocument/2006/relationships/hyperlink" Target="https://en.unesco.org/sites/default/files/issue_4_en_culture_covid-19_tracker-8.pdf" TargetMode="External"/><Relationship Id="rId18" Type="http://schemas.openxmlformats.org/officeDocument/2006/relationships/hyperlink" Target="https://ich.unesco.org/fr/rflexion-sur-le-rle-des-ong-01037" TargetMode="External"/><Relationship Id="rId26" Type="http://schemas.openxmlformats.org/officeDocument/2006/relationships/hyperlink" Target="https://ich.unesco.org/fr/plongez"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https://ich.unesco.org/doc/download.php?versionID=47849" TargetMode="External"/><Relationship Id="rId34"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https://en.unesco.org/sites/default/files/issue_4_en_culture_covid-19_tracker-8.pdf" TargetMode="External"/><Relationship Id="rId17" Type="http://schemas.openxmlformats.org/officeDocument/2006/relationships/hyperlink" Target="https://ich.unesco.org/doc/src/LHE-21-16.COM-INF.10-FR.docx" TargetMode="External"/><Relationship Id="rId25" Type="http://schemas.openxmlformats.org/officeDocument/2006/relationships/hyperlink" Target="https://ich.unesco.org/fr/resources-education" TargetMode="External"/><Relationship Id="rId33" Type="http://schemas.openxmlformats.org/officeDocument/2006/relationships/header" Target="header4.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ich.unesco.org/fr/living-heritage-and-the-covid-19-pandemic-01179" TargetMode="External"/><Relationship Id="rId20" Type="http://schemas.openxmlformats.org/officeDocument/2006/relationships/hyperlink" Target="https://ich.unesco.org/fr/tertiary-education-00976" TargetMode="External"/><Relationship Id="rId29" Type="http://schemas.openxmlformats.org/officeDocument/2006/relationships/hyperlink" Target="https://ich.unesco.org/doc/src/53145-ES.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h.unesco.org/fr/plateforme-d-expriences-du-patrimoine-vivant-face-la-pandmie-01123" TargetMode="External"/><Relationship Id="rId24" Type="http://schemas.openxmlformats.org/officeDocument/2006/relationships/hyperlink" Target="https://ich.unesco.org/fr/evenements?meeting_id=00835" TargetMode="External"/><Relationship Id="rId32" Type="http://schemas.openxmlformats.org/officeDocument/2006/relationships/header" Target="header3.xml"/><Relationship Id="rId37" Type="http://schemas.openxmlformats.org/officeDocument/2006/relationships/image" Target="media/image4.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ch.unesco.org/doc/src/Living_Heritage_in_the_face_of_COVID-19_-_High_Resolution.pdf" TargetMode="External"/><Relationship Id="rId23" Type="http://schemas.openxmlformats.org/officeDocument/2006/relationships/hyperlink" Target="https://ich.unesco.org/doc/src/48763-FR.pdf" TargetMode="External"/><Relationship Id="rId28" Type="http://schemas.openxmlformats.org/officeDocument/2006/relationships/hyperlink" Target="https://ich.unesco.org/fr/education-01017" TargetMode="External"/><Relationship Id="rId36" Type="http://schemas.openxmlformats.org/officeDocument/2006/relationships/image" Target="media/image3.emf"/><Relationship Id="rId10" Type="http://schemas.openxmlformats.org/officeDocument/2006/relationships/hyperlink" Target="https://ich.unesco.org/doc/src/LHE-20-8.GA-6+Add.-FR.docx" TargetMode="External"/><Relationship Id="rId19" Type="http://schemas.openxmlformats.org/officeDocument/2006/relationships/hyperlink" Target="https://ich.unesco.org/fr/facilitateur"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unesdoc.unesco.org/ark:/48223/pf0000379585_fre" TargetMode="External"/><Relationship Id="rId14" Type="http://schemas.openxmlformats.org/officeDocument/2006/relationships/hyperlink" Target="https://whc.unesco.org/fr/revue/95/" TargetMode="External"/><Relationship Id="rId22" Type="http://schemas.openxmlformats.org/officeDocument/2006/relationships/hyperlink" Target="https://ich.unesco.org/fr/boite-a-outils-sur-le-developpement-durable-00987" TargetMode="External"/><Relationship Id="rId27" Type="http://schemas.openxmlformats.org/officeDocument/2006/relationships/hyperlink" Target="https://ich.unesco.org/fr/situations-d-urgence-01117" TargetMode="External"/><Relationship Id="rId30" Type="http://schemas.openxmlformats.org/officeDocument/2006/relationships/header" Target="header1.xml"/><Relationship Id="rId35" Type="http://schemas.openxmlformats.org/officeDocument/2006/relationships/hyperlink" Target="https://ich.unesco.org/doc/src/Le_patrimoine_vivant_face_%C3%A0_la_COVID-19-HighR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ich.unesco.org/fr/Decisions/12.COM/6" TargetMode="External"/><Relationship Id="rId13" Type="http://schemas.openxmlformats.org/officeDocument/2006/relationships/hyperlink" Target="https://ich.unesco.org/fr/Decisions/8.GA/10" TargetMode="External"/><Relationship Id="rId3" Type="http://schemas.openxmlformats.org/officeDocument/2006/relationships/hyperlink" Target="https://ich.unesco.org/doc/src/LHE-21-16.COM-14-FR.docx" TargetMode="External"/><Relationship Id="rId7" Type="http://schemas.openxmlformats.org/officeDocument/2006/relationships/hyperlink" Target="https://ich.unesco.org/doc/src/LHE-21-16.COM-7.b-FR.docx" TargetMode="External"/><Relationship Id="rId12" Type="http://schemas.openxmlformats.org/officeDocument/2006/relationships/hyperlink" Target="https://ich.unesco.org/fr/Decisions/8.GA/9" TargetMode="External"/><Relationship Id="rId2" Type="http://schemas.openxmlformats.org/officeDocument/2006/relationships/hyperlink" Target="https://ich.unesco.org/doc/src/LHE-21-16.COM-INF.13.2-FR.docx" TargetMode="External"/><Relationship Id="rId1" Type="http://schemas.openxmlformats.org/officeDocument/2006/relationships/hyperlink" Target="https://ich.unesco.org/doc/src/LHE-21-16.COM-INF.13.1-FR.docx" TargetMode="External"/><Relationship Id="rId6" Type="http://schemas.openxmlformats.org/officeDocument/2006/relationships/hyperlink" Target="https://ich.unesco.org/doc/src/LHE-21-16.COM-INF.13.1-FR.docx" TargetMode="External"/><Relationship Id="rId11" Type="http://schemas.openxmlformats.org/officeDocument/2006/relationships/hyperlink" Target="https://unesdoc.unesco.org/ark:/48223/pf0000379571_fre" TargetMode="External"/><Relationship Id="rId5" Type="http://schemas.openxmlformats.org/officeDocument/2006/relationships/hyperlink" Target="https://ich.unesco.org/fr/Resolutions/7.GA/8" TargetMode="External"/><Relationship Id="rId10" Type="http://schemas.openxmlformats.org/officeDocument/2006/relationships/hyperlink" Target="https://ich.unesco.org/fr/Decisions/14.COM/10" TargetMode="External"/><Relationship Id="rId4" Type="http://schemas.openxmlformats.org/officeDocument/2006/relationships/hyperlink" Target="https://ich.unesco.org/fr/Decisions/14.COM/15" TargetMode="External"/><Relationship Id="rId9" Type="http://schemas.openxmlformats.org/officeDocument/2006/relationships/hyperlink" Target="https://ich.unesco.org/fr/Decisions/15.COM/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CRE\02-ITH\Convention-Statutory%20Meetings\2015_STATUTORY%20MEETINGS\2015-11_10COM-Windhoek\Documents\0_Templates\10%20COM_Working%20document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3E0471-18BB-4418-A13B-F2C5B3182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 COM_Working document_EN.dotx</Template>
  <TotalTime>17</TotalTime>
  <Pages>24</Pages>
  <Words>8657</Words>
  <Characters>49347</Characters>
  <Application>Microsoft Office Word</Application>
  <DocSecurity>0</DocSecurity>
  <Lines>411</Lines>
  <Paragraphs>115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57889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 Eunkyung</dc:creator>
  <cp:keywords/>
  <dc:description/>
  <cp:lastModifiedBy>Kim, Dain</cp:lastModifiedBy>
  <cp:revision>7</cp:revision>
  <cp:lastPrinted>2011-08-06T10:22:00Z</cp:lastPrinted>
  <dcterms:created xsi:type="dcterms:W3CDTF">2021-12-10T11:06:00Z</dcterms:created>
  <dcterms:modified xsi:type="dcterms:W3CDTF">2021-12-10T15:58:00Z</dcterms:modified>
</cp:coreProperties>
</file>