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229" w:rsidRPr="00374DA7" w:rsidRDefault="00103229" w:rsidP="00AE6520">
      <w:pPr>
        <w:pStyle w:val="Chapitre"/>
        <w:rPr>
          <w:lang w:val="fr-FR"/>
        </w:rPr>
      </w:pPr>
      <w:r w:rsidRPr="00374DA7">
        <w:rPr>
          <w:lang w:val="fr-FR"/>
        </w:rPr>
        <w:t>UNITÉ 17</w:t>
      </w:r>
    </w:p>
    <w:p w:rsidR="00F31FEF" w:rsidRPr="00374DA7" w:rsidRDefault="00F31FEF" w:rsidP="00D20455">
      <w:pPr>
        <w:pStyle w:val="UPlan"/>
        <w:rPr>
          <w:lang w:val="fr-FR"/>
        </w:rPr>
      </w:pPr>
      <w:r w:rsidRPr="00374DA7">
        <w:rPr>
          <w:lang w:val="fr-FR"/>
        </w:rPr>
        <w:t>RATIFICATION DE LA CONVENTION</w:t>
      </w:r>
    </w:p>
    <w:p w:rsidR="00F31FEF" w:rsidRPr="00374DA7" w:rsidRDefault="00F31FEF" w:rsidP="00D20455">
      <w:pPr>
        <w:pStyle w:val="Titcoul"/>
        <w:rPr>
          <w:lang w:val="fr-FR"/>
        </w:rPr>
      </w:pPr>
      <w:r w:rsidRPr="00374DA7">
        <w:rPr>
          <w:lang w:val="fr-FR"/>
        </w:rPr>
        <w:t xml:space="preserve">texte du </w:t>
      </w:r>
      <w:r w:rsidRPr="001C1841">
        <w:rPr>
          <w:lang w:val="fr-FR"/>
        </w:rPr>
        <w:t>participant</w:t>
      </w:r>
    </w:p>
    <w:p w:rsidR="0072714F" w:rsidRPr="00374DA7" w:rsidRDefault="0027666C" w:rsidP="00AE6520">
      <w:pPr>
        <w:pStyle w:val="Sschap"/>
      </w:pPr>
      <w:r w:rsidRPr="00374DA7">
        <w:t>La présen</w:t>
      </w:r>
      <w:r w:rsidR="0072714F" w:rsidRPr="00374DA7">
        <w:t xml:space="preserve">te unité </w:t>
      </w:r>
      <w:r w:rsidRPr="00374DA7">
        <w:t>couvr</w:t>
      </w:r>
      <w:r w:rsidR="0072714F" w:rsidRPr="00374DA7">
        <w:t xml:space="preserve">e les </w:t>
      </w:r>
      <w:r w:rsidRPr="00374DA7">
        <w:t>thème</w:t>
      </w:r>
      <w:r w:rsidR="0072714F" w:rsidRPr="00374DA7">
        <w:t xml:space="preserve">s suivants : </w:t>
      </w:r>
    </w:p>
    <w:p w:rsidR="0072714F" w:rsidRPr="00374DA7" w:rsidRDefault="0072714F" w:rsidP="00AE6520">
      <w:pPr>
        <w:pStyle w:val="Txtchap"/>
        <w:numPr>
          <w:ilvl w:val="0"/>
          <w:numId w:val="1"/>
        </w:numPr>
        <w:tabs>
          <w:tab w:val="num" w:pos="567"/>
        </w:tabs>
        <w:ind w:left="567" w:hanging="567"/>
      </w:pPr>
      <w:r w:rsidRPr="00374DA7">
        <w:t>Aspects juridiques de la ratifica</w:t>
      </w:r>
      <w:r w:rsidR="00661799" w:rsidRPr="00374DA7">
        <w:rPr>
          <w:noProof/>
          <w:lang w:eastAsia="zh-TW"/>
        </w:rPr>
        <w:drawing>
          <wp:anchor distT="0" distB="0" distL="114300" distR="114300" simplePos="0" relativeHeight="251661312" behindDoc="1" locked="1" layoutInCell="1" allowOverlap="0">
            <wp:simplePos x="0" y="0"/>
            <wp:positionH relativeFrom="margin">
              <wp:posOffset>583565</wp:posOffset>
            </wp:positionH>
            <wp:positionV relativeFrom="margin">
              <wp:posOffset>2019300</wp:posOffset>
            </wp:positionV>
            <wp:extent cx="4869815" cy="4497705"/>
            <wp:effectExtent l="25400" t="0" r="6985" b="0"/>
            <wp:wrapNone/>
            <wp:docPr id="285" name="Imag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H.jpg"/>
                    <pic:cNvPicPr/>
                  </pic:nvPicPr>
                  <pic:blipFill>
                    <a:blip r:embed="rId7">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anchor>
        </w:drawing>
      </w:r>
      <w:r w:rsidR="0027666C" w:rsidRPr="00374DA7">
        <w:t>t</w:t>
      </w:r>
      <w:bookmarkStart w:id="0" w:name="_GoBack"/>
      <w:bookmarkEnd w:id="0"/>
      <w:r w:rsidR="0027666C" w:rsidRPr="00374DA7">
        <w:t xml:space="preserve">ion de la Convention de 2003 </w:t>
      </w:r>
      <w:r w:rsidRPr="00374DA7">
        <w:t>pour la sauvegarde du patrimoine culturel immatériel</w:t>
      </w:r>
      <w:r w:rsidR="0027666C" w:rsidRPr="00374DA7">
        <w:rPr>
          <w:vertAlign w:val="superscript"/>
        </w:rPr>
        <w:footnoteReference w:id="1"/>
      </w:r>
      <w:r w:rsidR="0027666C" w:rsidRPr="00374DA7">
        <w:t>.</w:t>
      </w:r>
    </w:p>
    <w:p w:rsidR="0072714F" w:rsidRPr="00374DA7" w:rsidRDefault="0027666C" w:rsidP="00AE6520">
      <w:pPr>
        <w:pStyle w:val="Txtchap"/>
        <w:numPr>
          <w:ilvl w:val="0"/>
          <w:numId w:val="1"/>
        </w:numPr>
        <w:tabs>
          <w:tab w:val="num" w:pos="567"/>
        </w:tabs>
        <w:ind w:left="567" w:hanging="567"/>
      </w:pPr>
      <w:r w:rsidRPr="00374DA7">
        <w:t xml:space="preserve">Voies possibles </w:t>
      </w:r>
      <w:r w:rsidR="00374DA7">
        <w:t>vers</w:t>
      </w:r>
      <w:r w:rsidRPr="00374DA7">
        <w:t xml:space="preserve"> la ratification.</w:t>
      </w:r>
    </w:p>
    <w:p w:rsidR="0072714F" w:rsidRPr="00374DA7" w:rsidRDefault="0027666C" w:rsidP="00AE6520">
      <w:pPr>
        <w:pStyle w:val="Txtchap"/>
        <w:numPr>
          <w:ilvl w:val="0"/>
          <w:numId w:val="1"/>
        </w:numPr>
        <w:tabs>
          <w:tab w:val="num" w:pos="567"/>
        </w:tabs>
        <w:ind w:left="567" w:hanging="567"/>
      </w:pPr>
      <w:r w:rsidRPr="00374DA7">
        <w:t>Ratification</w:t>
      </w:r>
      <w:r w:rsidR="0072714F" w:rsidRPr="00374DA7">
        <w:t xml:space="preserve"> de la Convention à ce jour</w:t>
      </w:r>
      <w:r w:rsidR="00F97746" w:rsidRPr="00374DA7">
        <w:t>.</w:t>
      </w:r>
    </w:p>
    <w:p w:rsidR="00B9099E" w:rsidRPr="00374DA7" w:rsidRDefault="00374DA7" w:rsidP="00887120">
      <w:pPr>
        <w:pStyle w:val="Chapinfo"/>
      </w:pPr>
      <w:r>
        <w:t>R</w:t>
      </w:r>
      <w:r w:rsidR="0027666C" w:rsidRPr="00374DA7">
        <w:t>ubriqu</w:t>
      </w:r>
      <w:r w:rsidR="00F97746" w:rsidRPr="00374DA7">
        <w:t>es pertinent</w:t>
      </w:r>
      <w:r w:rsidR="0027666C" w:rsidRPr="00374DA7">
        <w:t>e</w:t>
      </w:r>
      <w:r w:rsidR="00F97746" w:rsidRPr="00374DA7">
        <w:t xml:space="preserve">s de </w:t>
      </w:r>
      <w:r w:rsidR="0027666C" w:rsidRPr="00374DA7">
        <w:t xml:space="preserve">l’Unité 3 </w:t>
      </w:r>
      <w:r>
        <w:t>à consulter</w:t>
      </w:r>
      <w:r w:rsidR="00887120" w:rsidRPr="00374DA7">
        <w:t> :</w:t>
      </w:r>
      <w:r w:rsidR="00E234FB" w:rsidRPr="00374DA7">
        <w:t xml:space="preserve"> « État Partie</w:t>
      </w:r>
      <w:r w:rsidR="00F97746" w:rsidRPr="00374DA7">
        <w:t> »</w:t>
      </w:r>
      <w:r w:rsidR="0027666C" w:rsidRPr="00374DA7">
        <w:t xml:space="preserve"> et </w:t>
      </w:r>
      <w:r w:rsidR="00887120" w:rsidRPr="00374DA7">
        <w:t>« Ratification ».</w:t>
      </w:r>
    </w:p>
    <w:p w:rsidR="001404AC" w:rsidRPr="00374DA7" w:rsidRDefault="001404AC">
      <w:pPr>
        <w:rPr>
          <w:rFonts w:ascii="Arial" w:hAnsi="Arial" w:cs="Arial"/>
          <w:b/>
          <w:sz w:val="20"/>
          <w:szCs w:val="20"/>
        </w:rPr>
      </w:pPr>
      <w:r w:rsidRPr="00374DA7">
        <w:rPr>
          <w:rFonts w:ascii="Arial" w:hAnsi="Arial" w:cs="Arial"/>
          <w:b/>
          <w:sz w:val="20"/>
          <w:szCs w:val="20"/>
        </w:rPr>
        <w:br w:type="page"/>
      </w:r>
    </w:p>
    <w:p w:rsidR="00B01333" w:rsidRDefault="00B01333" w:rsidP="00B01333">
      <w:pPr>
        <w:spacing w:before="480"/>
        <w:rPr>
          <w:rFonts w:ascii="Arial" w:eastAsia="Times New Roman" w:hAnsi="Arial" w:cs="Arial"/>
          <w:sz w:val="22"/>
          <w:szCs w:val="22"/>
          <w:lang w:eastAsia="pt-BR"/>
        </w:rPr>
      </w:pPr>
    </w:p>
    <w:p w:rsidR="00B01333" w:rsidRPr="00B01333" w:rsidRDefault="00B01333" w:rsidP="00B01333">
      <w:pPr>
        <w:spacing w:before="480" w:after="120"/>
        <w:rPr>
          <w:rFonts w:ascii="Arial" w:eastAsia="Times New Roman" w:hAnsi="Arial" w:cs="Arial"/>
          <w:snapToGrid w:val="0"/>
          <w:sz w:val="22"/>
          <w:szCs w:val="22"/>
          <w:lang w:eastAsia="pt-BR"/>
        </w:rPr>
      </w:pPr>
      <w:r w:rsidRPr="00B01333">
        <w:rPr>
          <w:rFonts w:ascii="Arial" w:eastAsia="Times New Roman" w:hAnsi="Arial" w:cs="Arial"/>
          <w:snapToGrid w:val="0"/>
          <w:sz w:val="22"/>
          <w:szCs w:val="22"/>
          <w:lang w:eastAsia="pt-BR"/>
        </w:rPr>
        <w:t xml:space="preserve">Publié en </w:t>
      </w:r>
      <w:r w:rsidR="001161B6">
        <w:rPr>
          <w:rFonts w:ascii="Arial" w:eastAsia="Times New Roman" w:hAnsi="Arial" w:cs="Arial"/>
          <w:snapToGrid w:val="0"/>
          <w:sz w:val="22"/>
          <w:szCs w:val="22"/>
          <w:lang w:eastAsia="pt-BR"/>
        </w:rPr>
        <w:t>2016</w:t>
      </w:r>
      <w:r w:rsidRPr="00B01333">
        <w:rPr>
          <w:rFonts w:ascii="Arial" w:eastAsia="Times New Roman" w:hAnsi="Arial" w:cs="Arial"/>
          <w:snapToGrid w:val="0"/>
          <w:sz w:val="22"/>
          <w:szCs w:val="22"/>
          <w:lang w:eastAsia="pt-BR"/>
        </w:rPr>
        <w:t xml:space="preserve"> par l’Organisation des Nations Unies pour l’éducation, la science et la culture </w:t>
      </w:r>
    </w:p>
    <w:p w:rsidR="00B01333" w:rsidRPr="007534B1" w:rsidRDefault="00B01333" w:rsidP="00B01333">
      <w:pPr>
        <w:tabs>
          <w:tab w:val="left" w:pos="567"/>
        </w:tabs>
        <w:autoSpaceDE w:val="0"/>
        <w:autoSpaceDN w:val="0"/>
        <w:adjustRightInd w:val="0"/>
        <w:snapToGrid w:val="0"/>
        <w:spacing w:before="120" w:after="120"/>
        <w:jc w:val="both"/>
        <w:rPr>
          <w:rFonts w:ascii="Arial" w:eastAsia="SimSun" w:hAnsi="Arial" w:cs="Arial"/>
          <w:snapToGrid w:val="0"/>
          <w:sz w:val="22"/>
          <w:szCs w:val="22"/>
          <w:lang w:eastAsia="zh-CN"/>
        </w:rPr>
      </w:pPr>
      <w:r w:rsidRPr="007534B1">
        <w:rPr>
          <w:rFonts w:ascii="Arial" w:eastAsia="SimSun" w:hAnsi="Arial" w:cs="Arial"/>
          <w:snapToGrid w:val="0"/>
          <w:sz w:val="22"/>
          <w:szCs w:val="22"/>
          <w:lang w:eastAsia="zh-CN"/>
        </w:rPr>
        <w:t>7, place de Fontenoy, 75352 Paris 07 SP, France</w:t>
      </w:r>
    </w:p>
    <w:p w:rsidR="00B01333" w:rsidRPr="007534B1" w:rsidRDefault="00B01333" w:rsidP="00B01333">
      <w:pPr>
        <w:tabs>
          <w:tab w:val="left" w:pos="567"/>
        </w:tabs>
        <w:autoSpaceDE w:val="0"/>
        <w:autoSpaceDN w:val="0"/>
        <w:adjustRightInd w:val="0"/>
        <w:snapToGrid w:val="0"/>
        <w:spacing w:before="120" w:after="120"/>
        <w:jc w:val="both"/>
        <w:rPr>
          <w:rFonts w:ascii="Arial" w:eastAsia="SimSun" w:hAnsi="Arial" w:cs="Arial"/>
          <w:snapToGrid w:val="0"/>
          <w:sz w:val="22"/>
          <w:szCs w:val="22"/>
          <w:lang w:eastAsia="zh-CN"/>
        </w:rPr>
      </w:pPr>
    </w:p>
    <w:p w:rsidR="00B01333" w:rsidRPr="007534B1" w:rsidRDefault="00B01333" w:rsidP="00B01333">
      <w:pPr>
        <w:tabs>
          <w:tab w:val="left" w:pos="567"/>
        </w:tabs>
        <w:autoSpaceDE w:val="0"/>
        <w:autoSpaceDN w:val="0"/>
        <w:adjustRightInd w:val="0"/>
        <w:snapToGrid w:val="0"/>
        <w:spacing w:before="120" w:after="120"/>
        <w:jc w:val="both"/>
        <w:rPr>
          <w:rFonts w:ascii="Arial" w:eastAsia="SimSun" w:hAnsi="Arial" w:cs="Arial"/>
          <w:snapToGrid w:val="0"/>
          <w:sz w:val="22"/>
          <w:szCs w:val="22"/>
          <w:lang w:eastAsia="zh-CN"/>
        </w:rPr>
      </w:pPr>
      <w:r w:rsidRPr="007534B1">
        <w:rPr>
          <w:rFonts w:ascii="Arial" w:eastAsia="SimSun" w:hAnsi="Arial" w:cs="Arial"/>
          <w:snapToGrid w:val="0"/>
          <w:sz w:val="22"/>
          <w:szCs w:val="22"/>
          <w:lang w:eastAsia="zh-CN"/>
        </w:rPr>
        <w:t xml:space="preserve">© UNESCO </w:t>
      </w:r>
      <w:r w:rsidR="001161B6">
        <w:rPr>
          <w:rFonts w:ascii="Arial" w:eastAsia="SimSun" w:hAnsi="Arial" w:cs="Arial"/>
          <w:snapToGrid w:val="0"/>
          <w:sz w:val="22"/>
          <w:szCs w:val="22"/>
          <w:lang w:eastAsia="zh-CN"/>
        </w:rPr>
        <w:t>2016</w:t>
      </w:r>
    </w:p>
    <w:p w:rsidR="00B01333" w:rsidRPr="00B01333" w:rsidRDefault="00B01333" w:rsidP="00B01333">
      <w:pPr>
        <w:autoSpaceDE w:val="0"/>
        <w:autoSpaceDN w:val="0"/>
        <w:adjustRightInd w:val="0"/>
        <w:rPr>
          <w:rFonts w:ascii="Arial" w:hAnsi="Arial" w:cs="Arial"/>
          <w:sz w:val="22"/>
          <w:szCs w:val="22"/>
        </w:rPr>
      </w:pPr>
    </w:p>
    <w:p w:rsidR="00B01333" w:rsidRPr="00B01333" w:rsidRDefault="00B01333" w:rsidP="00B01333">
      <w:pPr>
        <w:autoSpaceDE w:val="0"/>
        <w:autoSpaceDN w:val="0"/>
        <w:adjustRightInd w:val="0"/>
        <w:rPr>
          <w:rFonts w:ascii="Arial" w:hAnsi="Arial" w:cs="Arial"/>
          <w:sz w:val="22"/>
          <w:szCs w:val="22"/>
        </w:rPr>
      </w:pPr>
      <w:r w:rsidRPr="00B01333">
        <w:rPr>
          <w:rFonts w:ascii="Arial" w:hAnsi="Arial" w:cs="Arial"/>
          <w:noProof/>
          <w:sz w:val="22"/>
          <w:szCs w:val="22"/>
          <w:lang w:eastAsia="zh-TW"/>
        </w:rPr>
        <w:drawing>
          <wp:anchor distT="0" distB="0" distL="114300" distR="114300" simplePos="0" relativeHeight="251669504" behindDoc="0" locked="0" layoutInCell="1" allowOverlap="1" wp14:anchorId="1AE719D5" wp14:editId="2ED6BFEB">
            <wp:simplePos x="0" y="0"/>
            <wp:positionH relativeFrom="column">
              <wp:posOffset>-3810</wp:posOffset>
            </wp:positionH>
            <wp:positionV relativeFrom="paragraph">
              <wp:posOffset>22860</wp:posOffset>
            </wp:positionV>
            <wp:extent cx="756285" cy="265430"/>
            <wp:effectExtent l="0" t="0" r="5715"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rsidR="00B01333" w:rsidRDefault="00B01333" w:rsidP="00B01333">
      <w:pPr>
        <w:autoSpaceDE w:val="0"/>
        <w:autoSpaceDN w:val="0"/>
        <w:adjustRightInd w:val="0"/>
        <w:rPr>
          <w:rFonts w:ascii="Arial" w:hAnsi="Arial" w:cs="Arial"/>
          <w:sz w:val="22"/>
          <w:szCs w:val="22"/>
        </w:rPr>
      </w:pPr>
    </w:p>
    <w:p w:rsidR="00B01333" w:rsidRPr="007534B1" w:rsidRDefault="00B01333" w:rsidP="00B01333">
      <w:pPr>
        <w:tabs>
          <w:tab w:val="left" w:pos="567"/>
        </w:tabs>
        <w:snapToGrid w:val="0"/>
        <w:spacing w:before="240" w:after="120"/>
        <w:jc w:val="both"/>
        <w:rPr>
          <w:rFonts w:ascii="Arial" w:eastAsia="SimSun" w:hAnsi="Arial" w:cs="Arial"/>
          <w:snapToGrid w:val="0"/>
          <w:sz w:val="22"/>
          <w:szCs w:val="22"/>
          <w:lang w:eastAsia="zh-CN"/>
        </w:rPr>
      </w:pPr>
      <w:r w:rsidRPr="007534B1">
        <w:rPr>
          <w:rFonts w:ascii="Arial" w:eastAsia="SimSun" w:hAnsi="Arial" w:cs="Arial"/>
          <w:snapToGrid w:val="0"/>
          <w:sz w:val="22"/>
          <w:szCs w:val="22"/>
          <w:lang w:eastAsia="zh-CN"/>
        </w:rPr>
        <w:t>Œuvre publiée en libre accès sous la licence Attribution-ShareAlike 3.0 IGO (CC-BY-SA 3.0 IGO) (</w:t>
      </w:r>
      <w:hyperlink r:id="rId9" w:history="1">
        <w:r w:rsidRPr="007534B1">
          <w:rPr>
            <w:rFonts w:ascii="Arial" w:eastAsia="SimSun" w:hAnsi="Arial" w:cs="Arial"/>
            <w:snapToGrid w:val="0"/>
            <w:sz w:val="22"/>
            <w:szCs w:val="22"/>
            <w:lang w:eastAsia="zh-CN"/>
          </w:rPr>
          <w:t>http://creativecommons.org/licenses/by-sa/3.0/igo/</w:t>
        </w:r>
      </w:hyperlink>
      <w:r w:rsidRPr="007534B1">
        <w:rPr>
          <w:rFonts w:ascii="Arial" w:eastAsia="SimSun" w:hAnsi="Arial" w:cs="Arial"/>
          <w:snapToGrid w:val="0"/>
          <w:sz w:val="22"/>
          <w:szCs w:val="22"/>
          <w:lang w:eastAsia="zh-CN"/>
        </w:rPr>
        <w:t>). Les utilisateurs du contenu de la présente publication acceptent les termes d’utilisation de l’Archive ouverte de libre accès UNESCO (</w:t>
      </w:r>
      <w:hyperlink r:id="rId10" w:history="1">
        <w:r w:rsidRPr="007534B1">
          <w:rPr>
            <w:rFonts w:ascii="Arial" w:eastAsia="SimSun" w:hAnsi="Arial" w:cs="Arial"/>
            <w:snapToGrid w:val="0"/>
            <w:sz w:val="22"/>
            <w:szCs w:val="22"/>
            <w:lang w:eastAsia="zh-CN"/>
          </w:rPr>
          <w:t>www.unesco.org/open-access/terms-use-ccbysa-fr</w:t>
        </w:r>
      </w:hyperlink>
      <w:r w:rsidRPr="007534B1">
        <w:rPr>
          <w:rFonts w:ascii="Arial" w:eastAsia="SimSun" w:hAnsi="Arial" w:cs="Arial"/>
          <w:snapToGrid w:val="0"/>
          <w:sz w:val="22"/>
          <w:szCs w:val="22"/>
          <w:lang w:eastAsia="zh-CN"/>
        </w:rPr>
        <w:t>).</w:t>
      </w:r>
    </w:p>
    <w:p w:rsidR="00B01333" w:rsidRPr="007534B1" w:rsidRDefault="00B01333" w:rsidP="00B01333">
      <w:pPr>
        <w:tabs>
          <w:tab w:val="left" w:pos="567"/>
        </w:tabs>
        <w:snapToGrid w:val="0"/>
        <w:spacing w:before="240" w:after="120"/>
        <w:jc w:val="both"/>
        <w:rPr>
          <w:rFonts w:ascii="Arial" w:eastAsia="SimSun" w:hAnsi="Arial" w:cs="Arial"/>
          <w:snapToGrid w:val="0"/>
          <w:sz w:val="22"/>
          <w:szCs w:val="22"/>
          <w:lang w:eastAsia="zh-CN"/>
        </w:rPr>
      </w:pPr>
      <w:r w:rsidRPr="007534B1">
        <w:rPr>
          <w:rFonts w:ascii="Arial" w:eastAsia="SimSun" w:hAnsi="Arial" w:cs="Arial"/>
          <w:snapToGrid w:val="0"/>
          <w:sz w:val="22"/>
          <w:szCs w:val="22"/>
          <w:lang w:eastAsia="zh-CN"/>
        </w:rPr>
        <w:t xml:space="preserve">Les images dans cette publication ne sont pas couvertes par la licence CC-BY-SA et ne peuvent en aucune façon être commercialisées ou reproduites sans l’autorisation expresse des détenteurs des droits de reproduction. </w:t>
      </w:r>
    </w:p>
    <w:p w:rsidR="00B01333" w:rsidRPr="007534B1" w:rsidRDefault="00B01333" w:rsidP="00B01333">
      <w:pPr>
        <w:tabs>
          <w:tab w:val="left" w:pos="567"/>
        </w:tabs>
        <w:snapToGrid w:val="0"/>
        <w:spacing w:before="240" w:after="120"/>
        <w:jc w:val="both"/>
        <w:rPr>
          <w:rFonts w:ascii="Arial" w:eastAsia="SimSun" w:hAnsi="Arial" w:cs="Arial"/>
          <w:snapToGrid w:val="0"/>
          <w:sz w:val="22"/>
          <w:szCs w:val="22"/>
          <w:lang w:eastAsia="zh-CN"/>
        </w:rPr>
      </w:pPr>
    </w:p>
    <w:p w:rsidR="00B01333" w:rsidRPr="007534B1" w:rsidRDefault="00B01333" w:rsidP="007534B1">
      <w:pPr>
        <w:tabs>
          <w:tab w:val="left" w:pos="567"/>
        </w:tabs>
        <w:autoSpaceDE w:val="0"/>
        <w:autoSpaceDN w:val="0"/>
        <w:adjustRightInd w:val="0"/>
        <w:snapToGrid w:val="0"/>
        <w:spacing w:before="120" w:after="120"/>
        <w:jc w:val="both"/>
        <w:rPr>
          <w:rFonts w:ascii="Arial" w:eastAsia="SimSun" w:hAnsi="Arial" w:cs="Arial"/>
          <w:snapToGrid w:val="0"/>
          <w:sz w:val="22"/>
          <w:szCs w:val="22"/>
          <w:lang w:val="en-US" w:eastAsia="zh-CN"/>
        </w:rPr>
      </w:pPr>
      <w:r w:rsidRPr="007534B1">
        <w:rPr>
          <w:rFonts w:ascii="Arial" w:eastAsia="SimSun" w:hAnsi="Arial" w:cs="Arial"/>
          <w:snapToGrid w:val="0"/>
          <w:sz w:val="22"/>
          <w:szCs w:val="22"/>
          <w:lang w:val="en-US" w:eastAsia="zh-CN"/>
        </w:rPr>
        <w:t xml:space="preserve">Titre original : </w:t>
      </w:r>
      <w:r w:rsidR="007534B1" w:rsidRPr="007534B1">
        <w:rPr>
          <w:rFonts w:ascii="Arial" w:eastAsia="SimSun" w:hAnsi="Arial" w:cs="Arial"/>
          <w:snapToGrid w:val="0"/>
          <w:sz w:val="22"/>
          <w:szCs w:val="22"/>
          <w:lang w:val="en-US" w:eastAsia="zh-CN"/>
        </w:rPr>
        <w:t>Ratifying the convention</w:t>
      </w:r>
    </w:p>
    <w:p w:rsidR="00B01333" w:rsidRPr="001161B6" w:rsidRDefault="00B01333" w:rsidP="007534B1">
      <w:pPr>
        <w:tabs>
          <w:tab w:val="left" w:pos="567"/>
        </w:tabs>
        <w:autoSpaceDE w:val="0"/>
        <w:autoSpaceDN w:val="0"/>
        <w:adjustRightInd w:val="0"/>
        <w:snapToGrid w:val="0"/>
        <w:spacing w:before="120" w:after="120"/>
        <w:jc w:val="both"/>
        <w:rPr>
          <w:rFonts w:ascii="Arial" w:eastAsia="SimSun" w:hAnsi="Arial" w:cs="Arial"/>
          <w:snapToGrid w:val="0"/>
          <w:sz w:val="22"/>
          <w:szCs w:val="22"/>
          <w:lang w:eastAsia="zh-CN"/>
        </w:rPr>
      </w:pPr>
      <w:r w:rsidRPr="001161B6">
        <w:rPr>
          <w:rFonts w:ascii="Arial" w:eastAsia="SimSun" w:hAnsi="Arial" w:cs="Arial"/>
          <w:snapToGrid w:val="0"/>
          <w:sz w:val="22"/>
          <w:szCs w:val="22"/>
          <w:lang w:eastAsia="zh-CN"/>
        </w:rPr>
        <w:t xml:space="preserve">Publié en </w:t>
      </w:r>
      <w:r w:rsidR="001161B6" w:rsidRPr="001161B6">
        <w:rPr>
          <w:rFonts w:ascii="Arial" w:eastAsia="SimSun" w:hAnsi="Arial" w:cs="Arial"/>
          <w:snapToGrid w:val="0"/>
          <w:sz w:val="22"/>
          <w:szCs w:val="22"/>
          <w:lang w:eastAsia="zh-CN"/>
        </w:rPr>
        <w:t>2016</w:t>
      </w:r>
      <w:r w:rsidRPr="001161B6">
        <w:rPr>
          <w:rFonts w:ascii="Arial" w:eastAsia="SimSun" w:hAnsi="Arial" w:cs="Arial"/>
          <w:snapToGrid w:val="0"/>
          <w:sz w:val="22"/>
          <w:szCs w:val="22"/>
          <w:lang w:eastAsia="zh-CN"/>
        </w:rPr>
        <w:t xml:space="preserve"> par l’Organisation des Nations Unies pour l’éducation, la science et la culture </w:t>
      </w:r>
    </w:p>
    <w:p w:rsidR="00B01333" w:rsidRPr="007534B1" w:rsidRDefault="00B01333" w:rsidP="00B01333">
      <w:pPr>
        <w:tabs>
          <w:tab w:val="left" w:pos="567"/>
        </w:tabs>
        <w:snapToGrid w:val="0"/>
        <w:spacing w:before="240" w:after="120"/>
        <w:jc w:val="both"/>
        <w:rPr>
          <w:rFonts w:ascii="Arial" w:eastAsia="SimSun" w:hAnsi="Arial" w:cs="Arial"/>
          <w:snapToGrid w:val="0"/>
          <w:sz w:val="22"/>
          <w:szCs w:val="22"/>
          <w:lang w:eastAsia="zh-CN"/>
        </w:rPr>
      </w:pPr>
    </w:p>
    <w:p w:rsidR="00B01333" w:rsidRPr="007534B1" w:rsidRDefault="00B01333" w:rsidP="00B01333">
      <w:pPr>
        <w:tabs>
          <w:tab w:val="left" w:pos="567"/>
        </w:tabs>
        <w:snapToGrid w:val="0"/>
        <w:spacing w:before="240" w:after="120"/>
        <w:jc w:val="both"/>
        <w:rPr>
          <w:rFonts w:ascii="Arial" w:eastAsia="SimSun" w:hAnsi="Arial" w:cs="Arial"/>
          <w:snapToGrid w:val="0"/>
          <w:sz w:val="22"/>
          <w:szCs w:val="22"/>
          <w:lang w:eastAsia="zh-CN"/>
        </w:rPr>
      </w:pPr>
      <w:r w:rsidRPr="007534B1">
        <w:rPr>
          <w:rFonts w:ascii="Arial" w:eastAsia="SimSun" w:hAnsi="Arial" w:cs="Arial"/>
          <w:snapToGrid w:val="0"/>
          <w:sz w:val="22"/>
          <w:szCs w:val="22"/>
          <w:lang w:eastAsia="zh-CN"/>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rsidR="00B01333" w:rsidRPr="007534B1" w:rsidRDefault="00B01333" w:rsidP="00B01333">
      <w:pPr>
        <w:tabs>
          <w:tab w:val="left" w:pos="567"/>
        </w:tabs>
        <w:snapToGrid w:val="0"/>
        <w:spacing w:before="240" w:after="120"/>
        <w:jc w:val="both"/>
        <w:rPr>
          <w:rFonts w:ascii="Arial" w:eastAsia="SimSun" w:hAnsi="Arial" w:cs="Arial"/>
          <w:snapToGrid w:val="0"/>
          <w:sz w:val="22"/>
          <w:szCs w:val="22"/>
          <w:lang w:eastAsia="zh-CN"/>
        </w:rPr>
      </w:pPr>
    </w:p>
    <w:p w:rsidR="00B01333" w:rsidRPr="007534B1" w:rsidRDefault="00B01333" w:rsidP="00B01333">
      <w:pPr>
        <w:tabs>
          <w:tab w:val="left" w:pos="567"/>
        </w:tabs>
        <w:snapToGrid w:val="0"/>
        <w:spacing w:before="240" w:after="120"/>
        <w:jc w:val="both"/>
        <w:rPr>
          <w:rFonts w:ascii="Arial" w:eastAsia="SimSun" w:hAnsi="Arial" w:cs="Arial"/>
          <w:snapToGrid w:val="0"/>
          <w:sz w:val="22"/>
          <w:szCs w:val="22"/>
          <w:lang w:eastAsia="zh-CN"/>
        </w:rPr>
      </w:pPr>
      <w:r w:rsidRPr="007534B1">
        <w:rPr>
          <w:rFonts w:ascii="Arial" w:eastAsia="SimSun" w:hAnsi="Arial" w:cs="Arial"/>
          <w:snapToGrid w:val="0"/>
          <w:sz w:val="22"/>
          <w:szCs w:val="22"/>
          <w:lang w:eastAsia="zh-CN"/>
        </w:rPr>
        <w:t>Les idées et les opinions exprimées dans cette publication sont celles des auteurs ; elles ne reflètent pas nécessairement les points de vue de l’UNESCO et n’engagent en aucune façon l’Organisation.</w:t>
      </w:r>
    </w:p>
    <w:p w:rsidR="00B01333" w:rsidRPr="00B01333" w:rsidRDefault="00B01333" w:rsidP="00B01333">
      <w:pPr>
        <w:autoSpaceDE w:val="0"/>
        <w:autoSpaceDN w:val="0"/>
        <w:adjustRightInd w:val="0"/>
        <w:rPr>
          <w:rFonts w:ascii="Arial" w:hAnsi="Arial" w:cs="Arial"/>
          <w:sz w:val="22"/>
          <w:szCs w:val="22"/>
        </w:rPr>
      </w:pPr>
      <w:r w:rsidRPr="00B01333">
        <w:rPr>
          <w:rFonts w:ascii="Arial" w:hAnsi="Arial" w:cs="Arial"/>
          <w:sz w:val="22"/>
          <w:szCs w:val="22"/>
        </w:rPr>
        <w:br w:type="page"/>
      </w:r>
    </w:p>
    <w:p w:rsidR="00B9099E" w:rsidRPr="00374DA7" w:rsidRDefault="00887120" w:rsidP="00AE6520">
      <w:pPr>
        <w:pStyle w:val="Titcoul"/>
        <w:ind w:left="0" w:firstLine="0"/>
        <w:rPr>
          <w:lang w:val="fr-FR"/>
        </w:rPr>
      </w:pPr>
      <w:r w:rsidRPr="00374DA7">
        <w:rPr>
          <w:lang w:val="fr-FR"/>
        </w:rPr>
        <w:lastRenderedPageBreak/>
        <w:t>17.1</w:t>
      </w:r>
      <w:r w:rsidR="001404AC" w:rsidRPr="00374DA7">
        <w:rPr>
          <w:lang w:val="fr-FR"/>
        </w:rPr>
        <w:tab/>
      </w:r>
      <w:r w:rsidRPr="00374DA7">
        <w:rPr>
          <w:lang w:val="fr-FR"/>
        </w:rPr>
        <w:t>As</w:t>
      </w:r>
      <w:r w:rsidR="0019319D" w:rsidRPr="00374DA7">
        <w:rPr>
          <w:lang w:val="fr-FR"/>
        </w:rPr>
        <w:t>PECTS JURIDIQUES DE LA RATIFICATION</w:t>
      </w:r>
    </w:p>
    <w:p w:rsidR="0019319D" w:rsidRPr="00374DA7" w:rsidRDefault="0019319D" w:rsidP="00AE6520">
      <w:pPr>
        <w:pStyle w:val="Texte1"/>
        <w:rPr>
          <w:lang w:val="fr-FR"/>
        </w:rPr>
      </w:pPr>
      <w:r w:rsidRPr="00374DA7">
        <w:rPr>
          <w:lang w:val="fr-FR"/>
        </w:rPr>
        <w:t>La ratification est « l’acte international…par lequel un État établit sur le plan international son consenteme</w:t>
      </w:r>
      <w:r w:rsidR="00005058" w:rsidRPr="00374DA7">
        <w:rPr>
          <w:lang w:val="fr-FR"/>
        </w:rPr>
        <w:t>nt à être lié par un traité » (article 2</w:t>
      </w:r>
      <w:r w:rsidRPr="00374DA7">
        <w:rPr>
          <w:lang w:val="fr-FR"/>
        </w:rPr>
        <w:t>(1)(b) de la Convention de Vienne sur le droit des traités</w:t>
      </w:r>
      <w:r w:rsidR="00AD0EEC" w:rsidRPr="00374DA7">
        <w:rPr>
          <w:lang w:val="fr-FR"/>
        </w:rPr>
        <w:t>)</w:t>
      </w:r>
      <w:r w:rsidRPr="00374DA7">
        <w:rPr>
          <w:lang w:val="fr-FR"/>
        </w:rPr>
        <w:t xml:space="preserve">. L’acceptation, l’approbation et l’adhésion ont les mêmes effets </w:t>
      </w:r>
      <w:r w:rsidR="00F40B4D">
        <w:rPr>
          <w:lang w:val="fr-FR"/>
        </w:rPr>
        <w:t>juridiques que la ratification.</w:t>
      </w:r>
    </w:p>
    <w:p w:rsidR="0019319D" w:rsidRPr="00374DA7" w:rsidRDefault="0019319D" w:rsidP="00AE6520">
      <w:pPr>
        <w:pStyle w:val="Texte1"/>
        <w:rPr>
          <w:lang w:val="fr-FR"/>
        </w:rPr>
      </w:pPr>
      <w:r w:rsidRPr="00374DA7">
        <w:rPr>
          <w:lang w:val="fr-FR"/>
        </w:rPr>
        <w:t>La Convention du patrimoine immatériel est entrée en vigueur en avril 2006</w:t>
      </w:r>
      <w:r w:rsidR="00AD0EEC" w:rsidRPr="00374DA7">
        <w:rPr>
          <w:lang w:val="fr-FR"/>
        </w:rPr>
        <w:t>, trois mois après la date de dépôt du trentiè</w:t>
      </w:r>
      <w:r w:rsidR="00005058" w:rsidRPr="00374DA7">
        <w:rPr>
          <w:lang w:val="fr-FR"/>
        </w:rPr>
        <w:t>me instrument de ratification (a</w:t>
      </w:r>
      <w:r w:rsidR="00AD0EEC" w:rsidRPr="00374DA7">
        <w:rPr>
          <w:lang w:val="fr-FR"/>
        </w:rPr>
        <w:t>rticle 34). Pour les États qui ont ratifié après cette date, la Convention entre en vigueur trois mois après le dépôt – en bonne et due forme – de le</w:t>
      </w:r>
      <w:r w:rsidR="00005058" w:rsidRPr="00374DA7">
        <w:rPr>
          <w:lang w:val="fr-FR"/>
        </w:rPr>
        <w:t>ur instrument de ratification (a</w:t>
      </w:r>
      <w:r w:rsidR="00AD0EEC" w:rsidRPr="00374DA7">
        <w:rPr>
          <w:lang w:val="fr-FR"/>
        </w:rPr>
        <w:t>rticle 34).</w:t>
      </w:r>
    </w:p>
    <w:p w:rsidR="002752D1" w:rsidRPr="00374DA7" w:rsidRDefault="00AD0EEC" w:rsidP="00192AF9">
      <w:pPr>
        <w:pStyle w:val="Texte1"/>
        <w:rPr>
          <w:lang w:val="fr-FR"/>
        </w:rPr>
      </w:pPr>
      <w:r w:rsidRPr="00374DA7">
        <w:rPr>
          <w:lang w:val="fr-FR"/>
        </w:rPr>
        <w:t xml:space="preserve">Les dispositions de la Convention ne s’appliquent qu’aux territoires des États qui sont parties à la Convention et aux activités menées entre ces </w:t>
      </w:r>
      <w:r w:rsidR="00D9426B" w:rsidRPr="00374DA7">
        <w:rPr>
          <w:lang w:val="fr-FR"/>
        </w:rPr>
        <w:t xml:space="preserve">États. </w:t>
      </w:r>
      <w:r w:rsidR="0080128D" w:rsidRPr="00374DA7">
        <w:rPr>
          <w:lang w:val="fr-FR"/>
        </w:rPr>
        <w:t>Il convient cependant de noter que les États qui ne s</w:t>
      </w:r>
      <w:r w:rsidR="00005058" w:rsidRPr="00374DA7">
        <w:rPr>
          <w:lang w:val="fr-FR"/>
        </w:rPr>
        <w:t>ont pas parties à la Convention</w:t>
      </w:r>
      <w:r w:rsidR="0080128D" w:rsidRPr="00374DA7">
        <w:rPr>
          <w:lang w:val="fr-FR"/>
        </w:rPr>
        <w:t xml:space="preserve"> </w:t>
      </w:r>
      <w:r w:rsidR="00005058" w:rsidRPr="00374DA7">
        <w:rPr>
          <w:lang w:val="fr-FR"/>
        </w:rPr>
        <w:t xml:space="preserve">et </w:t>
      </w:r>
      <w:r w:rsidR="0080128D" w:rsidRPr="00374DA7">
        <w:rPr>
          <w:lang w:val="fr-FR"/>
        </w:rPr>
        <w:t>qui ont,</w:t>
      </w:r>
      <w:r w:rsidR="00005058" w:rsidRPr="00374DA7">
        <w:rPr>
          <w:lang w:val="fr-FR"/>
        </w:rPr>
        <w:t xml:space="preserve"> sur leur territoire, un « ancien Chef-d’œuvre » intégré dans</w:t>
      </w:r>
      <w:r w:rsidR="0080128D" w:rsidRPr="00374DA7">
        <w:rPr>
          <w:lang w:val="fr-FR"/>
        </w:rPr>
        <w:t xml:space="preserve"> la Liste représentative du patrimoine culturel immatériel de l’humanité (LR)</w:t>
      </w:r>
      <w:r w:rsidR="002752D1" w:rsidRPr="00374DA7">
        <w:rPr>
          <w:lang w:val="fr-FR"/>
        </w:rPr>
        <w:t>,</w:t>
      </w:r>
      <w:r w:rsidR="0080128D" w:rsidRPr="00374DA7">
        <w:rPr>
          <w:lang w:val="fr-FR"/>
        </w:rPr>
        <w:t xml:space="preserve"> ont l’obligation </w:t>
      </w:r>
      <w:r w:rsidR="002752D1" w:rsidRPr="00374DA7">
        <w:rPr>
          <w:lang w:val="fr-FR"/>
        </w:rPr>
        <w:t>d</w:t>
      </w:r>
      <w:r w:rsidR="00005058" w:rsidRPr="00374DA7">
        <w:rPr>
          <w:lang w:val="fr-FR"/>
        </w:rPr>
        <w:t>’en rendre compte dans</w:t>
      </w:r>
      <w:r w:rsidR="002752D1" w:rsidRPr="00374DA7">
        <w:rPr>
          <w:lang w:val="fr-FR"/>
        </w:rPr>
        <w:t xml:space="preserve"> un rapport au Comité (D</w:t>
      </w:r>
      <w:r w:rsidR="00005058" w:rsidRPr="00374DA7">
        <w:rPr>
          <w:lang w:val="fr-FR"/>
        </w:rPr>
        <w:t>O</w:t>
      </w:r>
      <w:r w:rsidR="002752D1" w:rsidRPr="00374DA7">
        <w:rPr>
          <w:lang w:val="fr-FR"/>
        </w:rPr>
        <w:t>, paragraphes 59, 60, 168 et 169).</w:t>
      </w:r>
    </w:p>
    <w:p w:rsidR="002752D1" w:rsidRPr="00374DA7" w:rsidRDefault="002752D1" w:rsidP="00AE6520">
      <w:pPr>
        <w:pStyle w:val="Heading4"/>
        <w:rPr>
          <w:lang w:val="fr-FR"/>
        </w:rPr>
      </w:pPr>
      <w:r w:rsidRPr="00374DA7">
        <w:rPr>
          <w:lang w:val="fr-FR"/>
        </w:rPr>
        <w:t>INSTRUMENTS DE RATIFICATION</w:t>
      </w:r>
    </w:p>
    <w:p w:rsidR="002752D1" w:rsidRPr="00374DA7" w:rsidRDefault="00F44E04" w:rsidP="00AE6520">
      <w:pPr>
        <w:pStyle w:val="Texte1"/>
        <w:rPr>
          <w:lang w:val="fr-FR"/>
        </w:rPr>
      </w:pPr>
      <w:r w:rsidRPr="00374DA7">
        <w:rPr>
          <w:lang w:val="fr-FR"/>
        </w:rPr>
        <w:t>L’a</w:t>
      </w:r>
      <w:r w:rsidR="002752D1" w:rsidRPr="00374DA7">
        <w:rPr>
          <w:lang w:val="fr-FR"/>
        </w:rPr>
        <w:t>rticle 32 stipule que la Convention est soumise à la ratification, l’acceptation ou l’approbation des États memb</w:t>
      </w:r>
      <w:r w:rsidRPr="00374DA7">
        <w:rPr>
          <w:lang w:val="fr-FR"/>
        </w:rPr>
        <w:t>res de l’UNESCO</w:t>
      </w:r>
      <w:r w:rsidR="002752D1" w:rsidRPr="00374DA7">
        <w:rPr>
          <w:lang w:val="fr-FR"/>
        </w:rPr>
        <w:t xml:space="preserve"> conformément à leurs procédures constitutionnelles respectives.</w:t>
      </w:r>
    </w:p>
    <w:p w:rsidR="00EC1BBF" w:rsidRPr="00374DA7" w:rsidRDefault="00F44E04" w:rsidP="00AE6520">
      <w:pPr>
        <w:pStyle w:val="Texte1"/>
        <w:rPr>
          <w:lang w:val="fr-FR"/>
        </w:rPr>
      </w:pPr>
      <w:r w:rsidRPr="00374DA7">
        <w:rPr>
          <w:lang w:val="fr-FR"/>
        </w:rPr>
        <w:t>Afin de devenir</w:t>
      </w:r>
      <w:r w:rsidR="002752D1" w:rsidRPr="00374DA7">
        <w:rPr>
          <w:lang w:val="fr-FR"/>
        </w:rPr>
        <w:t xml:space="preserve"> parties à la Convention, le</w:t>
      </w:r>
      <w:r w:rsidRPr="00374DA7">
        <w:rPr>
          <w:lang w:val="fr-FR"/>
        </w:rPr>
        <w:t>s</w:t>
      </w:r>
      <w:r w:rsidR="002752D1" w:rsidRPr="00374DA7">
        <w:rPr>
          <w:lang w:val="fr-FR"/>
        </w:rPr>
        <w:t xml:space="preserve"> États membres de l’UNESCO doivent déposer auprès d</w:t>
      </w:r>
      <w:r w:rsidRPr="00374DA7">
        <w:rPr>
          <w:lang w:val="fr-FR"/>
        </w:rPr>
        <w:t>u Directeur général de l’UNESCO</w:t>
      </w:r>
      <w:r w:rsidR="002752D1" w:rsidRPr="00374DA7">
        <w:rPr>
          <w:lang w:val="fr-FR"/>
        </w:rPr>
        <w:t xml:space="preserve"> un instrument de ratification (ou d’ac</w:t>
      </w:r>
      <w:r w:rsidRPr="00374DA7">
        <w:rPr>
          <w:lang w:val="fr-FR"/>
        </w:rPr>
        <w:t>ceptation, ou d’approbation) dûment signé par le chef de l’État, le chef du Gouvernement ou le ministre des A</w:t>
      </w:r>
      <w:r w:rsidR="002752D1" w:rsidRPr="00374DA7">
        <w:rPr>
          <w:lang w:val="fr-FR"/>
        </w:rPr>
        <w:t xml:space="preserve">ffaires étrangères. L’instrument doit être rédigé dans l’une des six langues officielles </w:t>
      </w:r>
      <w:r w:rsidRPr="00374DA7">
        <w:rPr>
          <w:lang w:val="fr-FR"/>
        </w:rPr>
        <w:t xml:space="preserve">du système </w:t>
      </w:r>
      <w:r w:rsidR="002752D1" w:rsidRPr="00374DA7">
        <w:rPr>
          <w:lang w:val="fr-FR"/>
        </w:rPr>
        <w:t xml:space="preserve">des Nations Unies ou, s’il est rédigé dans une autre langue, </w:t>
      </w:r>
      <w:r w:rsidR="00B639F4">
        <w:rPr>
          <w:lang w:val="fr-FR"/>
        </w:rPr>
        <w:t xml:space="preserve">être </w:t>
      </w:r>
      <w:r w:rsidR="002752D1" w:rsidRPr="00374DA7">
        <w:rPr>
          <w:lang w:val="fr-FR"/>
        </w:rPr>
        <w:t>accompagné d’un</w:t>
      </w:r>
      <w:r w:rsidRPr="00374DA7">
        <w:rPr>
          <w:lang w:val="fr-FR"/>
        </w:rPr>
        <w:t>e</w:t>
      </w:r>
      <w:r w:rsidR="002752D1" w:rsidRPr="00374DA7">
        <w:rPr>
          <w:lang w:val="fr-FR"/>
        </w:rPr>
        <w:t xml:space="preserve"> traduction officielle</w:t>
      </w:r>
      <w:r w:rsidR="00F40B4D">
        <w:rPr>
          <w:lang w:val="fr-FR"/>
        </w:rPr>
        <w:t xml:space="preserve"> dans l’une de ces six langues.</w:t>
      </w:r>
    </w:p>
    <w:p w:rsidR="002752D1" w:rsidRPr="00374DA7" w:rsidRDefault="00EC1BBF" w:rsidP="00AE6520">
      <w:pPr>
        <w:pStyle w:val="Texte1"/>
        <w:rPr>
          <w:lang w:val="fr-FR"/>
        </w:rPr>
      </w:pPr>
      <w:r w:rsidRPr="00374DA7">
        <w:rPr>
          <w:lang w:val="fr-FR"/>
        </w:rPr>
        <w:t>Un modèle d’instrument est disponible en ligne (voir a</w:t>
      </w:r>
      <w:r w:rsidR="00B639F4">
        <w:rPr>
          <w:lang w:val="fr-FR"/>
        </w:rPr>
        <w:t xml:space="preserve">ussi </w:t>
      </w:r>
      <w:r w:rsidRPr="00374DA7">
        <w:rPr>
          <w:lang w:val="fr-FR"/>
        </w:rPr>
        <w:t>Imprimé 1 de l’Unité 17) :</w:t>
      </w:r>
    </w:p>
    <w:p w:rsidR="00EC1BBF" w:rsidRPr="00374DA7" w:rsidRDefault="00EC1BBF" w:rsidP="00EC1BBF">
      <w:pPr>
        <w:pStyle w:val="Texte1"/>
        <w:rPr>
          <w:lang w:val="fr-FR"/>
        </w:rPr>
      </w:pPr>
      <w:r w:rsidRPr="00374DA7">
        <w:rPr>
          <w:noProof/>
          <w:lang w:val="fr-FR" w:eastAsia="zh-TW"/>
        </w:rPr>
        <w:drawing>
          <wp:anchor distT="0" distB="0" distL="114300" distR="114300" simplePos="0" relativeHeight="251663360" behindDoc="0" locked="1" layoutInCell="1" allowOverlap="0">
            <wp:simplePos x="0" y="0"/>
            <wp:positionH relativeFrom="margin">
              <wp:align>left</wp:align>
            </wp:positionH>
            <wp:positionV relativeFrom="paragraph">
              <wp:posOffset>-175895</wp:posOffset>
            </wp:positionV>
            <wp:extent cx="273685" cy="34671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anchor>
        </w:drawing>
      </w:r>
      <w:hyperlink r:id="rId12" w:history="1">
        <w:r w:rsidRPr="00374DA7">
          <w:rPr>
            <w:lang w:val="fr-FR"/>
          </w:rPr>
          <w:t>http://www.unesco.org/culture/ich/index.php?lg=fr&amp;pg=00023</w:t>
        </w:r>
      </w:hyperlink>
    </w:p>
    <w:p w:rsidR="00CA2BAB" w:rsidRPr="00374DA7" w:rsidRDefault="00CA2BAB" w:rsidP="00AE6520">
      <w:pPr>
        <w:pStyle w:val="Texte1"/>
        <w:rPr>
          <w:lang w:val="fr-FR"/>
        </w:rPr>
      </w:pPr>
      <w:r w:rsidRPr="00374DA7">
        <w:rPr>
          <w:lang w:val="fr-FR"/>
        </w:rPr>
        <w:t xml:space="preserve">Dès réception par le Directeur général de l’UNESCO, l’instrument de ratification est étudié par l’Office des affaires juridiques de l’UNESCO qui évalue sa bonne et due forme. En cas de non conformité, des contacts sont pris avec l’État concerné afin </w:t>
      </w:r>
      <w:r w:rsidR="0070668D" w:rsidRPr="00374DA7">
        <w:rPr>
          <w:lang w:val="fr-FR"/>
        </w:rPr>
        <w:t xml:space="preserve">de régulariser </w:t>
      </w:r>
      <w:r w:rsidRPr="00374DA7">
        <w:rPr>
          <w:lang w:val="fr-FR"/>
        </w:rPr>
        <w:t>la situation. Ce</w:t>
      </w:r>
      <w:r w:rsidR="0070668D" w:rsidRPr="00374DA7">
        <w:rPr>
          <w:lang w:val="fr-FR"/>
        </w:rPr>
        <w:t>la risque</w:t>
      </w:r>
      <w:r w:rsidRPr="00374DA7">
        <w:rPr>
          <w:lang w:val="fr-FR"/>
        </w:rPr>
        <w:t xml:space="preserve"> de retarder considérablement la date à laquelle </w:t>
      </w:r>
      <w:r w:rsidR="005B03AD">
        <w:rPr>
          <w:lang w:val="fr-FR"/>
        </w:rPr>
        <w:t>celui-ci</w:t>
      </w:r>
      <w:r w:rsidR="0018690D" w:rsidRPr="00374DA7">
        <w:rPr>
          <w:lang w:val="fr-FR"/>
        </w:rPr>
        <w:t xml:space="preserve"> deviendra</w:t>
      </w:r>
      <w:r w:rsidRPr="00374DA7">
        <w:rPr>
          <w:lang w:val="fr-FR"/>
        </w:rPr>
        <w:t xml:space="preserve"> État partie.</w:t>
      </w:r>
    </w:p>
    <w:p w:rsidR="00CA2BAB" w:rsidRPr="00374DA7" w:rsidRDefault="00CA2BAB" w:rsidP="00AE6520">
      <w:pPr>
        <w:pStyle w:val="Heading4"/>
        <w:rPr>
          <w:lang w:val="fr-FR"/>
        </w:rPr>
      </w:pPr>
      <w:r w:rsidRPr="00374DA7">
        <w:rPr>
          <w:lang w:val="fr-FR"/>
        </w:rPr>
        <w:t>DÉCLARATIONS LORS DE LA RATIFICATION</w:t>
      </w:r>
    </w:p>
    <w:p w:rsidR="00C801AD" w:rsidRPr="00374DA7" w:rsidRDefault="00CA2BAB" w:rsidP="00AE6520">
      <w:pPr>
        <w:pStyle w:val="Texte1"/>
        <w:rPr>
          <w:lang w:val="fr-FR"/>
        </w:rPr>
      </w:pPr>
      <w:r w:rsidRPr="00374DA7">
        <w:rPr>
          <w:lang w:val="fr-FR"/>
        </w:rPr>
        <w:t>Lorsqu’il dépose son instrument de ratification (</w:t>
      </w:r>
      <w:r w:rsidR="0018690D" w:rsidRPr="00374DA7">
        <w:rPr>
          <w:lang w:val="fr-FR"/>
        </w:rPr>
        <w:t>ou d’acceptation, d’approbation ou</w:t>
      </w:r>
      <w:r w:rsidRPr="00374DA7">
        <w:rPr>
          <w:lang w:val="fr-FR"/>
        </w:rPr>
        <w:t xml:space="preserve"> d’adhésion), un État peut déclarer ne pas être lié par </w:t>
      </w:r>
      <w:r w:rsidR="0018690D" w:rsidRPr="00374DA7">
        <w:rPr>
          <w:lang w:val="fr-FR"/>
        </w:rPr>
        <w:t>les dispositions de l’a</w:t>
      </w:r>
      <w:r w:rsidR="00616F00" w:rsidRPr="00374DA7">
        <w:rPr>
          <w:lang w:val="fr-FR"/>
        </w:rPr>
        <w:t>rticle 26.1 de la Convention (</w:t>
      </w:r>
      <w:r w:rsidR="0018690D" w:rsidRPr="00374DA7">
        <w:rPr>
          <w:lang w:val="fr-FR"/>
        </w:rPr>
        <w:t>voir a</w:t>
      </w:r>
      <w:r w:rsidR="00616F00" w:rsidRPr="00374DA7">
        <w:rPr>
          <w:lang w:val="fr-FR"/>
        </w:rPr>
        <w:t>rticle 26.2). Un État peut également déclarer ne pas être lié par les dispositions d’a</w:t>
      </w:r>
      <w:r w:rsidR="0018690D" w:rsidRPr="00374DA7">
        <w:rPr>
          <w:lang w:val="fr-FR"/>
        </w:rPr>
        <w:t>utres articles de la Convention</w:t>
      </w:r>
      <w:r w:rsidR="005B03AD">
        <w:rPr>
          <w:lang w:val="fr-FR"/>
        </w:rPr>
        <w:t>,</w:t>
      </w:r>
      <w:r w:rsidR="0018690D" w:rsidRPr="00374DA7">
        <w:rPr>
          <w:lang w:val="fr-FR"/>
        </w:rPr>
        <w:t xml:space="preserve"> </w:t>
      </w:r>
      <w:r w:rsidR="00616F00" w:rsidRPr="00374DA7">
        <w:rPr>
          <w:lang w:val="fr-FR"/>
        </w:rPr>
        <w:t>si tant est que ce</w:t>
      </w:r>
      <w:r w:rsidR="0018690D" w:rsidRPr="00374DA7">
        <w:rPr>
          <w:lang w:val="fr-FR"/>
        </w:rPr>
        <w:t>la ne soit pas</w:t>
      </w:r>
      <w:r w:rsidR="00616F00" w:rsidRPr="00374DA7">
        <w:rPr>
          <w:lang w:val="fr-FR"/>
        </w:rPr>
        <w:t xml:space="preserve"> </w:t>
      </w:r>
      <w:r w:rsidR="0018690D" w:rsidRPr="00374DA7">
        <w:rPr>
          <w:lang w:val="fr-FR"/>
        </w:rPr>
        <w:t>incompatible</w:t>
      </w:r>
      <w:r w:rsidR="00616F00" w:rsidRPr="00374DA7">
        <w:rPr>
          <w:lang w:val="fr-FR"/>
        </w:rPr>
        <w:t xml:space="preserve"> avec l’objet et </w:t>
      </w:r>
      <w:r w:rsidR="009D2262" w:rsidRPr="00374DA7">
        <w:rPr>
          <w:lang w:val="fr-FR"/>
        </w:rPr>
        <w:t xml:space="preserve">le but </w:t>
      </w:r>
      <w:r w:rsidR="00616F00" w:rsidRPr="00374DA7">
        <w:rPr>
          <w:lang w:val="fr-FR"/>
        </w:rPr>
        <w:t>de la Convention.</w:t>
      </w:r>
    </w:p>
    <w:p w:rsidR="00C801AD" w:rsidRPr="00374DA7" w:rsidRDefault="00B478D7" w:rsidP="00AE6520">
      <w:pPr>
        <w:pStyle w:val="Texte1"/>
        <w:rPr>
          <w:lang w:val="fr-FR"/>
        </w:rPr>
      </w:pPr>
      <w:r w:rsidRPr="00473E47">
        <w:rPr>
          <w:noProof/>
          <w:lang w:val="fr-FR" w:eastAsia="zh-TW"/>
        </w:rPr>
        <w:drawing>
          <wp:anchor distT="0" distB="0" distL="114300" distR="114300" simplePos="0" relativeHeight="251667456" behindDoc="0" locked="1" layoutInCell="1" allowOverlap="0" wp14:anchorId="5A761D04" wp14:editId="0044018B">
            <wp:simplePos x="0" y="0"/>
            <wp:positionH relativeFrom="margin">
              <wp:align>left</wp:align>
            </wp:positionH>
            <wp:positionV relativeFrom="paragraph">
              <wp:posOffset>-29210</wp:posOffset>
            </wp:positionV>
            <wp:extent cx="273685" cy="3467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C801AD" w:rsidRPr="00374DA7">
        <w:rPr>
          <w:lang w:val="fr-FR"/>
        </w:rPr>
        <w:t xml:space="preserve">Un certain nombre d’États ont fait des déclarations lors de l’envoi de leur instrument de </w:t>
      </w:r>
      <w:r w:rsidR="00C801AD" w:rsidRPr="00B478D7">
        <w:rPr>
          <w:lang w:val="fr-FR"/>
        </w:rPr>
        <w:t>ratification à l’UNESCO </w:t>
      </w:r>
      <w:r w:rsidR="00C801AD" w:rsidRPr="00374DA7">
        <w:rPr>
          <w:lang w:val="fr-FR"/>
        </w:rPr>
        <w:t>:</w:t>
      </w:r>
    </w:p>
    <w:p w:rsidR="00C801AD" w:rsidRPr="00374DA7" w:rsidRDefault="001161B6" w:rsidP="00AE6520">
      <w:pPr>
        <w:pStyle w:val="Texte1"/>
        <w:rPr>
          <w:lang w:val="fr-FR"/>
        </w:rPr>
      </w:pPr>
      <w:hyperlink r:id="rId13" w:history="1">
        <w:r w:rsidR="000003F9" w:rsidRPr="00374DA7">
          <w:rPr>
            <w:lang w:val="fr-FR"/>
          </w:rPr>
          <w:t>http://portal.unesco.org/fr/ev.php-URL_ID=17716&amp;URL_DO=DO_TOPIC&amp;URL_SECTION=201.html</w:t>
        </w:r>
      </w:hyperlink>
      <w:r w:rsidR="0018690D" w:rsidRPr="00374DA7">
        <w:rPr>
          <w:lang w:val="fr-FR"/>
        </w:rPr>
        <w:t>#RESERVES</w:t>
      </w:r>
    </w:p>
    <w:p w:rsidR="000003F9" w:rsidRPr="00374DA7" w:rsidRDefault="000003F9" w:rsidP="0018690D">
      <w:pPr>
        <w:pStyle w:val="Texte1"/>
        <w:rPr>
          <w:lang w:val="fr-FR"/>
        </w:rPr>
      </w:pPr>
      <w:r w:rsidRPr="00374DA7">
        <w:rPr>
          <w:lang w:val="fr-FR"/>
        </w:rPr>
        <w:t xml:space="preserve">À ce jour, plusieurs États ont déclaré ne pas être liés </w:t>
      </w:r>
      <w:r w:rsidR="0018690D" w:rsidRPr="00374DA7">
        <w:rPr>
          <w:lang w:val="fr-FR"/>
        </w:rPr>
        <w:t>aux</w:t>
      </w:r>
      <w:r w:rsidRPr="00374DA7">
        <w:rPr>
          <w:lang w:val="fr-FR"/>
        </w:rPr>
        <w:t xml:space="preserve"> dispositions</w:t>
      </w:r>
      <w:r w:rsidR="0018690D" w:rsidRPr="00374DA7">
        <w:rPr>
          <w:lang w:val="fr-FR"/>
        </w:rPr>
        <w:t xml:space="preserve"> de l’a</w:t>
      </w:r>
      <w:r w:rsidR="009D2262" w:rsidRPr="00374DA7">
        <w:rPr>
          <w:lang w:val="fr-FR"/>
        </w:rPr>
        <w:t>rticle 26.1</w:t>
      </w:r>
      <w:r w:rsidR="0018690D" w:rsidRPr="00374DA7">
        <w:rPr>
          <w:lang w:val="fr-FR"/>
        </w:rPr>
        <w:t> ;</w:t>
      </w:r>
      <w:r w:rsidRPr="00374DA7">
        <w:rPr>
          <w:lang w:val="fr-FR"/>
        </w:rPr>
        <w:t xml:space="preserve"> les autres déclarations concernent principalement l’applicabilité territoriale de la Convention.</w:t>
      </w:r>
    </w:p>
    <w:p w:rsidR="000003F9" w:rsidRPr="00374DA7" w:rsidRDefault="000003F9" w:rsidP="00AE6520">
      <w:pPr>
        <w:pStyle w:val="Heading4"/>
        <w:rPr>
          <w:lang w:val="fr-FR"/>
        </w:rPr>
      </w:pPr>
      <w:r w:rsidRPr="00374DA7">
        <w:rPr>
          <w:lang w:val="fr-FR"/>
        </w:rPr>
        <w:t>ÉTATS QUI NE SONT PAS MEMBRES DE L’UNESCO</w:t>
      </w:r>
    </w:p>
    <w:p w:rsidR="000003F9" w:rsidRPr="00374DA7" w:rsidRDefault="000003F9" w:rsidP="00852485">
      <w:pPr>
        <w:pStyle w:val="Texte1"/>
        <w:rPr>
          <w:lang w:val="fr-FR"/>
        </w:rPr>
      </w:pPr>
      <w:r w:rsidRPr="00374DA7">
        <w:rPr>
          <w:lang w:val="fr-FR"/>
        </w:rPr>
        <w:t xml:space="preserve">Les États qui ne sont pas membres de l’UNESCO peuvent être invités par le Directeur général de l’UNESCO à devenir </w:t>
      </w:r>
      <w:r w:rsidR="00852485" w:rsidRPr="00374DA7">
        <w:rPr>
          <w:lang w:val="fr-FR"/>
        </w:rPr>
        <w:t xml:space="preserve">des </w:t>
      </w:r>
      <w:r w:rsidRPr="00374DA7">
        <w:rPr>
          <w:lang w:val="fr-FR"/>
        </w:rPr>
        <w:t>États parties à la Convention en dépos</w:t>
      </w:r>
      <w:r w:rsidR="00852485" w:rsidRPr="00374DA7">
        <w:rPr>
          <w:lang w:val="fr-FR"/>
        </w:rPr>
        <w:t>ant un instrument d’accession (a</w:t>
      </w:r>
      <w:r w:rsidRPr="00374DA7">
        <w:rPr>
          <w:lang w:val="fr-FR"/>
        </w:rPr>
        <w:t>rticle 33.1). Pour ces États, la Convention entre également en vigueur trois mois après le dépôt (en bonne et due forme) de leur</w:t>
      </w:r>
      <w:r w:rsidR="00852485" w:rsidRPr="00374DA7">
        <w:rPr>
          <w:lang w:val="fr-FR"/>
        </w:rPr>
        <w:t>s</w:t>
      </w:r>
      <w:r w:rsidRPr="00374DA7">
        <w:rPr>
          <w:lang w:val="fr-FR"/>
        </w:rPr>
        <w:t xml:space="preserve"> instrument</w:t>
      </w:r>
      <w:r w:rsidR="00852485" w:rsidRPr="00374DA7">
        <w:rPr>
          <w:lang w:val="fr-FR"/>
        </w:rPr>
        <w:t>s</w:t>
      </w:r>
      <w:r w:rsidR="001C1841">
        <w:rPr>
          <w:lang w:val="fr-FR"/>
        </w:rPr>
        <w:t xml:space="preserve"> d’adhés</w:t>
      </w:r>
      <w:r w:rsidRPr="00374DA7">
        <w:rPr>
          <w:lang w:val="fr-FR"/>
        </w:rPr>
        <w:t>ion</w:t>
      </w:r>
      <w:r w:rsidR="00852485" w:rsidRPr="00374DA7">
        <w:rPr>
          <w:lang w:val="fr-FR"/>
        </w:rPr>
        <w:t xml:space="preserve"> (a</w:t>
      </w:r>
      <w:r w:rsidR="00F40B4D">
        <w:rPr>
          <w:lang w:val="fr-FR"/>
        </w:rPr>
        <w:t>rticle 34).</w:t>
      </w:r>
    </w:p>
    <w:p w:rsidR="000003F9" w:rsidRPr="00374DA7" w:rsidRDefault="000003F9" w:rsidP="00AE6520">
      <w:pPr>
        <w:pStyle w:val="Heading4"/>
        <w:rPr>
          <w:lang w:val="fr-FR"/>
        </w:rPr>
      </w:pPr>
      <w:r w:rsidRPr="00374DA7">
        <w:rPr>
          <w:lang w:val="fr-FR"/>
        </w:rPr>
        <w:t xml:space="preserve">OBLIGATIONS </w:t>
      </w:r>
      <w:r w:rsidR="00D64AFC" w:rsidRPr="00374DA7">
        <w:rPr>
          <w:lang w:val="fr-FR"/>
        </w:rPr>
        <w:t>contenues dans</w:t>
      </w:r>
      <w:r w:rsidR="00F40B4D">
        <w:rPr>
          <w:lang w:val="fr-FR"/>
        </w:rPr>
        <w:t xml:space="preserve"> LA CONVENTION</w:t>
      </w:r>
    </w:p>
    <w:p w:rsidR="000003F9" w:rsidRPr="00374DA7" w:rsidRDefault="000003F9" w:rsidP="00AE6520">
      <w:pPr>
        <w:pStyle w:val="Texte1"/>
        <w:rPr>
          <w:lang w:val="fr-FR"/>
        </w:rPr>
      </w:pPr>
      <w:r w:rsidRPr="00374DA7">
        <w:rPr>
          <w:lang w:val="fr-FR"/>
        </w:rPr>
        <w:t xml:space="preserve">En ratifiant la Convention, les États acceptent diverses obligations et </w:t>
      </w:r>
      <w:r w:rsidR="00D64AFC" w:rsidRPr="00374DA7">
        <w:rPr>
          <w:lang w:val="fr-FR"/>
        </w:rPr>
        <w:t>conviennent d’entreprendre (ou</w:t>
      </w:r>
      <w:r w:rsidRPr="00374DA7">
        <w:rPr>
          <w:lang w:val="fr-FR"/>
        </w:rPr>
        <w:t xml:space="preserve"> </w:t>
      </w:r>
      <w:r w:rsidR="005B03AD">
        <w:rPr>
          <w:lang w:val="fr-FR"/>
        </w:rPr>
        <w:t xml:space="preserve">de </w:t>
      </w:r>
      <w:r w:rsidRPr="00374DA7">
        <w:rPr>
          <w:lang w:val="fr-FR"/>
        </w:rPr>
        <w:t xml:space="preserve">s’efforcer d’entreprendre) différentes tâches </w:t>
      </w:r>
      <w:r w:rsidR="007E1C67" w:rsidRPr="00374DA7">
        <w:rPr>
          <w:lang w:val="fr-FR"/>
        </w:rPr>
        <w:t>à la poursuite d</w:t>
      </w:r>
      <w:r w:rsidR="00603B11" w:rsidRPr="00374DA7">
        <w:rPr>
          <w:lang w:val="fr-FR"/>
        </w:rPr>
        <w:t>es</w:t>
      </w:r>
      <w:r w:rsidR="00F40B4D">
        <w:rPr>
          <w:lang w:val="fr-FR"/>
        </w:rPr>
        <w:t xml:space="preserve"> objectifs de la Convention.</w:t>
      </w:r>
    </w:p>
    <w:p w:rsidR="00603B11" w:rsidRPr="00374DA7" w:rsidRDefault="00603B11" w:rsidP="00AE6520">
      <w:pPr>
        <w:pStyle w:val="Texte1"/>
        <w:rPr>
          <w:lang w:val="fr-FR"/>
        </w:rPr>
      </w:pPr>
      <w:r w:rsidRPr="00374DA7">
        <w:rPr>
          <w:lang w:val="fr-FR"/>
        </w:rPr>
        <w:t xml:space="preserve">La principale obligation des États parties est de prendre des mesures </w:t>
      </w:r>
      <w:r w:rsidR="007E1C67" w:rsidRPr="00374DA7">
        <w:rPr>
          <w:lang w:val="fr-FR"/>
        </w:rPr>
        <w:t>visant à</w:t>
      </w:r>
      <w:r w:rsidRPr="00374DA7">
        <w:rPr>
          <w:lang w:val="fr-FR"/>
        </w:rPr>
        <w:t xml:space="preserve"> sauvegarde</w:t>
      </w:r>
      <w:r w:rsidR="007E1C67" w:rsidRPr="00374DA7">
        <w:rPr>
          <w:lang w:val="fr-FR"/>
        </w:rPr>
        <w:t>r</w:t>
      </w:r>
      <w:r w:rsidRPr="00374DA7">
        <w:rPr>
          <w:lang w:val="fr-FR"/>
        </w:rPr>
        <w:t xml:space="preserve"> </w:t>
      </w:r>
      <w:r w:rsidR="007E1C67" w:rsidRPr="00374DA7">
        <w:rPr>
          <w:lang w:val="fr-FR"/>
        </w:rPr>
        <w:t>l’ensemble du</w:t>
      </w:r>
      <w:r w:rsidRPr="00374DA7">
        <w:rPr>
          <w:lang w:val="fr-FR"/>
        </w:rPr>
        <w:t xml:space="preserve"> patrimoine culturel</w:t>
      </w:r>
      <w:r w:rsidR="007E1C67" w:rsidRPr="00374DA7">
        <w:rPr>
          <w:lang w:val="fr-FR"/>
        </w:rPr>
        <w:t xml:space="preserve"> immatériel présent sur leur territoire</w:t>
      </w:r>
      <w:r w:rsidRPr="00374DA7">
        <w:rPr>
          <w:lang w:val="fr-FR"/>
        </w:rPr>
        <w:t xml:space="preserve"> et de </w:t>
      </w:r>
      <w:r w:rsidR="007E1C67" w:rsidRPr="00374DA7">
        <w:rPr>
          <w:lang w:val="fr-FR"/>
        </w:rPr>
        <w:t>donner la possibilité,</w:t>
      </w:r>
      <w:r w:rsidRPr="00374DA7">
        <w:rPr>
          <w:lang w:val="fr-FR"/>
        </w:rPr>
        <w:t xml:space="preserve"> </w:t>
      </w:r>
      <w:r w:rsidR="007E1C67" w:rsidRPr="00374DA7">
        <w:rPr>
          <w:lang w:val="fr-FR"/>
        </w:rPr>
        <w:t>encourager et aider les communautés à gérer et</w:t>
      </w:r>
      <w:r w:rsidRPr="00374DA7">
        <w:rPr>
          <w:lang w:val="fr-FR"/>
        </w:rPr>
        <w:t xml:space="preserve"> sauvegarder des éléments</w:t>
      </w:r>
      <w:r w:rsidR="007E1C67" w:rsidRPr="00374DA7">
        <w:rPr>
          <w:lang w:val="fr-FR"/>
        </w:rPr>
        <w:t xml:space="preserve"> spécifiques de leur PCI</w:t>
      </w:r>
      <w:r w:rsidRPr="00374DA7">
        <w:rPr>
          <w:lang w:val="fr-FR"/>
        </w:rPr>
        <w:t> :</w:t>
      </w:r>
    </w:p>
    <w:p w:rsidR="00603B11" w:rsidRPr="00374DA7" w:rsidRDefault="007E1C67" w:rsidP="00AE6520">
      <w:pPr>
        <w:pStyle w:val="Texte1"/>
        <w:rPr>
          <w:lang w:val="fr-FR"/>
        </w:rPr>
      </w:pPr>
      <w:r w:rsidRPr="00374DA7">
        <w:rPr>
          <w:b/>
          <w:lang w:val="fr-FR"/>
        </w:rPr>
        <w:t>Article </w:t>
      </w:r>
      <w:r w:rsidR="00603B11" w:rsidRPr="00374DA7">
        <w:rPr>
          <w:b/>
          <w:lang w:val="fr-FR"/>
        </w:rPr>
        <w:t>11(a)</w:t>
      </w:r>
      <w:r w:rsidRPr="00374DA7">
        <w:rPr>
          <w:b/>
          <w:lang w:val="fr-FR"/>
        </w:rPr>
        <w:t xml:space="preserve"> – </w:t>
      </w:r>
      <w:r w:rsidR="00603B11" w:rsidRPr="00374DA7">
        <w:rPr>
          <w:lang w:val="fr-FR"/>
        </w:rPr>
        <w:t>Il appartient à chaque État partie de prendre les mesures nécessaires pour assurer la sauvegarde du patrimoine culturel immatériel présent sur son territoire.</w:t>
      </w:r>
    </w:p>
    <w:p w:rsidR="00603B11" w:rsidRPr="00374DA7" w:rsidRDefault="007E1C67" w:rsidP="00AE6520">
      <w:pPr>
        <w:pStyle w:val="Texte1"/>
        <w:rPr>
          <w:lang w:val="fr-FR"/>
        </w:rPr>
      </w:pPr>
      <w:r w:rsidRPr="00374DA7">
        <w:rPr>
          <w:b/>
          <w:lang w:val="fr-FR"/>
        </w:rPr>
        <w:t xml:space="preserve">Article 15 </w:t>
      </w:r>
      <w:r w:rsidR="00621AD2" w:rsidRPr="00374DA7">
        <w:rPr>
          <w:b/>
          <w:lang w:val="fr-FR"/>
        </w:rPr>
        <w:t xml:space="preserve">– </w:t>
      </w:r>
      <w:r w:rsidR="00603B11" w:rsidRPr="00374DA7">
        <w:rPr>
          <w:lang w:val="fr-FR"/>
        </w:rPr>
        <w:t>Dans le cadre de ses activités de sauvegarde</w:t>
      </w:r>
      <w:r w:rsidR="005838C7" w:rsidRPr="00374DA7">
        <w:rPr>
          <w:lang w:val="fr-FR"/>
        </w:rPr>
        <w:t xml:space="preserve">… </w:t>
      </w:r>
      <w:r w:rsidR="00603B11" w:rsidRPr="00374DA7">
        <w:rPr>
          <w:lang w:val="fr-FR"/>
        </w:rPr>
        <w:t>chaque État partie s’efforce d’assurer la plus large participation possible des communautés, des groupes et, le cas échéant, des ind</w:t>
      </w:r>
      <w:r w:rsidR="00621AD2" w:rsidRPr="00374DA7">
        <w:rPr>
          <w:lang w:val="fr-FR"/>
        </w:rPr>
        <w:t>ividus</w:t>
      </w:r>
      <w:r w:rsidR="005838C7" w:rsidRPr="00374DA7">
        <w:rPr>
          <w:lang w:val="fr-FR"/>
        </w:rPr>
        <w:t xml:space="preserve">… </w:t>
      </w:r>
      <w:r w:rsidR="00603B11" w:rsidRPr="00374DA7">
        <w:rPr>
          <w:lang w:val="fr-FR"/>
        </w:rPr>
        <w:t>et de les impliquer activement dans sa gestion.</w:t>
      </w:r>
    </w:p>
    <w:p w:rsidR="005838C7" w:rsidRPr="00374DA7" w:rsidRDefault="005838C7" w:rsidP="00AE6520">
      <w:pPr>
        <w:pStyle w:val="Texte1"/>
        <w:rPr>
          <w:lang w:val="fr-FR"/>
        </w:rPr>
      </w:pPr>
      <w:r w:rsidRPr="00374DA7">
        <w:rPr>
          <w:lang w:val="fr-FR"/>
        </w:rPr>
        <w:t xml:space="preserve">Les États parties </w:t>
      </w:r>
      <w:r w:rsidR="00621AD2" w:rsidRPr="00374DA7">
        <w:rPr>
          <w:lang w:val="fr-FR"/>
        </w:rPr>
        <w:t xml:space="preserve">sont </w:t>
      </w:r>
      <w:r w:rsidRPr="00374DA7">
        <w:rPr>
          <w:lang w:val="fr-FR"/>
        </w:rPr>
        <w:t>également</w:t>
      </w:r>
      <w:r w:rsidR="009D2262" w:rsidRPr="00374DA7">
        <w:rPr>
          <w:lang w:val="fr-FR"/>
        </w:rPr>
        <w:t xml:space="preserve"> </w:t>
      </w:r>
      <w:r w:rsidR="00621AD2" w:rsidRPr="00374DA7">
        <w:rPr>
          <w:lang w:val="fr-FR"/>
        </w:rPr>
        <w:t>tenus d’</w:t>
      </w:r>
      <w:r w:rsidR="009D2262" w:rsidRPr="00374DA7">
        <w:rPr>
          <w:lang w:val="fr-FR"/>
        </w:rPr>
        <w:t xml:space="preserve">identifier et </w:t>
      </w:r>
      <w:r w:rsidR="00621AD2" w:rsidRPr="00374DA7">
        <w:rPr>
          <w:lang w:val="fr-FR"/>
        </w:rPr>
        <w:t>d’</w:t>
      </w:r>
      <w:r w:rsidR="009D2262" w:rsidRPr="00374DA7">
        <w:rPr>
          <w:lang w:val="fr-FR"/>
        </w:rPr>
        <w:t>inventorier le</w:t>
      </w:r>
      <w:r w:rsidRPr="00374DA7">
        <w:rPr>
          <w:lang w:val="fr-FR"/>
        </w:rPr>
        <w:t xml:space="preserve"> PCI présent sur leur territoire, en faisant pleinement participer les communautés concernées :</w:t>
      </w:r>
    </w:p>
    <w:p w:rsidR="005838C7" w:rsidRPr="00374DA7" w:rsidRDefault="005838C7" w:rsidP="00AE6520">
      <w:pPr>
        <w:pStyle w:val="Texte1"/>
        <w:rPr>
          <w:lang w:val="fr-FR"/>
        </w:rPr>
      </w:pPr>
      <w:r w:rsidRPr="00374DA7">
        <w:rPr>
          <w:b/>
          <w:lang w:val="fr-FR"/>
        </w:rPr>
        <w:t xml:space="preserve">Article </w:t>
      </w:r>
      <w:r w:rsidR="00621AD2" w:rsidRPr="00374DA7">
        <w:rPr>
          <w:b/>
          <w:lang w:val="fr-FR"/>
        </w:rPr>
        <w:t>11(b)</w:t>
      </w:r>
      <w:r w:rsidRPr="00374DA7">
        <w:rPr>
          <w:lang w:val="fr-FR"/>
        </w:rPr>
        <w:t xml:space="preserve"> </w:t>
      </w:r>
      <w:r w:rsidR="00621AD2" w:rsidRPr="00374DA7">
        <w:rPr>
          <w:b/>
          <w:lang w:val="fr-FR"/>
        </w:rPr>
        <w:t xml:space="preserve">– </w:t>
      </w:r>
      <w:r w:rsidRPr="00374DA7">
        <w:rPr>
          <w:lang w:val="fr-FR"/>
        </w:rPr>
        <w:t xml:space="preserve">Il appartient à chaque État partie d’identifier et de définir les différents éléments du </w:t>
      </w:r>
      <w:r w:rsidR="00702DA4" w:rsidRPr="00374DA7">
        <w:rPr>
          <w:lang w:val="fr-FR"/>
        </w:rPr>
        <w:t>PCI</w:t>
      </w:r>
      <w:r w:rsidRPr="00374DA7">
        <w:rPr>
          <w:lang w:val="fr-FR"/>
        </w:rPr>
        <w:t xml:space="preserve"> présents sur son territoire, avec la participation des communautés, des groupes et des </w:t>
      </w:r>
      <w:r w:rsidR="00702DA4" w:rsidRPr="00374DA7">
        <w:rPr>
          <w:lang w:val="fr-FR"/>
        </w:rPr>
        <w:t>ONG</w:t>
      </w:r>
      <w:r w:rsidRPr="00374DA7">
        <w:rPr>
          <w:lang w:val="fr-FR"/>
        </w:rPr>
        <w:t xml:space="preserve"> pertinentes.</w:t>
      </w:r>
    </w:p>
    <w:p w:rsidR="005838C7" w:rsidRPr="00374DA7" w:rsidRDefault="00702DA4" w:rsidP="00AE6520">
      <w:pPr>
        <w:pStyle w:val="Texte1"/>
        <w:rPr>
          <w:lang w:val="fr-FR"/>
        </w:rPr>
      </w:pPr>
      <w:r w:rsidRPr="00374DA7">
        <w:rPr>
          <w:b/>
          <w:lang w:val="fr-FR"/>
        </w:rPr>
        <w:t>Article 12.1</w:t>
      </w:r>
      <w:r w:rsidRPr="00374DA7">
        <w:rPr>
          <w:lang w:val="fr-FR"/>
        </w:rPr>
        <w:t xml:space="preserve"> </w:t>
      </w:r>
      <w:r w:rsidRPr="00374DA7">
        <w:rPr>
          <w:b/>
          <w:lang w:val="fr-FR"/>
        </w:rPr>
        <w:t>–</w:t>
      </w:r>
      <w:r w:rsidR="005838C7" w:rsidRPr="00374DA7">
        <w:rPr>
          <w:lang w:val="fr-FR"/>
        </w:rPr>
        <w:t xml:space="preserve"> Pour assurer l’identification en vue de la sauvegarde, chaque État partie dresse, de façon adaptée à sa situation, un ou plusieurs inventaires du </w:t>
      </w:r>
      <w:r w:rsidRPr="00374DA7">
        <w:rPr>
          <w:lang w:val="fr-FR"/>
        </w:rPr>
        <w:t>PCI</w:t>
      </w:r>
      <w:r w:rsidR="005838C7" w:rsidRPr="00374DA7">
        <w:rPr>
          <w:lang w:val="fr-FR"/>
        </w:rPr>
        <w:t xml:space="preserve"> présent sur son territoire. Ces inventaires font l’objet d’une mise à jour régulière.</w:t>
      </w:r>
    </w:p>
    <w:p w:rsidR="005838C7" w:rsidRPr="00374DA7" w:rsidRDefault="005838C7" w:rsidP="00AE6520">
      <w:pPr>
        <w:pStyle w:val="Texte1"/>
        <w:rPr>
          <w:lang w:val="fr-FR"/>
        </w:rPr>
      </w:pPr>
      <w:r w:rsidRPr="00374DA7">
        <w:rPr>
          <w:lang w:val="fr-FR"/>
        </w:rPr>
        <w:t>Au niveau int</w:t>
      </w:r>
      <w:r w:rsidR="00702DA4" w:rsidRPr="00374DA7">
        <w:rPr>
          <w:lang w:val="fr-FR"/>
        </w:rPr>
        <w:t>ernational, les États parties ont</w:t>
      </w:r>
      <w:r w:rsidRPr="00374DA7">
        <w:rPr>
          <w:lang w:val="fr-FR"/>
        </w:rPr>
        <w:t xml:space="preserve"> </w:t>
      </w:r>
      <w:r w:rsidR="00702DA4" w:rsidRPr="00374DA7">
        <w:rPr>
          <w:lang w:val="fr-FR"/>
        </w:rPr>
        <w:t xml:space="preserve">quelques </w:t>
      </w:r>
      <w:r w:rsidRPr="00374DA7">
        <w:rPr>
          <w:lang w:val="fr-FR"/>
        </w:rPr>
        <w:t>obligations administratives et financières :</w:t>
      </w:r>
    </w:p>
    <w:p w:rsidR="005838C7" w:rsidRPr="00374DA7" w:rsidRDefault="00702DA4" w:rsidP="00AE6520">
      <w:pPr>
        <w:pStyle w:val="Texte1"/>
        <w:rPr>
          <w:lang w:val="fr-FR"/>
        </w:rPr>
      </w:pPr>
      <w:r w:rsidRPr="00374DA7">
        <w:rPr>
          <w:b/>
          <w:lang w:val="fr-FR"/>
        </w:rPr>
        <w:t>Article 26.1</w:t>
      </w:r>
      <w:r w:rsidRPr="00374DA7">
        <w:rPr>
          <w:lang w:val="fr-FR"/>
        </w:rPr>
        <w:t xml:space="preserve"> –</w:t>
      </w:r>
      <w:r w:rsidR="005838C7" w:rsidRPr="00374DA7">
        <w:rPr>
          <w:lang w:val="fr-FR"/>
        </w:rPr>
        <w:t xml:space="preserve"> Les États parties s’engagent à verser une contribution au Fonds pour la sauvegarde du patrimoine culturel immatériel.</w:t>
      </w:r>
    </w:p>
    <w:p w:rsidR="00041ACF" w:rsidRPr="00374DA7" w:rsidRDefault="00F05B35" w:rsidP="00AE6520">
      <w:pPr>
        <w:pStyle w:val="Texte1"/>
        <w:rPr>
          <w:lang w:val="fr-FR"/>
        </w:rPr>
      </w:pPr>
      <w:r w:rsidRPr="00374DA7">
        <w:rPr>
          <w:b/>
          <w:lang w:val="fr-FR"/>
        </w:rPr>
        <w:t>Article 29</w:t>
      </w:r>
      <w:r w:rsidRPr="00374DA7">
        <w:rPr>
          <w:lang w:val="fr-FR"/>
        </w:rPr>
        <w:t xml:space="preserve"> –</w:t>
      </w:r>
      <w:r w:rsidR="00041ACF" w:rsidRPr="00374DA7">
        <w:rPr>
          <w:lang w:val="fr-FR"/>
        </w:rPr>
        <w:t xml:space="preserve"> L</w:t>
      </w:r>
      <w:r w:rsidR="005838C7" w:rsidRPr="00374DA7">
        <w:rPr>
          <w:lang w:val="fr-FR"/>
        </w:rPr>
        <w:t>es Éta</w:t>
      </w:r>
      <w:r w:rsidR="00041ACF" w:rsidRPr="00374DA7">
        <w:rPr>
          <w:lang w:val="fr-FR"/>
        </w:rPr>
        <w:t>ts parties présentent</w:t>
      </w:r>
      <w:r w:rsidR="005838C7" w:rsidRPr="00374DA7">
        <w:rPr>
          <w:lang w:val="fr-FR"/>
        </w:rPr>
        <w:t xml:space="preserve"> des rapports sur la mise en œuvre de la Convention</w:t>
      </w:r>
      <w:r w:rsidR="00041ACF" w:rsidRPr="00374DA7">
        <w:rPr>
          <w:lang w:val="fr-FR"/>
        </w:rPr>
        <w:t xml:space="preserve"> au niveau national</w:t>
      </w:r>
      <w:r w:rsidR="005838C7" w:rsidRPr="00374DA7">
        <w:rPr>
          <w:lang w:val="fr-FR"/>
        </w:rPr>
        <w:t>.</w:t>
      </w:r>
    </w:p>
    <w:p w:rsidR="00041ACF" w:rsidRPr="00374DA7" w:rsidRDefault="00041ACF" w:rsidP="00AE6520">
      <w:pPr>
        <w:pStyle w:val="Texte1"/>
        <w:rPr>
          <w:lang w:val="fr-FR"/>
        </w:rPr>
      </w:pPr>
      <w:r w:rsidRPr="00374DA7">
        <w:rPr>
          <w:lang w:val="fr-FR"/>
        </w:rPr>
        <w:t>Aucun autre article de la Conv</w:t>
      </w:r>
      <w:r w:rsidR="004A5A13" w:rsidRPr="00374DA7">
        <w:rPr>
          <w:lang w:val="fr-FR"/>
        </w:rPr>
        <w:t>ention ne stipule d’obligations ;</w:t>
      </w:r>
      <w:r w:rsidRPr="00374DA7">
        <w:rPr>
          <w:lang w:val="fr-FR"/>
        </w:rPr>
        <w:t xml:space="preserve"> cependant, certains articles prennent la forme de vives recommandations (</w:t>
      </w:r>
      <w:r w:rsidR="00DE3A1A">
        <w:rPr>
          <w:lang w:val="fr-FR"/>
        </w:rPr>
        <w:t>p. ex.</w:t>
      </w:r>
      <w:r w:rsidR="004A5A13" w:rsidRPr="00374DA7">
        <w:rPr>
          <w:lang w:val="fr-FR"/>
        </w:rPr>
        <w:t xml:space="preserve"> a</w:t>
      </w:r>
      <w:r w:rsidRPr="00374DA7">
        <w:rPr>
          <w:lang w:val="fr-FR"/>
        </w:rPr>
        <w:t>rticles 14, 15 et 19.2).</w:t>
      </w:r>
    </w:p>
    <w:p w:rsidR="00041ACF" w:rsidRPr="00374DA7" w:rsidRDefault="00041ACF" w:rsidP="00AE6520">
      <w:pPr>
        <w:pStyle w:val="Heading4"/>
        <w:rPr>
          <w:lang w:val="fr-FR"/>
        </w:rPr>
      </w:pPr>
      <w:r w:rsidRPr="00374DA7">
        <w:rPr>
          <w:lang w:val="fr-FR"/>
        </w:rPr>
        <w:lastRenderedPageBreak/>
        <w:t xml:space="preserve">OBLIGATIONS </w:t>
      </w:r>
      <w:r w:rsidR="004A5A13" w:rsidRPr="00374DA7">
        <w:rPr>
          <w:lang w:val="fr-FR"/>
        </w:rPr>
        <w:t>contenues dans</w:t>
      </w:r>
      <w:r w:rsidRPr="00374DA7">
        <w:rPr>
          <w:lang w:val="fr-FR"/>
        </w:rPr>
        <w:t xml:space="preserve"> LES DIRECTIVES OPÉRATIONNELLES (DO)</w:t>
      </w:r>
    </w:p>
    <w:p w:rsidR="00E37A7E" w:rsidRPr="00374DA7" w:rsidRDefault="00041ACF" w:rsidP="00AE6520">
      <w:pPr>
        <w:pStyle w:val="Texte1"/>
        <w:rPr>
          <w:lang w:val="fr-FR"/>
        </w:rPr>
      </w:pPr>
      <w:r w:rsidRPr="00374DA7">
        <w:rPr>
          <w:lang w:val="fr-FR"/>
        </w:rPr>
        <w:t xml:space="preserve">Dans le texte anglais de </w:t>
      </w:r>
      <w:r w:rsidR="009D2262" w:rsidRPr="00374DA7">
        <w:rPr>
          <w:lang w:val="fr-FR"/>
        </w:rPr>
        <w:t xml:space="preserve">la </w:t>
      </w:r>
      <w:r w:rsidRPr="00374DA7">
        <w:rPr>
          <w:lang w:val="fr-FR"/>
        </w:rPr>
        <w:t>Convention, les obligations des États parties sont en général exprimées par l</w:t>
      </w:r>
      <w:r w:rsidR="004A5A13" w:rsidRPr="00374DA7">
        <w:rPr>
          <w:lang w:val="fr-FR"/>
        </w:rPr>
        <w:t>’</w:t>
      </w:r>
      <w:r w:rsidR="00714D89" w:rsidRPr="00374DA7">
        <w:rPr>
          <w:lang w:val="fr-FR"/>
        </w:rPr>
        <w:t>emploi du mot</w:t>
      </w:r>
      <w:r w:rsidRPr="00374DA7">
        <w:rPr>
          <w:lang w:val="fr-FR"/>
        </w:rPr>
        <w:t xml:space="preserve"> « shall », traduit en français par </w:t>
      </w:r>
      <w:r w:rsidR="004A5A13" w:rsidRPr="00374DA7">
        <w:rPr>
          <w:lang w:val="fr-FR"/>
        </w:rPr>
        <w:t>« i</w:t>
      </w:r>
      <w:r w:rsidR="00E37A7E" w:rsidRPr="00374DA7">
        <w:rPr>
          <w:lang w:val="fr-FR"/>
        </w:rPr>
        <w:t>l appartient à…</w:t>
      </w:r>
      <w:r w:rsidR="00C547F6">
        <w:rPr>
          <w:lang w:val="fr-FR"/>
        </w:rPr>
        <w:t xml:space="preserve"> </w:t>
      </w:r>
      <w:r w:rsidR="00E37A7E" w:rsidRPr="00374DA7">
        <w:rPr>
          <w:lang w:val="fr-FR"/>
        </w:rPr>
        <w:t>de… » ou « …</w:t>
      </w:r>
      <w:r w:rsidRPr="00374DA7">
        <w:rPr>
          <w:lang w:val="fr-FR"/>
        </w:rPr>
        <w:t>s’efforce de… </w:t>
      </w:r>
      <w:r w:rsidR="00E37A7E" w:rsidRPr="00374DA7">
        <w:rPr>
          <w:lang w:val="fr-FR"/>
        </w:rPr>
        <w:t xml:space="preserve">». </w:t>
      </w:r>
      <w:r w:rsidR="00C547F6">
        <w:rPr>
          <w:lang w:val="fr-FR"/>
        </w:rPr>
        <w:t>On constate</w:t>
      </w:r>
      <w:r w:rsidRPr="00374DA7">
        <w:rPr>
          <w:lang w:val="fr-FR"/>
        </w:rPr>
        <w:t xml:space="preserve"> </w:t>
      </w:r>
      <w:r w:rsidR="00E37A7E" w:rsidRPr="00374DA7">
        <w:rPr>
          <w:lang w:val="fr-FR"/>
        </w:rPr>
        <w:t xml:space="preserve">que </w:t>
      </w:r>
      <w:r w:rsidR="00714D89" w:rsidRPr="00374DA7">
        <w:rPr>
          <w:lang w:val="fr-FR"/>
        </w:rPr>
        <w:t>les mêmes termes sont utilisé</w:t>
      </w:r>
      <w:r w:rsidR="00E37A7E" w:rsidRPr="00374DA7">
        <w:rPr>
          <w:lang w:val="fr-FR"/>
        </w:rPr>
        <w:t xml:space="preserve">s dans les DO pour </w:t>
      </w:r>
      <w:r w:rsidR="00714D89" w:rsidRPr="00374DA7">
        <w:rPr>
          <w:lang w:val="fr-FR"/>
        </w:rPr>
        <w:t>souligner</w:t>
      </w:r>
      <w:r w:rsidR="00E37A7E" w:rsidRPr="00374DA7">
        <w:rPr>
          <w:lang w:val="fr-FR"/>
        </w:rPr>
        <w:t xml:space="preserve"> les obligations </w:t>
      </w:r>
      <w:r w:rsidR="00C547F6">
        <w:rPr>
          <w:lang w:val="fr-FR"/>
        </w:rPr>
        <w:t>qu’ont l</w:t>
      </w:r>
      <w:r w:rsidR="00E37A7E" w:rsidRPr="00374DA7">
        <w:rPr>
          <w:lang w:val="fr-FR"/>
        </w:rPr>
        <w:t xml:space="preserve">es États parties </w:t>
      </w:r>
      <w:r w:rsidR="00714D89" w:rsidRPr="00374DA7">
        <w:rPr>
          <w:lang w:val="fr-FR"/>
        </w:rPr>
        <w:t>d’</w:t>
      </w:r>
      <w:r w:rsidR="00E37A7E" w:rsidRPr="00374DA7">
        <w:rPr>
          <w:lang w:val="fr-FR"/>
        </w:rPr>
        <w:t>impli</w:t>
      </w:r>
      <w:r w:rsidR="00714D89" w:rsidRPr="00374DA7">
        <w:rPr>
          <w:lang w:val="fr-FR"/>
        </w:rPr>
        <w:t>quer</w:t>
      </w:r>
      <w:r w:rsidR="00E37A7E" w:rsidRPr="00374DA7">
        <w:rPr>
          <w:lang w:val="fr-FR"/>
        </w:rPr>
        <w:t xml:space="preserve">, </w:t>
      </w:r>
      <w:r w:rsidR="00C547F6">
        <w:rPr>
          <w:lang w:val="fr-FR"/>
        </w:rPr>
        <w:t xml:space="preserve">de </w:t>
      </w:r>
      <w:r w:rsidR="00E37A7E" w:rsidRPr="00374DA7">
        <w:rPr>
          <w:lang w:val="fr-FR"/>
        </w:rPr>
        <w:t>sensibilis</w:t>
      </w:r>
      <w:r w:rsidR="00714D89" w:rsidRPr="00374DA7">
        <w:rPr>
          <w:lang w:val="fr-FR"/>
        </w:rPr>
        <w:t>er</w:t>
      </w:r>
      <w:r w:rsidR="00E37A7E" w:rsidRPr="00374DA7">
        <w:rPr>
          <w:lang w:val="fr-FR"/>
        </w:rPr>
        <w:t xml:space="preserve"> </w:t>
      </w:r>
      <w:r w:rsidR="00714D89" w:rsidRPr="00374DA7">
        <w:rPr>
          <w:lang w:val="fr-FR"/>
        </w:rPr>
        <w:t xml:space="preserve">(faire prendre conscience) </w:t>
      </w:r>
      <w:r w:rsidR="00E37A7E" w:rsidRPr="00374DA7">
        <w:rPr>
          <w:lang w:val="fr-FR"/>
        </w:rPr>
        <w:t xml:space="preserve">et </w:t>
      </w:r>
      <w:r w:rsidR="00C547F6">
        <w:rPr>
          <w:lang w:val="fr-FR"/>
        </w:rPr>
        <w:t xml:space="preserve">de </w:t>
      </w:r>
      <w:r w:rsidR="00E37A7E" w:rsidRPr="00374DA7">
        <w:rPr>
          <w:lang w:val="fr-FR"/>
        </w:rPr>
        <w:t>renforce</w:t>
      </w:r>
      <w:r w:rsidR="00714D89" w:rsidRPr="00374DA7">
        <w:rPr>
          <w:lang w:val="fr-FR"/>
        </w:rPr>
        <w:t>r l</w:t>
      </w:r>
      <w:r w:rsidR="00E37A7E" w:rsidRPr="00374DA7">
        <w:rPr>
          <w:lang w:val="fr-FR"/>
        </w:rPr>
        <w:t xml:space="preserve">es capacités des communautés concernées dans le cadre de la mise en œuvre de la Convention. Les indications des DO </w:t>
      </w:r>
      <w:r w:rsidR="00C547F6">
        <w:rPr>
          <w:lang w:val="fr-FR"/>
        </w:rPr>
        <w:t>en termes de</w:t>
      </w:r>
      <w:r w:rsidR="00E37A7E" w:rsidRPr="00374DA7">
        <w:rPr>
          <w:lang w:val="fr-FR"/>
        </w:rPr>
        <w:t xml:space="preserve"> procédures, d</w:t>
      </w:r>
      <w:r w:rsidR="00C547F6">
        <w:rPr>
          <w:lang w:val="fr-FR"/>
        </w:rPr>
        <w:t>’échéances et de</w:t>
      </w:r>
      <w:r w:rsidR="00E37A7E" w:rsidRPr="00374DA7">
        <w:rPr>
          <w:lang w:val="fr-FR"/>
        </w:rPr>
        <w:t xml:space="preserve"> formulaires doivent être strictement observées par toutes les parties concernées.</w:t>
      </w:r>
    </w:p>
    <w:p w:rsidR="00E37A7E" w:rsidRPr="00374DA7" w:rsidRDefault="00D829F1" w:rsidP="00AE6520">
      <w:pPr>
        <w:pStyle w:val="Texte1"/>
        <w:rPr>
          <w:lang w:val="fr-FR"/>
        </w:rPr>
      </w:pPr>
      <w:r w:rsidRPr="00374DA7">
        <w:rPr>
          <w:lang w:val="fr-FR"/>
        </w:rPr>
        <w:t>Voici quelques</w:t>
      </w:r>
      <w:r w:rsidR="00E37A7E" w:rsidRPr="00374DA7">
        <w:rPr>
          <w:lang w:val="fr-FR"/>
        </w:rPr>
        <w:t xml:space="preserve"> obligations </w:t>
      </w:r>
      <w:r w:rsidRPr="00374DA7">
        <w:rPr>
          <w:lang w:val="fr-FR"/>
        </w:rPr>
        <w:t>parmi celles qu</w:t>
      </w:r>
      <w:r w:rsidR="00BE3240">
        <w:rPr>
          <w:lang w:val="fr-FR"/>
        </w:rPr>
        <w:t>e</w:t>
      </w:r>
      <w:r w:rsidRPr="00374DA7">
        <w:rPr>
          <w:lang w:val="fr-FR"/>
        </w:rPr>
        <w:t xml:space="preserve"> </w:t>
      </w:r>
      <w:r w:rsidR="00BE3240">
        <w:rPr>
          <w:lang w:val="fr-FR"/>
        </w:rPr>
        <w:t>formulent</w:t>
      </w:r>
      <w:r w:rsidRPr="00374DA7">
        <w:rPr>
          <w:lang w:val="fr-FR"/>
        </w:rPr>
        <w:t xml:space="preserve"> les DO</w:t>
      </w:r>
      <w:r w:rsidR="00E37A7E" w:rsidRPr="00374DA7">
        <w:rPr>
          <w:lang w:val="fr-FR"/>
        </w:rPr>
        <w:t> :</w:t>
      </w:r>
    </w:p>
    <w:p w:rsidR="00D829F1" w:rsidRPr="00374DA7" w:rsidRDefault="00D829F1" w:rsidP="00B478D7">
      <w:pPr>
        <w:pStyle w:val="Texte1"/>
        <w:spacing w:before="120" w:after="0"/>
        <w:ind w:left="1985" w:hanging="1134"/>
        <w:rPr>
          <w:lang w:val="fr-FR"/>
        </w:rPr>
      </w:pPr>
      <w:r w:rsidRPr="00374DA7">
        <w:rPr>
          <w:lang w:val="fr-FR"/>
        </w:rPr>
        <w:t>DO 24</w:t>
      </w:r>
      <w:r w:rsidRPr="00374DA7">
        <w:rPr>
          <w:lang w:val="fr-FR"/>
        </w:rPr>
        <w:tab/>
        <w:t>Les États parties soumissionnaires doivent impliquer les communautés, les groupes et, le cas échéant, les individus concernés dans la préparation de leurs dossiers [de candidature].</w:t>
      </w:r>
    </w:p>
    <w:p w:rsidR="008F3E73" w:rsidRPr="00374DA7" w:rsidRDefault="00D829F1" w:rsidP="00B478D7">
      <w:pPr>
        <w:pStyle w:val="Texte1"/>
        <w:spacing w:before="120" w:after="0"/>
        <w:ind w:left="1985" w:hanging="1134"/>
        <w:rPr>
          <w:lang w:val="fr-FR"/>
        </w:rPr>
      </w:pPr>
      <w:r w:rsidRPr="00374DA7">
        <w:rPr>
          <w:lang w:val="fr-FR"/>
        </w:rPr>
        <w:t>DO 81</w:t>
      </w:r>
      <w:r w:rsidRPr="00374DA7">
        <w:rPr>
          <w:lang w:val="fr-FR"/>
        </w:rPr>
        <w:tab/>
      </w:r>
      <w:r w:rsidR="008F3E73" w:rsidRPr="00374DA7">
        <w:rPr>
          <w:lang w:val="fr-FR"/>
        </w:rPr>
        <w:t>Les États parties prennent les mesures nécessaires pour sensibiliser les communautés, les groupes et, le cas échéant, les individus à l’importance et à la valeur de leur patrimoine culturel immatériel, ainsi qu’à celles de la Convention afin que les détenteurs de ce patrimoine puissent pleinement bénéficier de cet instrument normatif.</w:t>
      </w:r>
    </w:p>
    <w:p w:rsidR="008F3E73" w:rsidRPr="00374DA7" w:rsidRDefault="00D829F1" w:rsidP="00B478D7">
      <w:pPr>
        <w:pStyle w:val="Texte1"/>
        <w:spacing w:before="120" w:after="0"/>
        <w:ind w:left="1985" w:hanging="1134"/>
        <w:rPr>
          <w:lang w:val="fr-FR"/>
        </w:rPr>
      </w:pPr>
      <w:r w:rsidRPr="00374DA7">
        <w:rPr>
          <w:lang w:val="fr-FR"/>
        </w:rPr>
        <w:t>DO 82</w:t>
      </w:r>
      <w:r w:rsidRPr="00374DA7">
        <w:rPr>
          <w:lang w:val="fr-FR"/>
        </w:rPr>
        <w:tab/>
      </w:r>
      <w:r w:rsidR="008F3E73" w:rsidRPr="00374DA7">
        <w:rPr>
          <w:lang w:val="fr-FR"/>
        </w:rPr>
        <w:t>Les États parties prennent, conformément aux dispositions des articles 11 à 15 de la Convention, les mesures appropriées en vue du renforcement des capacités des communautés, des groupes et, le cas échéant, des individus.</w:t>
      </w:r>
    </w:p>
    <w:p w:rsidR="008F3E73" w:rsidRPr="00374DA7" w:rsidRDefault="00DA32A0" w:rsidP="00AE6520">
      <w:pPr>
        <w:pStyle w:val="Texte1"/>
        <w:rPr>
          <w:lang w:val="fr-FR"/>
        </w:rPr>
      </w:pPr>
      <w:r w:rsidRPr="00374DA7">
        <w:rPr>
          <w:lang w:val="fr-FR"/>
        </w:rPr>
        <w:t>Beaucoup de</w:t>
      </w:r>
      <w:r w:rsidR="00733869" w:rsidRPr="00374DA7">
        <w:rPr>
          <w:lang w:val="fr-FR"/>
        </w:rPr>
        <w:t xml:space="preserve"> DO </w:t>
      </w:r>
      <w:r w:rsidRPr="00374DA7">
        <w:rPr>
          <w:lang w:val="fr-FR"/>
        </w:rPr>
        <w:t xml:space="preserve">contiennent </w:t>
      </w:r>
      <w:r w:rsidR="00733869" w:rsidRPr="00374DA7">
        <w:rPr>
          <w:lang w:val="fr-FR"/>
        </w:rPr>
        <w:t xml:space="preserve">de </w:t>
      </w:r>
      <w:r w:rsidRPr="00374DA7">
        <w:rPr>
          <w:lang w:val="fr-FR"/>
        </w:rPr>
        <w:t>vives</w:t>
      </w:r>
      <w:r w:rsidR="00733869" w:rsidRPr="00374DA7">
        <w:rPr>
          <w:lang w:val="fr-FR"/>
        </w:rPr>
        <w:t xml:space="preserve"> recommandations</w:t>
      </w:r>
      <w:r w:rsidR="008F3E73" w:rsidRPr="00374DA7">
        <w:rPr>
          <w:lang w:val="fr-FR"/>
        </w:rPr>
        <w:t>, par exemple, sur la façon d’impliquer les divers</w:t>
      </w:r>
      <w:r w:rsidRPr="00374DA7">
        <w:rPr>
          <w:lang w:val="fr-FR"/>
        </w:rPr>
        <w:t xml:space="preserve"> acteurs</w:t>
      </w:r>
      <w:r w:rsidR="008F3E73" w:rsidRPr="00374DA7">
        <w:rPr>
          <w:lang w:val="fr-FR"/>
        </w:rPr>
        <w:t xml:space="preserve"> dans la sauvegarde et l’inventaire du PCI, ou d</w:t>
      </w:r>
      <w:r w:rsidRPr="00374DA7">
        <w:rPr>
          <w:lang w:val="fr-FR"/>
        </w:rPr>
        <w:t>e les sensibiliser à ce patrimoine</w:t>
      </w:r>
      <w:r w:rsidR="00F40B4D">
        <w:rPr>
          <w:lang w:val="fr-FR"/>
        </w:rPr>
        <w:t>.</w:t>
      </w:r>
    </w:p>
    <w:p w:rsidR="00733869" w:rsidRPr="00374DA7" w:rsidRDefault="00733869" w:rsidP="00AE6520">
      <w:pPr>
        <w:pStyle w:val="Heading4"/>
        <w:rPr>
          <w:lang w:val="fr-FR"/>
        </w:rPr>
      </w:pPr>
      <w:r w:rsidRPr="00374DA7">
        <w:rPr>
          <w:lang w:val="fr-FR"/>
        </w:rPr>
        <w:t>OBLIGATIONS/POSSIBILITÉS FINANCIÈRES</w:t>
      </w:r>
    </w:p>
    <w:p w:rsidR="006735B9" w:rsidRPr="00374DA7" w:rsidRDefault="007F7AC6" w:rsidP="00AE6520">
      <w:pPr>
        <w:pStyle w:val="Texte1"/>
        <w:rPr>
          <w:lang w:val="fr-FR"/>
        </w:rPr>
      </w:pPr>
      <w:r w:rsidRPr="00374DA7">
        <w:rPr>
          <w:lang w:val="fr-FR"/>
        </w:rPr>
        <w:t xml:space="preserve">Comme une grande marge de manœuvre est laissée aux États parties </w:t>
      </w:r>
      <w:r w:rsidR="00733869" w:rsidRPr="00374DA7">
        <w:rPr>
          <w:lang w:val="fr-FR"/>
        </w:rPr>
        <w:t>dans l</w:t>
      </w:r>
      <w:r w:rsidRPr="00374DA7">
        <w:rPr>
          <w:lang w:val="fr-FR"/>
        </w:rPr>
        <w:t>’élaboration des moyens dont ils disposent pour remplir</w:t>
      </w:r>
      <w:r w:rsidR="00F944A1" w:rsidRPr="00374DA7">
        <w:rPr>
          <w:lang w:val="fr-FR"/>
        </w:rPr>
        <w:t xml:space="preserve"> </w:t>
      </w:r>
      <w:r w:rsidR="007C550C" w:rsidRPr="00374DA7">
        <w:rPr>
          <w:lang w:val="fr-FR"/>
        </w:rPr>
        <w:t xml:space="preserve">leurs obligations, la Convention </w:t>
      </w:r>
      <w:r w:rsidR="006735B9" w:rsidRPr="00374DA7">
        <w:rPr>
          <w:lang w:val="fr-FR"/>
        </w:rPr>
        <w:t>ne leur impose pas d</w:t>
      </w:r>
      <w:r w:rsidRPr="00374DA7">
        <w:rPr>
          <w:lang w:val="fr-FR"/>
        </w:rPr>
        <w:t>’entreprendre</w:t>
      </w:r>
      <w:r w:rsidR="000F1539">
        <w:rPr>
          <w:lang w:val="fr-FR"/>
        </w:rPr>
        <w:t xml:space="preserve"> d’</w:t>
      </w:r>
      <w:r w:rsidR="00733869" w:rsidRPr="00374DA7">
        <w:rPr>
          <w:lang w:val="fr-FR"/>
        </w:rPr>
        <w:t>activités</w:t>
      </w:r>
      <w:r w:rsidR="006735B9" w:rsidRPr="00374DA7">
        <w:rPr>
          <w:lang w:val="fr-FR"/>
        </w:rPr>
        <w:t xml:space="preserve"> spécifiques</w:t>
      </w:r>
      <w:r w:rsidR="00733869" w:rsidRPr="00374DA7">
        <w:rPr>
          <w:lang w:val="fr-FR"/>
        </w:rPr>
        <w:t xml:space="preserve">. </w:t>
      </w:r>
      <w:r w:rsidR="006735B9" w:rsidRPr="00374DA7">
        <w:rPr>
          <w:lang w:val="fr-FR"/>
        </w:rPr>
        <w:t>Les approche</w:t>
      </w:r>
      <w:r w:rsidRPr="00374DA7">
        <w:rPr>
          <w:lang w:val="fr-FR"/>
        </w:rPr>
        <w:t xml:space="preserve">s </w:t>
      </w:r>
      <w:r w:rsidR="00D10F59" w:rsidRPr="00374DA7">
        <w:rPr>
          <w:lang w:val="fr-FR"/>
        </w:rPr>
        <w:t xml:space="preserve">sont </w:t>
      </w:r>
      <w:r w:rsidRPr="00374DA7">
        <w:rPr>
          <w:lang w:val="fr-FR"/>
        </w:rPr>
        <w:t xml:space="preserve">très </w:t>
      </w:r>
      <w:r w:rsidR="00D10F59" w:rsidRPr="00374DA7">
        <w:rPr>
          <w:lang w:val="fr-FR"/>
        </w:rPr>
        <w:t>variables :</w:t>
      </w:r>
      <w:r w:rsidR="006735B9" w:rsidRPr="00374DA7">
        <w:rPr>
          <w:lang w:val="fr-FR"/>
        </w:rPr>
        <w:t xml:space="preserve"> certains États</w:t>
      </w:r>
      <w:r w:rsidR="00D10F59" w:rsidRPr="00374DA7">
        <w:rPr>
          <w:lang w:val="fr-FR"/>
        </w:rPr>
        <w:t xml:space="preserve"> vont réserver</w:t>
      </w:r>
      <w:r w:rsidR="006735B9" w:rsidRPr="00374DA7">
        <w:rPr>
          <w:lang w:val="fr-FR"/>
        </w:rPr>
        <w:t xml:space="preserve"> des budgets</w:t>
      </w:r>
      <w:r w:rsidR="00D10F59" w:rsidRPr="00374DA7">
        <w:rPr>
          <w:lang w:val="fr-FR"/>
        </w:rPr>
        <w:t xml:space="preserve"> séparés</w:t>
      </w:r>
      <w:r w:rsidR="006735B9" w:rsidRPr="00374DA7">
        <w:rPr>
          <w:lang w:val="fr-FR"/>
        </w:rPr>
        <w:t xml:space="preserve"> à la création de nouvelles infrastructures charg</w:t>
      </w:r>
      <w:r w:rsidR="00D10F59" w:rsidRPr="00374DA7">
        <w:rPr>
          <w:lang w:val="fr-FR"/>
        </w:rPr>
        <w:t>é</w:t>
      </w:r>
      <w:r w:rsidR="006735B9" w:rsidRPr="00374DA7">
        <w:rPr>
          <w:lang w:val="fr-FR"/>
        </w:rPr>
        <w:t>e</w:t>
      </w:r>
      <w:r w:rsidR="00D10F59" w:rsidRPr="00374DA7">
        <w:rPr>
          <w:lang w:val="fr-FR"/>
        </w:rPr>
        <w:t>s</w:t>
      </w:r>
      <w:r w:rsidR="006735B9" w:rsidRPr="00374DA7">
        <w:rPr>
          <w:lang w:val="fr-FR"/>
        </w:rPr>
        <w:t xml:space="preserve"> de </w:t>
      </w:r>
      <w:r w:rsidR="00D10F59" w:rsidRPr="00374DA7">
        <w:rPr>
          <w:lang w:val="fr-FR"/>
        </w:rPr>
        <w:t xml:space="preserve">mettre en œuvre </w:t>
      </w:r>
      <w:r w:rsidR="006735B9" w:rsidRPr="00374DA7">
        <w:rPr>
          <w:lang w:val="fr-FR"/>
        </w:rPr>
        <w:t xml:space="preserve">la Convention, </w:t>
      </w:r>
      <w:r w:rsidR="00D10F59" w:rsidRPr="00374DA7">
        <w:rPr>
          <w:lang w:val="fr-FR"/>
        </w:rPr>
        <w:t>tandis</w:t>
      </w:r>
      <w:r w:rsidR="000F1539">
        <w:rPr>
          <w:lang w:val="fr-FR"/>
        </w:rPr>
        <w:t xml:space="preserve"> que d’autres</w:t>
      </w:r>
      <w:r w:rsidR="00D10F59" w:rsidRPr="00374DA7">
        <w:rPr>
          <w:lang w:val="fr-FR"/>
        </w:rPr>
        <w:t xml:space="preserve"> vont</w:t>
      </w:r>
      <w:r w:rsidR="006735B9" w:rsidRPr="00374DA7">
        <w:rPr>
          <w:lang w:val="fr-FR"/>
        </w:rPr>
        <w:t xml:space="preserve"> </w:t>
      </w:r>
      <w:r w:rsidR="00D10F59" w:rsidRPr="00374DA7">
        <w:rPr>
          <w:lang w:val="fr-FR"/>
        </w:rPr>
        <w:t>confier des tâches supplémentaires aux</w:t>
      </w:r>
      <w:r w:rsidR="006735B9" w:rsidRPr="00374DA7">
        <w:rPr>
          <w:lang w:val="fr-FR"/>
        </w:rPr>
        <w:t xml:space="preserve"> institutions </w:t>
      </w:r>
      <w:r w:rsidR="00D10F59" w:rsidRPr="00374DA7">
        <w:rPr>
          <w:lang w:val="fr-FR"/>
        </w:rPr>
        <w:t>du patrimoine existantes</w:t>
      </w:r>
      <w:r w:rsidR="00B8201E" w:rsidRPr="00374DA7">
        <w:rPr>
          <w:lang w:val="fr-FR"/>
        </w:rPr>
        <w:t>. Il</w:t>
      </w:r>
      <w:r w:rsidR="006735B9" w:rsidRPr="00374DA7">
        <w:rPr>
          <w:lang w:val="fr-FR"/>
        </w:rPr>
        <w:t xml:space="preserve"> est possible que les institutions déjà en place </w:t>
      </w:r>
      <w:r w:rsidR="005465BE" w:rsidRPr="00374DA7">
        <w:rPr>
          <w:lang w:val="fr-FR"/>
        </w:rPr>
        <w:t xml:space="preserve">soient bien </w:t>
      </w:r>
      <w:r w:rsidR="00EA14AD" w:rsidRPr="00374DA7">
        <w:rPr>
          <w:lang w:val="fr-FR"/>
        </w:rPr>
        <w:t>équip</w:t>
      </w:r>
      <w:r w:rsidR="005465BE" w:rsidRPr="00374DA7">
        <w:rPr>
          <w:lang w:val="fr-FR"/>
        </w:rPr>
        <w:t>é</w:t>
      </w:r>
      <w:r w:rsidR="00EA14AD" w:rsidRPr="00374DA7">
        <w:rPr>
          <w:lang w:val="fr-FR"/>
        </w:rPr>
        <w:t>e</w:t>
      </w:r>
      <w:r w:rsidR="005465BE" w:rsidRPr="00374DA7">
        <w:rPr>
          <w:lang w:val="fr-FR"/>
        </w:rPr>
        <w:t>s</w:t>
      </w:r>
      <w:r w:rsidR="00EA14AD" w:rsidRPr="00374DA7">
        <w:rPr>
          <w:lang w:val="fr-FR"/>
        </w:rPr>
        <w:t xml:space="preserve"> et </w:t>
      </w:r>
      <w:r w:rsidR="006735B9" w:rsidRPr="00374DA7">
        <w:rPr>
          <w:lang w:val="fr-FR"/>
        </w:rPr>
        <w:t>motiv</w:t>
      </w:r>
      <w:r w:rsidR="005465BE" w:rsidRPr="00374DA7">
        <w:rPr>
          <w:lang w:val="fr-FR"/>
        </w:rPr>
        <w:t>ées</w:t>
      </w:r>
      <w:r w:rsidR="00EA14AD" w:rsidRPr="00374DA7">
        <w:rPr>
          <w:lang w:val="fr-FR"/>
        </w:rPr>
        <w:t xml:space="preserve"> </w:t>
      </w:r>
      <w:r w:rsidR="006735B9" w:rsidRPr="00374DA7">
        <w:rPr>
          <w:lang w:val="fr-FR"/>
        </w:rPr>
        <w:t xml:space="preserve">pour </w:t>
      </w:r>
      <w:r w:rsidR="005465BE" w:rsidRPr="00374DA7">
        <w:rPr>
          <w:lang w:val="fr-FR"/>
        </w:rPr>
        <w:t>apporter leur soutien dans</w:t>
      </w:r>
      <w:r w:rsidR="00EA14AD" w:rsidRPr="00374DA7">
        <w:rPr>
          <w:lang w:val="fr-FR"/>
        </w:rPr>
        <w:t xml:space="preserve"> la mise en œuvre de la Convention à l’échelle nationale, par exemple, </w:t>
      </w:r>
      <w:r w:rsidR="005465BE" w:rsidRPr="00374DA7">
        <w:rPr>
          <w:lang w:val="fr-FR"/>
        </w:rPr>
        <w:t>lorsqu’il s’agit d’</w:t>
      </w:r>
      <w:r w:rsidR="00EA14AD" w:rsidRPr="00374DA7">
        <w:rPr>
          <w:lang w:val="fr-FR"/>
        </w:rPr>
        <w:t xml:space="preserve">entreprendre ou </w:t>
      </w:r>
      <w:r w:rsidR="005465BE" w:rsidRPr="00374DA7">
        <w:rPr>
          <w:lang w:val="fr-FR"/>
        </w:rPr>
        <w:t>d’</w:t>
      </w:r>
      <w:r w:rsidR="00EA14AD" w:rsidRPr="00374DA7">
        <w:rPr>
          <w:lang w:val="fr-FR"/>
        </w:rPr>
        <w:t>aider à réaliser des travaux d’inventaire</w:t>
      </w:r>
      <w:r w:rsidR="00B8201E" w:rsidRPr="00374DA7">
        <w:rPr>
          <w:lang w:val="fr-FR"/>
        </w:rPr>
        <w:t xml:space="preserve"> avec</w:t>
      </w:r>
      <w:r w:rsidR="005465BE" w:rsidRPr="00374DA7">
        <w:rPr>
          <w:lang w:val="fr-FR"/>
        </w:rPr>
        <w:t xml:space="preserve"> des</w:t>
      </w:r>
      <w:r w:rsidR="00B8201E" w:rsidRPr="00374DA7">
        <w:rPr>
          <w:lang w:val="fr-FR"/>
        </w:rPr>
        <w:t xml:space="preserve"> </w:t>
      </w:r>
      <w:r w:rsidR="005465BE" w:rsidRPr="00374DA7">
        <w:rPr>
          <w:lang w:val="fr-FR"/>
        </w:rPr>
        <w:t>moyen</w:t>
      </w:r>
      <w:r w:rsidR="00B8201E" w:rsidRPr="00374DA7">
        <w:rPr>
          <w:lang w:val="fr-FR"/>
        </w:rPr>
        <w:t>s supplémentaires</w:t>
      </w:r>
      <w:r w:rsidR="005465BE" w:rsidRPr="00374DA7">
        <w:rPr>
          <w:lang w:val="fr-FR"/>
        </w:rPr>
        <w:t>, si cela se révèle nécessaire</w:t>
      </w:r>
      <w:r w:rsidR="00B8201E" w:rsidRPr="00374DA7">
        <w:rPr>
          <w:lang w:val="fr-FR"/>
        </w:rPr>
        <w:t>.</w:t>
      </w:r>
    </w:p>
    <w:p w:rsidR="00B8201E" w:rsidRPr="00374DA7" w:rsidRDefault="00B8201E" w:rsidP="00AE6520">
      <w:pPr>
        <w:pStyle w:val="Texte1"/>
        <w:rPr>
          <w:lang w:val="fr-FR"/>
        </w:rPr>
      </w:pPr>
      <w:r w:rsidRPr="00374DA7">
        <w:rPr>
          <w:lang w:val="fr-FR"/>
        </w:rPr>
        <w:t>La mis</w:t>
      </w:r>
      <w:r w:rsidR="00FF60B2" w:rsidRPr="00374DA7">
        <w:rPr>
          <w:lang w:val="fr-FR"/>
        </w:rPr>
        <w:t>e</w:t>
      </w:r>
      <w:r w:rsidRPr="00374DA7">
        <w:rPr>
          <w:lang w:val="fr-FR"/>
        </w:rPr>
        <w:t xml:space="preserve"> en œuvre de la C</w:t>
      </w:r>
      <w:r w:rsidR="00AC2D00" w:rsidRPr="00374DA7">
        <w:rPr>
          <w:lang w:val="fr-FR"/>
        </w:rPr>
        <w:t xml:space="preserve">onvention </w:t>
      </w:r>
      <w:r w:rsidR="00FF60B2" w:rsidRPr="00374DA7">
        <w:rPr>
          <w:lang w:val="fr-FR"/>
        </w:rPr>
        <w:t xml:space="preserve">n’est pas </w:t>
      </w:r>
      <w:r w:rsidR="009B2923" w:rsidRPr="00374DA7">
        <w:rPr>
          <w:lang w:val="fr-FR"/>
        </w:rPr>
        <w:t xml:space="preserve">forcément une opération </w:t>
      </w:r>
      <w:r w:rsidR="00FF60B2" w:rsidRPr="00374DA7">
        <w:rPr>
          <w:lang w:val="fr-FR"/>
        </w:rPr>
        <w:t xml:space="preserve">coûteuse, </w:t>
      </w:r>
      <w:r w:rsidR="00AC2D00" w:rsidRPr="00374DA7">
        <w:rPr>
          <w:lang w:val="fr-FR"/>
        </w:rPr>
        <w:t>toutefois</w:t>
      </w:r>
      <w:r w:rsidR="00FF60B2" w:rsidRPr="00374DA7">
        <w:rPr>
          <w:lang w:val="fr-FR"/>
        </w:rPr>
        <w:t xml:space="preserve">, </w:t>
      </w:r>
      <w:r w:rsidR="009B2923" w:rsidRPr="00374DA7">
        <w:rPr>
          <w:lang w:val="fr-FR"/>
        </w:rPr>
        <w:t>aus</w:t>
      </w:r>
      <w:r w:rsidR="00FF60B2" w:rsidRPr="00374DA7">
        <w:rPr>
          <w:lang w:val="fr-FR"/>
        </w:rPr>
        <w:t xml:space="preserve">si </w:t>
      </w:r>
      <w:r w:rsidR="009B2923" w:rsidRPr="00374DA7">
        <w:rPr>
          <w:lang w:val="fr-FR"/>
        </w:rPr>
        <w:t>modest</w:t>
      </w:r>
      <w:r w:rsidR="000F1539">
        <w:rPr>
          <w:lang w:val="fr-FR"/>
        </w:rPr>
        <w:t>e soit-elle, elle</w:t>
      </w:r>
      <w:r w:rsidR="00AC2D00" w:rsidRPr="00374DA7">
        <w:rPr>
          <w:lang w:val="fr-FR"/>
        </w:rPr>
        <w:t xml:space="preserve"> </w:t>
      </w:r>
      <w:r w:rsidR="000F1539">
        <w:rPr>
          <w:lang w:val="fr-FR"/>
        </w:rPr>
        <w:t>entraîne des dépenses</w:t>
      </w:r>
      <w:r w:rsidR="009B2923" w:rsidRPr="00374DA7">
        <w:rPr>
          <w:lang w:val="fr-FR"/>
        </w:rPr>
        <w:t xml:space="preserve"> supplémentair</w:t>
      </w:r>
      <w:r w:rsidR="00FF60B2" w:rsidRPr="00374DA7">
        <w:rPr>
          <w:lang w:val="fr-FR"/>
        </w:rPr>
        <w:t xml:space="preserve">es. Les </w:t>
      </w:r>
      <w:r w:rsidR="00AC2D00" w:rsidRPr="00374DA7">
        <w:rPr>
          <w:lang w:val="fr-FR"/>
        </w:rPr>
        <w:t>pays</w:t>
      </w:r>
      <w:r w:rsidR="00FF60B2" w:rsidRPr="00374DA7">
        <w:rPr>
          <w:lang w:val="fr-FR"/>
        </w:rPr>
        <w:t xml:space="preserve"> en développement</w:t>
      </w:r>
      <w:r w:rsidR="00316E83" w:rsidRPr="00374DA7">
        <w:rPr>
          <w:lang w:val="fr-FR"/>
        </w:rPr>
        <w:t xml:space="preserve"> peuvent solliciter un financement auprès du Fonds du PCI afin d’entreprendre, par exemple, des </w:t>
      </w:r>
      <w:r w:rsidR="000F1539">
        <w:rPr>
          <w:lang w:val="fr-FR"/>
        </w:rPr>
        <w:t>opération</w:t>
      </w:r>
      <w:r w:rsidR="00316E83" w:rsidRPr="00374DA7">
        <w:rPr>
          <w:lang w:val="fr-FR"/>
        </w:rPr>
        <w:t>s de sauvegarde, d’inventaire et de renforcement de capacités. Les États parties peuvent également s’</w:t>
      </w:r>
      <w:r w:rsidR="00AC2D00" w:rsidRPr="00374DA7">
        <w:rPr>
          <w:lang w:val="fr-FR"/>
        </w:rPr>
        <w:t>exempter des dispositions de l’article 26(</w:t>
      </w:r>
      <w:r w:rsidR="00316E83" w:rsidRPr="00374DA7">
        <w:rPr>
          <w:lang w:val="fr-FR"/>
        </w:rPr>
        <w:t>1</w:t>
      </w:r>
      <w:r w:rsidR="000F1539">
        <w:rPr>
          <w:lang w:val="fr-FR"/>
        </w:rPr>
        <w:t>) qui</w:t>
      </w:r>
      <w:r w:rsidR="00316E83" w:rsidRPr="00374DA7">
        <w:rPr>
          <w:lang w:val="fr-FR"/>
        </w:rPr>
        <w:t xml:space="preserve"> </w:t>
      </w:r>
      <w:r w:rsidR="00AC2D00" w:rsidRPr="00374DA7">
        <w:rPr>
          <w:lang w:val="fr-FR"/>
        </w:rPr>
        <w:t>précis</w:t>
      </w:r>
      <w:r w:rsidR="00316E83" w:rsidRPr="00374DA7">
        <w:rPr>
          <w:lang w:val="fr-FR"/>
        </w:rPr>
        <w:t>e l</w:t>
      </w:r>
      <w:r w:rsidR="00AC2D00" w:rsidRPr="00374DA7">
        <w:rPr>
          <w:lang w:val="fr-FR"/>
        </w:rPr>
        <w:t>e</w:t>
      </w:r>
      <w:r w:rsidR="000F1539">
        <w:rPr>
          <w:lang w:val="fr-FR"/>
        </w:rPr>
        <w:t xml:space="preserve"> montant de leur</w:t>
      </w:r>
      <w:r w:rsidR="00F40B4D">
        <w:rPr>
          <w:lang w:val="fr-FR"/>
        </w:rPr>
        <w:t xml:space="preserve"> contribution au Fonds du PCI.</w:t>
      </w:r>
    </w:p>
    <w:p w:rsidR="00316E83" w:rsidRPr="00374DA7" w:rsidRDefault="00AC2D00" w:rsidP="00AE6520">
      <w:pPr>
        <w:pStyle w:val="Titcoul"/>
        <w:rPr>
          <w:lang w:val="fr-FR"/>
        </w:rPr>
      </w:pPr>
      <w:r w:rsidRPr="00374DA7">
        <w:rPr>
          <w:lang w:val="fr-FR"/>
        </w:rPr>
        <w:lastRenderedPageBreak/>
        <w:t>17.2</w:t>
      </w:r>
      <w:r w:rsidRPr="00374DA7">
        <w:rPr>
          <w:lang w:val="fr-FR"/>
        </w:rPr>
        <w:tab/>
      </w:r>
      <w:r w:rsidR="00C66419" w:rsidRPr="00374DA7">
        <w:rPr>
          <w:lang w:val="fr-FR"/>
        </w:rPr>
        <w:t>PARVENIR À UN ACCORD SUR LA RATIFICATION</w:t>
      </w:r>
    </w:p>
    <w:p w:rsidR="00C66419" w:rsidRPr="00374DA7" w:rsidRDefault="00FD0E65" w:rsidP="00AE6520">
      <w:pPr>
        <w:pStyle w:val="Texte1"/>
        <w:rPr>
          <w:lang w:val="fr-FR"/>
        </w:rPr>
      </w:pPr>
      <w:r w:rsidRPr="00374DA7">
        <w:rPr>
          <w:lang w:val="fr-FR"/>
        </w:rPr>
        <w:t>Dans la plupart des États, le P</w:t>
      </w:r>
      <w:r w:rsidR="00C66419" w:rsidRPr="00374DA7">
        <w:rPr>
          <w:lang w:val="fr-FR"/>
        </w:rPr>
        <w:t xml:space="preserve">arlement doit autoriser la signature de l’instrument de ratification. </w:t>
      </w:r>
      <w:r w:rsidR="001B012B">
        <w:rPr>
          <w:lang w:val="fr-FR"/>
        </w:rPr>
        <w:t>Il y a beaucoup de voies</w:t>
      </w:r>
      <w:r w:rsidR="007334C2" w:rsidRPr="00374DA7">
        <w:rPr>
          <w:lang w:val="fr-FR"/>
        </w:rPr>
        <w:t xml:space="preserve"> dans cette direction, selon l</w:t>
      </w:r>
      <w:r w:rsidR="00C66419" w:rsidRPr="00374DA7">
        <w:rPr>
          <w:lang w:val="fr-FR"/>
        </w:rPr>
        <w:t>es dispositions</w:t>
      </w:r>
      <w:r w:rsidR="00F944A1" w:rsidRPr="00374DA7">
        <w:rPr>
          <w:lang w:val="fr-FR"/>
        </w:rPr>
        <w:t xml:space="preserve"> constitution</w:t>
      </w:r>
      <w:r w:rsidR="007E76FE" w:rsidRPr="00374DA7">
        <w:rPr>
          <w:lang w:val="fr-FR"/>
        </w:rPr>
        <w:t>nelles,</w:t>
      </w:r>
      <w:r w:rsidR="007334C2" w:rsidRPr="00374DA7">
        <w:rPr>
          <w:lang w:val="fr-FR"/>
        </w:rPr>
        <w:t xml:space="preserve"> l</w:t>
      </w:r>
      <w:r w:rsidR="00C66419" w:rsidRPr="00374DA7">
        <w:rPr>
          <w:lang w:val="fr-FR"/>
        </w:rPr>
        <w:t>es procédures</w:t>
      </w:r>
      <w:r w:rsidR="007334C2" w:rsidRPr="00374DA7">
        <w:rPr>
          <w:lang w:val="fr-FR"/>
        </w:rPr>
        <w:t>, l</w:t>
      </w:r>
      <w:r w:rsidR="00C66419" w:rsidRPr="00374DA7">
        <w:rPr>
          <w:lang w:val="fr-FR"/>
        </w:rPr>
        <w:t>es expériences</w:t>
      </w:r>
      <w:r w:rsidR="007E76FE" w:rsidRPr="00374DA7">
        <w:rPr>
          <w:lang w:val="fr-FR"/>
        </w:rPr>
        <w:t xml:space="preserve"> et </w:t>
      </w:r>
      <w:r w:rsidR="007334C2" w:rsidRPr="00374DA7">
        <w:rPr>
          <w:lang w:val="fr-FR"/>
        </w:rPr>
        <w:t>les processus propres à chaque État. L</w:t>
      </w:r>
      <w:r w:rsidR="00C66419" w:rsidRPr="00374DA7">
        <w:rPr>
          <w:lang w:val="fr-FR"/>
        </w:rPr>
        <w:t xml:space="preserve">es procédures </w:t>
      </w:r>
      <w:r w:rsidR="001B012B">
        <w:rPr>
          <w:lang w:val="fr-FR"/>
        </w:rPr>
        <w:t xml:space="preserve">appliquées </w:t>
      </w:r>
      <w:r w:rsidR="007334C2" w:rsidRPr="00374DA7">
        <w:rPr>
          <w:lang w:val="fr-FR"/>
        </w:rPr>
        <w:t>dans les État fédéraux</w:t>
      </w:r>
      <w:r w:rsidR="007E76FE" w:rsidRPr="00374DA7">
        <w:rPr>
          <w:lang w:val="fr-FR"/>
        </w:rPr>
        <w:t xml:space="preserve"> </w:t>
      </w:r>
      <w:r w:rsidR="007334C2" w:rsidRPr="00374DA7">
        <w:rPr>
          <w:lang w:val="fr-FR"/>
        </w:rPr>
        <w:t>sont parfois</w:t>
      </w:r>
      <w:r w:rsidR="00C66419" w:rsidRPr="00374DA7">
        <w:rPr>
          <w:lang w:val="fr-FR"/>
        </w:rPr>
        <w:t xml:space="preserve"> très complexes. Le processus de ratification peut </w:t>
      </w:r>
      <w:r w:rsidR="007334C2" w:rsidRPr="00374DA7">
        <w:rPr>
          <w:lang w:val="fr-FR"/>
        </w:rPr>
        <w:t>ainsi</w:t>
      </w:r>
      <w:r w:rsidR="00C66419" w:rsidRPr="00374DA7">
        <w:rPr>
          <w:lang w:val="fr-FR"/>
        </w:rPr>
        <w:t xml:space="preserve"> </w:t>
      </w:r>
      <w:r w:rsidR="00942A51" w:rsidRPr="00374DA7">
        <w:rPr>
          <w:lang w:val="fr-FR"/>
        </w:rPr>
        <w:t>prendre</w:t>
      </w:r>
      <w:r w:rsidR="00C66419" w:rsidRPr="00374DA7">
        <w:rPr>
          <w:lang w:val="fr-FR"/>
        </w:rPr>
        <w:t xml:space="preserve"> </w:t>
      </w:r>
      <w:r w:rsidR="00942A51" w:rsidRPr="00374DA7">
        <w:rPr>
          <w:lang w:val="fr-FR"/>
        </w:rPr>
        <w:t>de quelques mois à</w:t>
      </w:r>
      <w:r w:rsidR="00F40B4D">
        <w:rPr>
          <w:lang w:val="fr-FR"/>
        </w:rPr>
        <w:t xml:space="preserve"> plusieurs années.</w:t>
      </w:r>
    </w:p>
    <w:p w:rsidR="00C66419" w:rsidRPr="00374DA7" w:rsidRDefault="00C66419" w:rsidP="00AE6520">
      <w:pPr>
        <w:pStyle w:val="Texte1"/>
        <w:rPr>
          <w:lang w:val="fr-FR"/>
        </w:rPr>
      </w:pPr>
      <w:r w:rsidRPr="00374DA7">
        <w:rPr>
          <w:lang w:val="fr-FR"/>
        </w:rPr>
        <w:t>D</w:t>
      </w:r>
      <w:r w:rsidR="00BB3831" w:rsidRPr="00374DA7">
        <w:rPr>
          <w:lang w:val="fr-FR"/>
        </w:rPr>
        <w:t>i</w:t>
      </w:r>
      <w:r w:rsidR="007A43F3" w:rsidRPr="00374DA7">
        <w:rPr>
          <w:lang w:val="fr-FR"/>
        </w:rPr>
        <w:t xml:space="preserve">vers </w:t>
      </w:r>
      <w:r w:rsidRPr="00374DA7">
        <w:rPr>
          <w:lang w:val="fr-FR"/>
        </w:rPr>
        <w:t xml:space="preserve">acteurs peuvent </w:t>
      </w:r>
      <w:r w:rsidR="004003B4" w:rsidRPr="00374DA7">
        <w:rPr>
          <w:lang w:val="fr-FR"/>
        </w:rPr>
        <w:t>p</w:t>
      </w:r>
      <w:r w:rsidR="00A1534A" w:rsidRPr="00374DA7">
        <w:rPr>
          <w:lang w:val="fr-FR"/>
        </w:rPr>
        <w:t xml:space="preserve">articiper </w:t>
      </w:r>
      <w:r w:rsidR="004003B4" w:rsidRPr="00374DA7">
        <w:rPr>
          <w:lang w:val="fr-FR"/>
        </w:rPr>
        <w:t>au</w:t>
      </w:r>
      <w:r w:rsidR="00BB3831" w:rsidRPr="00374DA7">
        <w:rPr>
          <w:lang w:val="fr-FR"/>
        </w:rPr>
        <w:t xml:space="preserve"> </w:t>
      </w:r>
      <w:r w:rsidR="00CC6725" w:rsidRPr="00374DA7">
        <w:rPr>
          <w:lang w:val="fr-FR"/>
        </w:rPr>
        <w:t>lancement d’opérations</w:t>
      </w:r>
      <w:r w:rsidR="00BB3831" w:rsidRPr="00374DA7">
        <w:rPr>
          <w:lang w:val="fr-FR"/>
        </w:rPr>
        <w:t xml:space="preserve"> </w:t>
      </w:r>
      <w:r w:rsidR="00CC6725" w:rsidRPr="00374DA7">
        <w:rPr>
          <w:lang w:val="fr-FR"/>
        </w:rPr>
        <w:t xml:space="preserve">susceptibles de </w:t>
      </w:r>
      <w:r w:rsidR="00BB3831" w:rsidRPr="00374DA7">
        <w:rPr>
          <w:lang w:val="fr-FR"/>
        </w:rPr>
        <w:t>condui</w:t>
      </w:r>
      <w:r w:rsidR="00CC6725" w:rsidRPr="00374DA7">
        <w:rPr>
          <w:lang w:val="fr-FR"/>
        </w:rPr>
        <w:t>re</w:t>
      </w:r>
      <w:r w:rsidR="007A43F3" w:rsidRPr="00374DA7">
        <w:rPr>
          <w:lang w:val="fr-FR"/>
        </w:rPr>
        <w:t xml:space="preserve"> à la signature de l’instrument de ratification :</w:t>
      </w:r>
    </w:p>
    <w:p w:rsidR="007A43F3" w:rsidRPr="00374DA7" w:rsidRDefault="004003B4" w:rsidP="00B478D7">
      <w:pPr>
        <w:pStyle w:val="Texte1"/>
        <w:numPr>
          <w:ilvl w:val="0"/>
          <w:numId w:val="10"/>
        </w:numPr>
        <w:ind w:left="1135" w:hanging="284"/>
        <w:rPr>
          <w:lang w:val="fr-FR"/>
        </w:rPr>
      </w:pPr>
      <w:r w:rsidRPr="00374DA7">
        <w:rPr>
          <w:lang w:val="fr-FR"/>
        </w:rPr>
        <w:t>l</w:t>
      </w:r>
      <w:r w:rsidR="007A43F3" w:rsidRPr="00374DA7">
        <w:rPr>
          <w:lang w:val="fr-FR"/>
        </w:rPr>
        <w:t>e(s) ministère(s) co</w:t>
      </w:r>
      <w:r w:rsidR="00CC6725" w:rsidRPr="00374DA7">
        <w:rPr>
          <w:lang w:val="fr-FR"/>
        </w:rPr>
        <w:t>mpétent</w:t>
      </w:r>
      <w:r w:rsidR="007A43F3" w:rsidRPr="00374DA7">
        <w:rPr>
          <w:lang w:val="fr-FR"/>
        </w:rPr>
        <w:t xml:space="preserve">(s), </w:t>
      </w:r>
      <w:r w:rsidR="00CC6725" w:rsidRPr="00374DA7">
        <w:rPr>
          <w:lang w:val="fr-FR"/>
        </w:rPr>
        <w:t>un ministre</w:t>
      </w:r>
      <w:r w:rsidR="007A43F3" w:rsidRPr="00374DA7">
        <w:rPr>
          <w:lang w:val="fr-FR"/>
        </w:rPr>
        <w:t xml:space="preserve"> ou </w:t>
      </w:r>
      <w:r w:rsidR="00CC6725" w:rsidRPr="00374DA7">
        <w:rPr>
          <w:lang w:val="fr-FR"/>
        </w:rPr>
        <w:t>des membre</w:t>
      </w:r>
      <w:r w:rsidR="007A43F3" w:rsidRPr="00374DA7">
        <w:rPr>
          <w:lang w:val="fr-FR"/>
        </w:rPr>
        <w:t xml:space="preserve">s </w:t>
      </w:r>
      <w:r w:rsidR="00CC6725" w:rsidRPr="00374DA7">
        <w:rPr>
          <w:lang w:val="fr-FR"/>
        </w:rPr>
        <w:t>du P</w:t>
      </w:r>
      <w:r w:rsidR="007A43F3" w:rsidRPr="00374DA7">
        <w:rPr>
          <w:lang w:val="fr-FR"/>
        </w:rPr>
        <w:t>arlement</w:t>
      </w:r>
      <w:r w:rsidR="00CC6725" w:rsidRPr="00374DA7">
        <w:rPr>
          <w:lang w:val="fr-FR"/>
        </w:rPr>
        <w:t xml:space="preserve"> intéressés</w:t>
      </w:r>
      <w:r w:rsidR="007A43F3" w:rsidRPr="00374DA7">
        <w:rPr>
          <w:lang w:val="fr-FR"/>
        </w:rPr>
        <w:t> ;</w:t>
      </w:r>
    </w:p>
    <w:p w:rsidR="007A43F3" w:rsidRPr="00374DA7" w:rsidRDefault="004003B4" w:rsidP="00B478D7">
      <w:pPr>
        <w:pStyle w:val="Texte1"/>
        <w:numPr>
          <w:ilvl w:val="0"/>
          <w:numId w:val="10"/>
        </w:numPr>
        <w:ind w:left="1135" w:hanging="284"/>
        <w:rPr>
          <w:lang w:val="fr-FR"/>
        </w:rPr>
      </w:pPr>
      <w:r w:rsidRPr="00374DA7">
        <w:rPr>
          <w:lang w:val="fr-FR"/>
        </w:rPr>
        <w:t>des ONG, des universités, d</w:t>
      </w:r>
      <w:r w:rsidR="007A43F3" w:rsidRPr="00374DA7">
        <w:rPr>
          <w:lang w:val="fr-FR"/>
        </w:rPr>
        <w:t>es institutions de recherche ou de documentation ;</w:t>
      </w:r>
    </w:p>
    <w:p w:rsidR="007A43F3" w:rsidRPr="00374DA7" w:rsidRDefault="009710F8" w:rsidP="00B478D7">
      <w:pPr>
        <w:pStyle w:val="Texte1"/>
        <w:numPr>
          <w:ilvl w:val="0"/>
          <w:numId w:val="10"/>
        </w:numPr>
        <w:ind w:left="1135" w:hanging="284"/>
        <w:rPr>
          <w:lang w:val="fr-FR"/>
        </w:rPr>
      </w:pPr>
      <w:r w:rsidRPr="00374DA7">
        <w:rPr>
          <w:lang w:val="fr-FR"/>
        </w:rPr>
        <w:t>l</w:t>
      </w:r>
      <w:r w:rsidR="004003B4" w:rsidRPr="00374DA7">
        <w:rPr>
          <w:lang w:val="fr-FR"/>
        </w:rPr>
        <w:t>es communautés ;</w:t>
      </w:r>
      <w:r w:rsidR="007A43F3" w:rsidRPr="00374DA7">
        <w:rPr>
          <w:lang w:val="fr-FR"/>
        </w:rPr>
        <w:t xml:space="preserve"> et/ou</w:t>
      </w:r>
    </w:p>
    <w:p w:rsidR="007A43F3" w:rsidRPr="00374DA7" w:rsidRDefault="009710F8" w:rsidP="00B478D7">
      <w:pPr>
        <w:pStyle w:val="Texte1"/>
        <w:numPr>
          <w:ilvl w:val="0"/>
          <w:numId w:val="10"/>
        </w:numPr>
        <w:ind w:left="1135" w:hanging="284"/>
        <w:rPr>
          <w:lang w:val="fr-FR"/>
        </w:rPr>
      </w:pPr>
      <w:r w:rsidRPr="00374DA7">
        <w:rPr>
          <w:lang w:val="fr-FR"/>
        </w:rPr>
        <w:t>l</w:t>
      </w:r>
      <w:r w:rsidR="00A1534A" w:rsidRPr="00374DA7">
        <w:rPr>
          <w:lang w:val="fr-FR"/>
        </w:rPr>
        <w:t xml:space="preserve">es experts </w:t>
      </w:r>
      <w:r w:rsidR="007A43F3" w:rsidRPr="00374DA7">
        <w:rPr>
          <w:lang w:val="fr-FR"/>
        </w:rPr>
        <w:t>individuel</w:t>
      </w:r>
      <w:r w:rsidR="00A1534A" w:rsidRPr="00374DA7">
        <w:rPr>
          <w:lang w:val="fr-FR"/>
        </w:rPr>
        <w:t>s</w:t>
      </w:r>
      <w:r w:rsidRPr="00374DA7">
        <w:rPr>
          <w:lang w:val="fr-FR"/>
        </w:rPr>
        <w:t xml:space="preserve"> ou</w:t>
      </w:r>
      <w:r w:rsidR="007A43F3" w:rsidRPr="00374DA7">
        <w:rPr>
          <w:lang w:val="fr-FR"/>
        </w:rPr>
        <w:t xml:space="preserve"> les personnes intéressé</w:t>
      </w:r>
      <w:r w:rsidR="004003B4" w:rsidRPr="00374DA7">
        <w:rPr>
          <w:lang w:val="fr-FR"/>
        </w:rPr>
        <w:t>es</w:t>
      </w:r>
      <w:r w:rsidR="007A43F3" w:rsidRPr="00374DA7">
        <w:rPr>
          <w:lang w:val="fr-FR"/>
        </w:rPr>
        <w:t>.</w:t>
      </w:r>
    </w:p>
    <w:p w:rsidR="007A43F3" w:rsidRPr="00374DA7" w:rsidRDefault="007A43F3" w:rsidP="00AE6520">
      <w:pPr>
        <w:pStyle w:val="Texte1"/>
        <w:rPr>
          <w:lang w:val="fr-FR"/>
        </w:rPr>
      </w:pPr>
      <w:r w:rsidRPr="00374DA7">
        <w:rPr>
          <w:lang w:val="fr-FR"/>
        </w:rPr>
        <w:t xml:space="preserve">Dans </w:t>
      </w:r>
      <w:r w:rsidR="00A1534A" w:rsidRPr="00374DA7">
        <w:rPr>
          <w:lang w:val="fr-FR"/>
        </w:rPr>
        <w:t>ce</w:t>
      </w:r>
      <w:r w:rsidRPr="00374DA7">
        <w:rPr>
          <w:lang w:val="fr-FR"/>
        </w:rPr>
        <w:t xml:space="preserve"> </w:t>
      </w:r>
      <w:r w:rsidR="00A1534A" w:rsidRPr="00374DA7">
        <w:rPr>
          <w:lang w:val="fr-FR"/>
        </w:rPr>
        <w:t xml:space="preserve">processus, </w:t>
      </w:r>
      <w:r w:rsidR="009710F8" w:rsidRPr="00374DA7">
        <w:rPr>
          <w:lang w:val="fr-FR"/>
        </w:rPr>
        <w:t xml:space="preserve">les </w:t>
      </w:r>
      <w:r w:rsidR="00446098" w:rsidRPr="00374DA7">
        <w:rPr>
          <w:lang w:val="fr-FR"/>
        </w:rPr>
        <w:t>acteurs</w:t>
      </w:r>
      <w:r w:rsidR="009710F8" w:rsidRPr="00374DA7">
        <w:rPr>
          <w:lang w:val="fr-FR"/>
        </w:rPr>
        <w:t xml:space="preserve"> pourraie</w:t>
      </w:r>
      <w:r w:rsidRPr="00374DA7">
        <w:rPr>
          <w:lang w:val="fr-FR"/>
        </w:rPr>
        <w:t xml:space="preserve">nt souhaiter </w:t>
      </w:r>
      <w:r w:rsidR="00446098" w:rsidRPr="00374DA7">
        <w:rPr>
          <w:lang w:val="fr-FR"/>
        </w:rPr>
        <w:t>mesurer</w:t>
      </w:r>
      <w:r w:rsidRPr="00374DA7">
        <w:rPr>
          <w:lang w:val="fr-FR"/>
        </w:rPr>
        <w:t xml:space="preserve"> les avantages </w:t>
      </w:r>
      <w:r w:rsidR="00446098" w:rsidRPr="00374DA7">
        <w:rPr>
          <w:lang w:val="fr-FR"/>
        </w:rPr>
        <w:t xml:space="preserve">possibles </w:t>
      </w:r>
      <w:r w:rsidRPr="00374DA7">
        <w:rPr>
          <w:lang w:val="fr-FR"/>
        </w:rPr>
        <w:t>d’un</w:t>
      </w:r>
      <w:r w:rsidR="00A1534A" w:rsidRPr="00374DA7">
        <w:rPr>
          <w:lang w:val="fr-FR"/>
        </w:rPr>
        <w:t>e ratification de la Convention.</w:t>
      </w:r>
    </w:p>
    <w:p w:rsidR="007A43F3" w:rsidRPr="00374DA7" w:rsidRDefault="00446098" w:rsidP="00AE6520">
      <w:pPr>
        <w:pStyle w:val="Heading4"/>
        <w:rPr>
          <w:lang w:val="fr-FR"/>
        </w:rPr>
      </w:pPr>
      <w:r w:rsidRPr="00374DA7">
        <w:rPr>
          <w:lang w:val="fr-FR"/>
        </w:rPr>
        <w:t xml:space="preserve">AVANTAGES </w:t>
      </w:r>
      <w:r w:rsidR="007A43F3" w:rsidRPr="00374DA7">
        <w:rPr>
          <w:lang w:val="fr-FR"/>
        </w:rPr>
        <w:t>POSSIBLES DE LA RATIFICATION</w:t>
      </w:r>
    </w:p>
    <w:p w:rsidR="007A43F3" w:rsidRPr="00374DA7" w:rsidRDefault="007A43F3" w:rsidP="00AE6520">
      <w:pPr>
        <w:pStyle w:val="Texte1"/>
        <w:rPr>
          <w:lang w:val="fr-FR"/>
        </w:rPr>
      </w:pPr>
      <w:r w:rsidRPr="00374DA7">
        <w:rPr>
          <w:lang w:val="fr-FR"/>
        </w:rPr>
        <w:t>Les États parties et les communautés concernées (et leur PCI)</w:t>
      </w:r>
      <w:r w:rsidR="005F09CE" w:rsidRPr="00374DA7">
        <w:rPr>
          <w:lang w:val="fr-FR"/>
        </w:rPr>
        <w:t>,</w:t>
      </w:r>
      <w:r w:rsidRPr="00374DA7">
        <w:rPr>
          <w:lang w:val="fr-FR"/>
        </w:rPr>
        <w:t xml:space="preserve"> ainsi que les organis</w:t>
      </w:r>
      <w:r w:rsidR="005F09CE" w:rsidRPr="00374DA7">
        <w:rPr>
          <w:lang w:val="fr-FR"/>
        </w:rPr>
        <w:t>mes compétent</w:t>
      </w:r>
      <w:r w:rsidRPr="00374DA7">
        <w:rPr>
          <w:lang w:val="fr-FR"/>
        </w:rPr>
        <w:t xml:space="preserve">s et le grand public ont beaucoup </w:t>
      </w:r>
      <w:r w:rsidR="005F09CE" w:rsidRPr="00374DA7">
        <w:rPr>
          <w:lang w:val="fr-FR"/>
        </w:rPr>
        <w:t>d’avantages po</w:t>
      </w:r>
      <w:r w:rsidR="00A65675" w:rsidRPr="00374DA7">
        <w:rPr>
          <w:lang w:val="fr-FR"/>
        </w:rPr>
        <w:t>tentiels</w:t>
      </w:r>
      <w:r w:rsidR="005F09CE" w:rsidRPr="00374DA7">
        <w:rPr>
          <w:lang w:val="fr-FR"/>
        </w:rPr>
        <w:t xml:space="preserve"> à retirer</w:t>
      </w:r>
      <w:r w:rsidR="001B012B">
        <w:rPr>
          <w:lang w:val="fr-FR"/>
        </w:rPr>
        <w:t xml:space="preserve"> de la mise en</w:t>
      </w:r>
      <w:r w:rsidRPr="00374DA7">
        <w:rPr>
          <w:lang w:val="fr-FR"/>
        </w:rPr>
        <w:t xml:space="preserve"> œuvre de la </w:t>
      </w:r>
      <w:r w:rsidR="005C1146" w:rsidRPr="00374DA7">
        <w:rPr>
          <w:lang w:val="fr-FR"/>
        </w:rPr>
        <w:t>Convention</w:t>
      </w:r>
      <w:r w:rsidR="00A65675" w:rsidRPr="00374DA7">
        <w:rPr>
          <w:lang w:val="fr-FR"/>
        </w:rPr>
        <w:t xml:space="preserve"> a</w:t>
      </w:r>
      <w:r w:rsidRPr="00374DA7">
        <w:rPr>
          <w:lang w:val="fr-FR"/>
        </w:rPr>
        <w:t xml:space="preserve">u niveau national </w:t>
      </w:r>
      <w:r w:rsidR="00A65675" w:rsidRPr="00374DA7">
        <w:rPr>
          <w:lang w:val="fr-FR"/>
        </w:rPr>
        <w:t xml:space="preserve"> et </w:t>
      </w:r>
      <w:r w:rsidRPr="00374DA7">
        <w:rPr>
          <w:lang w:val="fr-FR"/>
        </w:rPr>
        <w:t>international</w:t>
      </w:r>
      <w:r w:rsidR="005C1146" w:rsidRPr="00374DA7">
        <w:rPr>
          <w:lang w:val="fr-FR"/>
        </w:rPr>
        <w:t>.</w:t>
      </w:r>
    </w:p>
    <w:p w:rsidR="005C1146" w:rsidRPr="00374DA7" w:rsidRDefault="00A65675" w:rsidP="00AE6520">
      <w:pPr>
        <w:pStyle w:val="Texte1"/>
        <w:rPr>
          <w:lang w:val="fr-FR"/>
        </w:rPr>
      </w:pPr>
      <w:r w:rsidRPr="00374DA7">
        <w:rPr>
          <w:lang w:val="fr-FR"/>
        </w:rPr>
        <w:t>C</w:t>
      </w:r>
      <w:r w:rsidR="005C1146" w:rsidRPr="00374DA7">
        <w:rPr>
          <w:lang w:val="fr-FR"/>
        </w:rPr>
        <w:t>es</w:t>
      </w:r>
      <w:r w:rsidRPr="00374DA7">
        <w:rPr>
          <w:lang w:val="fr-FR"/>
        </w:rPr>
        <w:t xml:space="preserve"> avantages potentiels concernent</w:t>
      </w:r>
      <w:r w:rsidR="005C1146" w:rsidRPr="00374DA7">
        <w:rPr>
          <w:lang w:val="fr-FR"/>
        </w:rPr>
        <w:t> :</w:t>
      </w:r>
    </w:p>
    <w:p w:rsidR="005C1146" w:rsidRPr="00374DA7" w:rsidRDefault="0017733F" w:rsidP="00B478D7">
      <w:pPr>
        <w:pStyle w:val="Texte1"/>
        <w:numPr>
          <w:ilvl w:val="0"/>
          <w:numId w:val="10"/>
        </w:numPr>
        <w:ind w:left="1135" w:hanging="284"/>
        <w:rPr>
          <w:lang w:val="fr-FR"/>
        </w:rPr>
      </w:pPr>
      <w:r w:rsidRPr="00374DA7">
        <w:rPr>
          <w:lang w:val="fr-FR"/>
        </w:rPr>
        <w:t>l’a</w:t>
      </w:r>
      <w:r w:rsidR="005C1146" w:rsidRPr="00374DA7">
        <w:rPr>
          <w:lang w:val="fr-FR"/>
        </w:rPr>
        <w:t>mélioration de l</w:t>
      </w:r>
      <w:r w:rsidR="00A65675" w:rsidRPr="00374DA7">
        <w:rPr>
          <w:lang w:val="fr-FR"/>
        </w:rPr>
        <w:t>a représent</w:t>
      </w:r>
      <w:r w:rsidR="005C1146" w:rsidRPr="00374DA7">
        <w:rPr>
          <w:lang w:val="fr-FR"/>
        </w:rPr>
        <w:t>ation et de la transmission du PCI ;</w:t>
      </w:r>
    </w:p>
    <w:p w:rsidR="005C1146" w:rsidRPr="00374DA7" w:rsidRDefault="0017733F" w:rsidP="00B478D7">
      <w:pPr>
        <w:pStyle w:val="Texte1"/>
        <w:numPr>
          <w:ilvl w:val="0"/>
          <w:numId w:val="10"/>
        </w:numPr>
        <w:ind w:left="1135" w:hanging="284"/>
        <w:rPr>
          <w:lang w:val="fr-FR"/>
        </w:rPr>
      </w:pPr>
      <w:r w:rsidRPr="00374DA7">
        <w:rPr>
          <w:lang w:val="fr-FR"/>
        </w:rPr>
        <w:t>le</w:t>
      </w:r>
      <w:r w:rsidR="005C1146" w:rsidRPr="00374DA7">
        <w:rPr>
          <w:lang w:val="fr-FR"/>
        </w:rPr>
        <w:t xml:space="preserve"> bien-être</w:t>
      </w:r>
      <w:r w:rsidRPr="00374DA7">
        <w:rPr>
          <w:lang w:val="fr-FR"/>
        </w:rPr>
        <w:t xml:space="preserve"> accru</w:t>
      </w:r>
      <w:r w:rsidR="005C1146" w:rsidRPr="00374DA7">
        <w:rPr>
          <w:lang w:val="fr-FR"/>
        </w:rPr>
        <w:t xml:space="preserve"> des communautés ;</w:t>
      </w:r>
    </w:p>
    <w:p w:rsidR="005C1146" w:rsidRPr="00374DA7" w:rsidRDefault="005C1146" w:rsidP="00B478D7">
      <w:pPr>
        <w:pStyle w:val="Texte1"/>
        <w:numPr>
          <w:ilvl w:val="0"/>
          <w:numId w:val="10"/>
        </w:numPr>
        <w:ind w:left="1135" w:hanging="284"/>
        <w:rPr>
          <w:lang w:val="fr-FR"/>
        </w:rPr>
      </w:pPr>
      <w:r w:rsidRPr="00374DA7">
        <w:rPr>
          <w:lang w:val="fr-FR"/>
        </w:rPr>
        <w:t>la</w:t>
      </w:r>
      <w:r w:rsidR="0017733F" w:rsidRPr="00374DA7">
        <w:rPr>
          <w:lang w:val="fr-FR"/>
        </w:rPr>
        <w:t xml:space="preserve"> meilleure</w:t>
      </w:r>
      <w:r w:rsidRPr="00374DA7">
        <w:rPr>
          <w:lang w:val="fr-FR"/>
        </w:rPr>
        <w:t xml:space="preserve"> com</w:t>
      </w:r>
      <w:r w:rsidR="0017733F" w:rsidRPr="00374DA7">
        <w:rPr>
          <w:lang w:val="fr-FR"/>
        </w:rPr>
        <w:t>préhension et le respect accru</w:t>
      </w:r>
      <w:r w:rsidRPr="00374DA7">
        <w:rPr>
          <w:lang w:val="fr-FR"/>
        </w:rPr>
        <w:t xml:space="preserve"> entre</w:t>
      </w:r>
      <w:r w:rsidR="0017733F" w:rsidRPr="00374DA7">
        <w:rPr>
          <w:lang w:val="fr-FR"/>
        </w:rPr>
        <w:t xml:space="preserve"> les</w:t>
      </w:r>
      <w:r w:rsidRPr="00374DA7">
        <w:rPr>
          <w:lang w:val="fr-FR"/>
        </w:rPr>
        <w:t xml:space="preserve"> communautés ;</w:t>
      </w:r>
    </w:p>
    <w:p w:rsidR="005C1146" w:rsidRPr="00374DA7" w:rsidRDefault="0017733F" w:rsidP="00B478D7">
      <w:pPr>
        <w:pStyle w:val="Texte1"/>
        <w:numPr>
          <w:ilvl w:val="0"/>
          <w:numId w:val="10"/>
        </w:numPr>
        <w:ind w:left="1135" w:hanging="284"/>
        <w:rPr>
          <w:lang w:val="fr-FR"/>
        </w:rPr>
      </w:pPr>
      <w:r w:rsidRPr="00374DA7">
        <w:rPr>
          <w:lang w:val="fr-FR"/>
        </w:rPr>
        <w:t>l</w:t>
      </w:r>
      <w:r w:rsidR="005C1146" w:rsidRPr="00374DA7">
        <w:rPr>
          <w:lang w:val="fr-FR"/>
        </w:rPr>
        <w:t>a</w:t>
      </w:r>
      <w:r w:rsidRPr="00374DA7">
        <w:rPr>
          <w:lang w:val="fr-FR"/>
        </w:rPr>
        <w:t xml:space="preserve"> valoris</w:t>
      </w:r>
      <w:r w:rsidR="005C1146" w:rsidRPr="00374DA7">
        <w:rPr>
          <w:lang w:val="fr-FR"/>
        </w:rPr>
        <w:t>ation d</w:t>
      </w:r>
      <w:r w:rsidR="001B012B">
        <w:rPr>
          <w:lang w:val="fr-FR"/>
        </w:rPr>
        <w:t xml:space="preserve">e la diversité culturelle </w:t>
      </w:r>
      <w:r w:rsidR="005C1146" w:rsidRPr="00374DA7">
        <w:rPr>
          <w:lang w:val="fr-FR"/>
        </w:rPr>
        <w:t xml:space="preserve">au niveau national </w:t>
      </w:r>
      <w:r w:rsidR="001B012B">
        <w:rPr>
          <w:lang w:val="fr-FR"/>
        </w:rPr>
        <w:t xml:space="preserve">et </w:t>
      </w:r>
      <w:r w:rsidR="005C1146" w:rsidRPr="00374DA7">
        <w:rPr>
          <w:lang w:val="fr-FR"/>
        </w:rPr>
        <w:t>international</w:t>
      </w:r>
      <w:r w:rsidR="0041739B" w:rsidRPr="00374DA7">
        <w:rPr>
          <w:lang w:val="fr-FR"/>
        </w:rPr>
        <w:t> ;</w:t>
      </w:r>
      <w:r w:rsidR="005C1146" w:rsidRPr="00374DA7">
        <w:rPr>
          <w:lang w:val="fr-FR"/>
        </w:rPr>
        <w:t xml:space="preserve"> et</w:t>
      </w:r>
    </w:p>
    <w:p w:rsidR="0041739B" w:rsidRPr="00374DA7" w:rsidRDefault="0041739B" w:rsidP="00B478D7">
      <w:pPr>
        <w:pStyle w:val="Texte1"/>
        <w:numPr>
          <w:ilvl w:val="0"/>
          <w:numId w:val="10"/>
        </w:numPr>
        <w:ind w:left="1135" w:hanging="284"/>
        <w:rPr>
          <w:lang w:val="fr-FR"/>
        </w:rPr>
      </w:pPr>
      <w:r w:rsidRPr="00374DA7">
        <w:rPr>
          <w:lang w:val="fr-FR"/>
        </w:rPr>
        <w:t xml:space="preserve">le </w:t>
      </w:r>
      <w:r w:rsidR="005C1146" w:rsidRPr="00374DA7">
        <w:rPr>
          <w:lang w:val="fr-FR"/>
        </w:rPr>
        <w:t xml:space="preserve">progrès </w:t>
      </w:r>
      <w:r w:rsidRPr="00374DA7">
        <w:rPr>
          <w:lang w:val="fr-FR"/>
        </w:rPr>
        <w:t>vers le</w:t>
      </w:r>
      <w:r w:rsidR="005C1146" w:rsidRPr="00374DA7">
        <w:rPr>
          <w:lang w:val="fr-FR"/>
        </w:rPr>
        <w:t xml:space="preserve"> développement durable des communautés concernées et de leur environnement </w:t>
      </w:r>
      <w:r w:rsidRPr="00374DA7">
        <w:rPr>
          <w:lang w:val="fr-FR"/>
        </w:rPr>
        <w:t xml:space="preserve">naturel et </w:t>
      </w:r>
      <w:r w:rsidR="005C1146" w:rsidRPr="00374DA7">
        <w:rPr>
          <w:lang w:val="fr-FR"/>
        </w:rPr>
        <w:t>social.</w:t>
      </w:r>
    </w:p>
    <w:p w:rsidR="005C1146" w:rsidRPr="00374DA7" w:rsidRDefault="0041739B" w:rsidP="00B478D7">
      <w:pPr>
        <w:pStyle w:val="Texte1"/>
        <w:numPr>
          <w:ilvl w:val="0"/>
          <w:numId w:val="10"/>
        </w:numPr>
        <w:ind w:left="1135" w:hanging="284"/>
        <w:rPr>
          <w:lang w:val="fr-FR"/>
        </w:rPr>
      </w:pPr>
      <w:r w:rsidRPr="00374DA7">
        <w:rPr>
          <w:lang w:val="fr-FR"/>
        </w:rPr>
        <w:t xml:space="preserve">Les </w:t>
      </w:r>
      <w:r w:rsidR="005520A7" w:rsidRPr="00374DA7">
        <w:rPr>
          <w:lang w:val="fr-FR"/>
        </w:rPr>
        <w:t>États parties à la Convention et</w:t>
      </w:r>
      <w:r w:rsidRPr="00374DA7">
        <w:rPr>
          <w:lang w:val="fr-FR"/>
        </w:rPr>
        <w:t xml:space="preserve"> autres </w:t>
      </w:r>
      <w:r w:rsidR="00552E9B" w:rsidRPr="00374DA7">
        <w:rPr>
          <w:lang w:val="fr-FR"/>
        </w:rPr>
        <w:t>parties prenantes</w:t>
      </w:r>
      <w:r w:rsidRPr="00374DA7">
        <w:rPr>
          <w:lang w:val="fr-FR"/>
        </w:rPr>
        <w:t xml:space="preserve"> peuvent </w:t>
      </w:r>
      <w:r w:rsidR="00552E9B" w:rsidRPr="00374DA7">
        <w:rPr>
          <w:lang w:val="fr-FR"/>
        </w:rPr>
        <w:t>aussi</w:t>
      </w:r>
      <w:r w:rsidRPr="00374DA7">
        <w:rPr>
          <w:lang w:val="fr-FR"/>
        </w:rPr>
        <w:t xml:space="preserve"> </w:t>
      </w:r>
      <w:r w:rsidR="00552E9B" w:rsidRPr="00374DA7">
        <w:rPr>
          <w:lang w:val="fr-FR"/>
        </w:rPr>
        <w:t>bénéficier</w:t>
      </w:r>
      <w:r w:rsidRPr="00374DA7">
        <w:rPr>
          <w:lang w:val="fr-FR"/>
        </w:rPr>
        <w:t xml:space="preserve"> de l’assistance et de la coopération internationales</w:t>
      </w:r>
      <w:r w:rsidR="00552E9B" w:rsidRPr="00374DA7">
        <w:rPr>
          <w:lang w:val="fr-FR"/>
        </w:rPr>
        <w:t> :</w:t>
      </w:r>
    </w:p>
    <w:p w:rsidR="002A0FE5" w:rsidRPr="00374DA7" w:rsidRDefault="00552E9B" w:rsidP="00B478D7">
      <w:pPr>
        <w:pStyle w:val="Texte1"/>
        <w:numPr>
          <w:ilvl w:val="0"/>
          <w:numId w:val="10"/>
        </w:numPr>
        <w:ind w:left="1135" w:hanging="284"/>
        <w:rPr>
          <w:lang w:val="fr-FR"/>
        </w:rPr>
      </w:pPr>
      <w:r w:rsidRPr="00374DA7">
        <w:rPr>
          <w:lang w:val="fr-FR"/>
        </w:rPr>
        <w:t>e</w:t>
      </w:r>
      <w:r w:rsidR="002A0FE5" w:rsidRPr="00374DA7">
        <w:rPr>
          <w:lang w:val="fr-FR"/>
        </w:rPr>
        <w:t>n rejoignant un réseau mondial actif dans le domaine du patrimoine p</w:t>
      </w:r>
      <w:r w:rsidR="005C4FA4" w:rsidRPr="00374DA7">
        <w:rPr>
          <w:lang w:val="fr-FR"/>
        </w:rPr>
        <w:t>ermettant l’</w:t>
      </w:r>
      <w:r w:rsidRPr="00374DA7">
        <w:rPr>
          <w:lang w:val="fr-FR"/>
        </w:rPr>
        <w:t>é</w:t>
      </w:r>
      <w:r w:rsidR="005C4FA4" w:rsidRPr="00374DA7">
        <w:rPr>
          <w:lang w:val="fr-FR"/>
        </w:rPr>
        <w:t>change d’expériences et</w:t>
      </w:r>
      <w:r w:rsidR="002A0FE5" w:rsidRPr="00374DA7">
        <w:rPr>
          <w:lang w:val="fr-FR"/>
        </w:rPr>
        <w:t xml:space="preserve"> </w:t>
      </w:r>
      <w:r w:rsidR="005C4FA4" w:rsidRPr="00374DA7">
        <w:rPr>
          <w:lang w:val="fr-FR"/>
        </w:rPr>
        <w:t xml:space="preserve">d’informations sur le PCI </w:t>
      </w:r>
      <w:r w:rsidR="002A0FE5" w:rsidRPr="00374DA7">
        <w:rPr>
          <w:lang w:val="fr-FR"/>
        </w:rPr>
        <w:t>au niveau international ;</w:t>
      </w:r>
    </w:p>
    <w:p w:rsidR="002A0FE5" w:rsidRPr="00374DA7" w:rsidRDefault="001B012B" w:rsidP="00B478D7">
      <w:pPr>
        <w:pStyle w:val="Texte1"/>
        <w:numPr>
          <w:ilvl w:val="0"/>
          <w:numId w:val="10"/>
        </w:numPr>
        <w:ind w:left="1135" w:hanging="284"/>
        <w:rPr>
          <w:lang w:val="fr-FR"/>
        </w:rPr>
      </w:pPr>
      <w:r>
        <w:rPr>
          <w:lang w:val="fr-FR"/>
        </w:rPr>
        <w:t>en contribuant à</w:t>
      </w:r>
      <w:r w:rsidR="005F5DAE" w:rsidRPr="00374DA7">
        <w:rPr>
          <w:lang w:val="fr-FR"/>
        </w:rPr>
        <w:t xml:space="preserve"> la promotion et</w:t>
      </w:r>
      <w:r>
        <w:rPr>
          <w:lang w:val="fr-FR"/>
        </w:rPr>
        <w:t xml:space="preserve"> à</w:t>
      </w:r>
      <w:r w:rsidR="005F5DAE" w:rsidRPr="00374DA7">
        <w:rPr>
          <w:lang w:val="fr-FR"/>
        </w:rPr>
        <w:t xml:space="preserve"> l’échange</w:t>
      </w:r>
      <w:r w:rsidR="002A0FE5" w:rsidRPr="00374DA7">
        <w:rPr>
          <w:lang w:val="fr-FR"/>
        </w:rPr>
        <w:t xml:space="preserve"> de bonnes pratiques de sauvegarde </w:t>
      </w:r>
      <w:r w:rsidR="005F5DAE" w:rsidRPr="00374DA7">
        <w:rPr>
          <w:lang w:val="fr-FR"/>
        </w:rPr>
        <w:t>à travers le</w:t>
      </w:r>
      <w:r w:rsidR="002A0FE5" w:rsidRPr="00374DA7">
        <w:rPr>
          <w:lang w:val="fr-FR"/>
        </w:rPr>
        <w:t xml:space="preserve"> Registre des meilleures pratiques de sauvegarde ;</w:t>
      </w:r>
    </w:p>
    <w:p w:rsidR="002A0FE5" w:rsidRPr="00374DA7" w:rsidRDefault="002A0FE5" w:rsidP="00B478D7">
      <w:pPr>
        <w:pStyle w:val="Texte1"/>
        <w:numPr>
          <w:ilvl w:val="0"/>
          <w:numId w:val="10"/>
        </w:numPr>
        <w:ind w:left="1135" w:hanging="284"/>
        <w:rPr>
          <w:lang w:val="fr-FR"/>
        </w:rPr>
      </w:pPr>
      <w:r w:rsidRPr="00374DA7">
        <w:rPr>
          <w:lang w:val="fr-FR"/>
        </w:rPr>
        <w:t xml:space="preserve">en ayant accès à l’assistance internationale </w:t>
      </w:r>
      <w:r w:rsidR="005F5DAE" w:rsidRPr="00374DA7">
        <w:rPr>
          <w:lang w:val="fr-FR"/>
        </w:rPr>
        <w:t>dispens</w:t>
      </w:r>
      <w:r w:rsidR="006C7797" w:rsidRPr="00374DA7">
        <w:rPr>
          <w:lang w:val="fr-FR"/>
        </w:rPr>
        <w:t>é</w:t>
      </w:r>
      <w:r w:rsidR="005F5DAE" w:rsidRPr="00374DA7">
        <w:rPr>
          <w:lang w:val="fr-FR"/>
        </w:rPr>
        <w:t>e</w:t>
      </w:r>
      <w:r w:rsidR="006C7797" w:rsidRPr="00374DA7">
        <w:rPr>
          <w:lang w:val="fr-FR"/>
        </w:rPr>
        <w:t xml:space="preserve"> par</w:t>
      </w:r>
      <w:r w:rsidR="005F5DAE" w:rsidRPr="00374DA7">
        <w:rPr>
          <w:lang w:val="fr-FR"/>
        </w:rPr>
        <w:t xml:space="preserve"> le</w:t>
      </w:r>
      <w:r w:rsidRPr="00374DA7">
        <w:rPr>
          <w:lang w:val="fr-FR"/>
        </w:rPr>
        <w:t xml:space="preserve"> Fonds de la Convention ;</w:t>
      </w:r>
    </w:p>
    <w:p w:rsidR="002A0FE5" w:rsidRPr="00374DA7" w:rsidRDefault="002A0FE5" w:rsidP="00B478D7">
      <w:pPr>
        <w:pStyle w:val="Texte1"/>
        <w:numPr>
          <w:ilvl w:val="0"/>
          <w:numId w:val="10"/>
        </w:numPr>
        <w:ind w:left="1135" w:hanging="284"/>
        <w:rPr>
          <w:lang w:val="fr-FR"/>
        </w:rPr>
      </w:pPr>
      <w:r w:rsidRPr="00374DA7">
        <w:rPr>
          <w:lang w:val="fr-FR"/>
        </w:rPr>
        <w:t xml:space="preserve">en proposant </w:t>
      </w:r>
      <w:r w:rsidR="006C7797" w:rsidRPr="00374DA7">
        <w:rPr>
          <w:lang w:val="fr-FR"/>
        </w:rPr>
        <w:t>la candidature d’</w:t>
      </w:r>
      <w:r w:rsidRPr="00374DA7">
        <w:rPr>
          <w:lang w:val="fr-FR"/>
        </w:rPr>
        <w:t xml:space="preserve">éléments </w:t>
      </w:r>
      <w:r w:rsidR="006C7797" w:rsidRPr="00374DA7">
        <w:rPr>
          <w:lang w:val="fr-FR"/>
        </w:rPr>
        <w:t>sur les Listes et</w:t>
      </w:r>
      <w:r w:rsidRPr="00374DA7">
        <w:rPr>
          <w:lang w:val="fr-FR"/>
        </w:rPr>
        <w:t xml:space="preserve"> – si tout se passe bien – </w:t>
      </w:r>
      <w:r w:rsidR="006C7797" w:rsidRPr="00374DA7">
        <w:rPr>
          <w:lang w:val="fr-FR"/>
        </w:rPr>
        <w:t xml:space="preserve">en les voyant </w:t>
      </w:r>
      <w:r w:rsidRPr="00374DA7">
        <w:rPr>
          <w:lang w:val="fr-FR"/>
        </w:rPr>
        <w:t>inscri</w:t>
      </w:r>
      <w:r w:rsidR="006C7797" w:rsidRPr="00374DA7">
        <w:rPr>
          <w:lang w:val="fr-FR"/>
        </w:rPr>
        <w:t>ts et</w:t>
      </w:r>
      <w:r w:rsidRPr="00374DA7">
        <w:rPr>
          <w:lang w:val="fr-FR"/>
        </w:rPr>
        <w:t xml:space="preserve"> en partageant </w:t>
      </w:r>
      <w:r w:rsidR="00827FEA" w:rsidRPr="00374DA7">
        <w:rPr>
          <w:lang w:val="fr-FR"/>
        </w:rPr>
        <w:t>l</w:t>
      </w:r>
      <w:r w:rsidR="00A97FCA" w:rsidRPr="00374DA7">
        <w:rPr>
          <w:lang w:val="fr-FR"/>
        </w:rPr>
        <w:t>’information</w:t>
      </w:r>
      <w:r w:rsidRPr="00374DA7">
        <w:rPr>
          <w:lang w:val="fr-FR"/>
        </w:rPr>
        <w:t xml:space="preserve"> à leur sujet </w:t>
      </w:r>
      <w:r w:rsidR="001B012B">
        <w:rPr>
          <w:lang w:val="fr-FR"/>
        </w:rPr>
        <w:t>à l’échelle planétaire</w:t>
      </w:r>
      <w:r w:rsidRPr="00374DA7">
        <w:rPr>
          <w:lang w:val="fr-FR"/>
        </w:rPr>
        <w:t> ;</w:t>
      </w:r>
    </w:p>
    <w:p w:rsidR="002A0FE5" w:rsidRPr="00374DA7" w:rsidRDefault="002A0FE5" w:rsidP="00B478D7">
      <w:pPr>
        <w:pStyle w:val="Texte1"/>
        <w:numPr>
          <w:ilvl w:val="0"/>
          <w:numId w:val="10"/>
        </w:numPr>
        <w:ind w:left="1135" w:hanging="284"/>
        <w:rPr>
          <w:lang w:val="fr-FR"/>
        </w:rPr>
      </w:pPr>
      <w:r w:rsidRPr="00374DA7">
        <w:rPr>
          <w:lang w:val="fr-FR"/>
        </w:rPr>
        <w:t xml:space="preserve">en établissant ou en consolidant de bonnes relations de travail avec </w:t>
      </w:r>
      <w:r w:rsidR="000F5A16" w:rsidRPr="00374DA7">
        <w:rPr>
          <w:lang w:val="fr-FR"/>
        </w:rPr>
        <w:t>les autres États parties et l</w:t>
      </w:r>
      <w:r w:rsidRPr="00374DA7">
        <w:rPr>
          <w:lang w:val="fr-FR"/>
        </w:rPr>
        <w:t>es or</w:t>
      </w:r>
      <w:r w:rsidR="000F5A16" w:rsidRPr="00374DA7">
        <w:rPr>
          <w:lang w:val="fr-FR"/>
        </w:rPr>
        <w:t>ganisations dans d’autres États</w:t>
      </w:r>
      <w:r w:rsidRPr="00374DA7">
        <w:rPr>
          <w:lang w:val="fr-FR"/>
        </w:rPr>
        <w:t xml:space="preserve"> sur l</w:t>
      </w:r>
      <w:r w:rsidR="000F5A16" w:rsidRPr="00374DA7">
        <w:rPr>
          <w:lang w:val="fr-FR"/>
        </w:rPr>
        <w:t>a</w:t>
      </w:r>
      <w:r w:rsidRPr="00374DA7">
        <w:rPr>
          <w:lang w:val="fr-FR"/>
        </w:rPr>
        <w:t xml:space="preserve"> sauvegarde du PCI dans l’esprit de la </w:t>
      </w:r>
      <w:r w:rsidR="000F5A16" w:rsidRPr="00374DA7">
        <w:rPr>
          <w:lang w:val="fr-FR"/>
        </w:rPr>
        <w:t>Convention</w:t>
      </w:r>
      <w:r w:rsidR="00393A93" w:rsidRPr="00374DA7">
        <w:rPr>
          <w:lang w:val="fr-FR"/>
        </w:rPr>
        <w:t xml:space="preserve"> </w:t>
      </w:r>
      <w:r w:rsidR="000F5A16" w:rsidRPr="00374DA7">
        <w:rPr>
          <w:lang w:val="fr-FR"/>
        </w:rPr>
        <w:t>par la</w:t>
      </w:r>
      <w:r w:rsidR="00393A93" w:rsidRPr="00374DA7">
        <w:rPr>
          <w:lang w:val="fr-FR"/>
        </w:rPr>
        <w:t xml:space="preserve"> coopération au niveau régional ou internati</w:t>
      </w:r>
      <w:r w:rsidR="000F5A16" w:rsidRPr="00374DA7">
        <w:rPr>
          <w:lang w:val="fr-FR"/>
        </w:rPr>
        <w:t>onal, que ce soit</w:t>
      </w:r>
      <w:r w:rsidR="00393A93" w:rsidRPr="00374DA7">
        <w:rPr>
          <w:lang w:val="fr-FR"/>
        </w:rPr>
        <w:t xml:space="preserve"> en organisant </w:t>
      </w:r>
      <w:r w:rsidR="005520A7" w:rsidRPr="00374DA7">
        <w:rPr>
          <w:lang w:val="fr-FR"/>
        </w:rPr>
        <w:t>la</w:t>
      </w:r>
      <w:r w:rsidR="00393A93" w:rsidRPr="00374DA7">
        <w:rPr>
          <w:lang w:val="fr-FR"/>
        </w:rPr>
        <w:t xml:space="preserve"> sauvegarde et </w:t>
      </w:r>
      <w:r w:rsidR="005520A7" w:rsidRPr="00374DA7">
        <w:rPr>
          <w:lang w:val="fr-FR"/>
        </w:rPr>
        <w:t>l’</w:t>
      </w:r>
      <w:r w:rsidR="00393A93" w:rsidRPr="00374DA7">
        <w:rPr>
          <w:lang w:val="fr-FR"/>
        </w:rPr>
        <w:t>inventaire conjoints d’éléments d</w:t>
      </w:r>
      <w:r w:rsidR="00F944A1" w:rsidRPr="00374DA7">
        <w:rPr>
          <w:lang w:val="fr-FR"/>
        </w:rPr>
        <w:t>u PCI transfrontaliers, et/ou en</w:t>
      </w:r>
      <w:r w:rsidR="00393A93" w:rsidRPr="00374DA7">
        <w:rPr>
          <w:lang w:val="fr-FR"/>
        </w:rPr>
        <w:t xml:space="preserve"> proposant </w:t>
      </w:r>
      <w:r w:rsidR="005520A7" w:rsidRPr="00374DA7">
        <w:rPr>
          <w:lang w:val="fr-FR"/>
        </w:rPr>
        <w:t>la candidature de ce patrimoine</w:t>
      </w:r>
      <w:r w:rsidR="00393A93" w:rsidRPr="00374DA7">
        <w:rPr>
          <w:lang w:val="fr-FR"/>
        </w:rPr>
        <w:t xml:space="preserve"> sur les Listes d</w:t>
      </w:r>
      <w:r w:rsidR="005520A7" w:rsidRPr="00374DA7">
        <w:rPr>
          <w:lang w:val="fr-FR"/>
        </w:rPr>
        <w:t>e la Convention</w:t>
      </w:r>
      <w:r w:rsidR="000F5A16" w:rsidRPr="00374DA7">
        <w:rPr>
          <w:lang w:val="fr-FR"/>
        </w:rPr>
        <w:t> ;</w:t>
      </w:r>
      <w:r w:rsidR="00393A93" w:rsidRPr="00374DA7">
        <w:rPr>
          <w:lang w:val="fr-FR"/>
        </w:rPr>
        <w:t xml:space="preserve"> et </w:t>
      </w:r>
    </w:p>
    <w:p w:rsidR="005520A7" w:rsidRPr="00374DA7" w:rsidRDefault="00393A93" w:rsidP="00B478D7">
      <w:pPr>
        <w:pStyle w:val="Texte1"/>
        <w:numPr>
          <w:ilvl w:val="0"/>
          <w:numId w:val="10"/>
        </w:numPr>
        <w:ind w:left="1135" w:hanging="284"/>
        <w:rPr>
          <w:lang w:val="fr-FR"/>
        </w:rPr>
      </w:pPr>
      <w:r w:rsidRPr="00374DA7">
        <w:rPr>
          <w:lang w:val="fr-FR"/>
        </w:rPr>
        <w:t>en participant aux Organes de la Convention.</w:t>
      </w:r>
    </w:p>
    <w:p w:rsidR="00393A93" w:rsidRPr="00374DA7" w:rsidRDefault="005520A7" w:rsidP="00B478D7">
      <w:pPr>
        <w:pStyle w:val="Texte1"/>
        <w:numPr>
          <w:ilvl w:val="0"/>
          <w:numId w:val="10"/>
        </w:numPr>
        <w:ind w:left="1135" w:hanging="284"/>
        <w:rPr>
          <w:lang w:val="fr-FR"/>
        </w:rPr>
      </w:pPr>
      <w:r w:rsidRPr="00374DA7">
        <w:rPr>
          <w:lang w:val="fr-FR"/>
        </w:rPr>
        <w:lastRenderedPageBreak/>
        <w:t>Les États, les ONG et les communautés concernées peuvent</w:t>
      </w:r>
      <w:r w:rsidR="0008015B" w:rsidRPr="00374DA7">
        <w:rPr>
          <w:lang w:val="fr-FR"/>
        </w:rPr>
        <w:t xml:space="preserve"> jouir des mêmes </w:t>
      </w:r>
      <w:r w:rsidRPr="00374DA7">
        <w:rPr>
          <w:lang w:val="fr-FR"/>
        </w:rPr>
        <w:t xml:space="preserve">avantages </w:t>
      </w:r>
      <w:r w:rsidR="0008015B" w:rsidRPr="00374DA7">
        <w:rPr>
          <w:lang w:val="fr-FR"/>
        </w:rPr>
        <w:t xml:space="preserve">et prestations </w:t>
      </w:r>
      <w:r w:rsidRPr="00374DA7">
        <w:rPr>
          <w:lang w:val="fr-FR"/>
        </w:rPr>
        <w:t xml:space="preserve">à des </w:t>
      </w:r>
      <w:r w:rsidR="0008015B" w:rsidRPr="00374DA7">
        <w:rPr>
          <w:lang w:val="fr-FR"/>
        </w:rPr>
        <w:t>degrés divers</w:t>
      </w:r>
      <w:r w:rsidRPr="00374DA7">
        <w:rPr>
          <w:lang w:val="fr-FR"/>
        </w:rPr>
        <w:t xml:space="preserve"> lorsque les États deviennent parties à toutes les Conventions de l’UNESCO sur la pr</w:t>
      </w:r>
      <w:r w:rsidR="0008015B" w:rsidRPr="00374DA7">
        <w:rPr>
          <w:lang w:val="fr-FR"/>
        </w:rPr>
        <w:t>otection du patrimoine culturel.</w:t>
      </w:r>
    </w:p>
    <w:p w:rsidR="00393A93" w:rsidRPr="00374DA7" w:rsidRDefault="00393A93" w:rsidP="0008015B">
      <w:pPr>
        <w:pStyle w:val="Titcoul"/>
        <w:spacing w:before="480"/>
        <w:rPr>
          <w:color w:val="000000" w:themeColor="text1"/>
          <w:sz w:val="20"/>
          <w:lang w:val="fr-FR"/>
        </w:rPr>
      </w:pPr>
      <w:r w:rsidRPr="00374DA7">
        <w:rPr>
          <w:color w:val="000000" w:themeColor="text1"/>
          <w:sz w:val="20"/>
          <w:lang w:val="fr-FR"/>
        </w:rPr>
        <w:t>PRÉPARATION DE LA RATIFICATION</w:t>
      </w:r>
    </w:p>
    <w:p w:rsidR="008E6FD9" w:rsidRPr="00374DA7" w:rsidRDefault="00183CEA" w:rsidP="00AE6520">
      <w:pPr>
        <w:pStyle w:val="Texte1"/>
        <w:rPr>
          <w:lang w:val="fr-FR"/>
        </w:rPr>
      </w:pPr>
      <w:r w:rsidRPr="00374DA7">
        <w:rPr>
          <w:lang w:val="fr-FR"/>
        </w:rPr>
        <w:t>Rien n’oblige</w:t>
      </w:r>
      <w:r w:rsidR="008E6FD9" w:rsidRPr="00374DA7">
        <w:rPr>
          <w:lang w:val="fr-FR"/>
        </w:rPr>
        <w:t xml:space="preserve"> un État </w:t>
      </w:r>
      <w:r w:rsidRPr="00374DA7">
        <w:rPr>
          <w:lang w:val="fr-FR"/>
        </w:rPr>
        <w:t>à</w:t>
      </w:r>
      <w:r w:rsidR="008E6FD9" w:rsidRPr="00374DA7">
        <w:rPr>
          <w:lang w:val="fr-FR"/>
        </w:rPr>
        <w:t xml:space="preserve"> mettre en place ou </w:t>
      </w:r>
      <w:r w:rsidR="00D95D07">
        <w:rPr>
          <w:lang w:val="fr-FR"/>
        </w:rPr>
        <w:t xml:space="preserve">à </w:t>
      </w:r>
      <w:r w:rsidR="00393A93" w:rsidRPr="00374DA7">
        <w:rPr>
          <w:lang w:val="fr-FR"/>
        </w:rPr>
        <w:t xml:space="preserve">développer des activités, des structures, des réseaux ou une législation </w:t>
      </w:r>
      <w:r w:rsidR="005211BB" w:rsidRPr="00374DA7">
        <w:rPr>
          <w:lang w:val="fr-FR"/>
        </w:rPr>
        <w:t>li</w:t>
      </w:r>
      <w:r w:rsidR="00393A93" w:rsidRPr="00374DA7">
        <w:rPr>
          <w:lang w:val="fr-FR"/>
        </w:rPr>
        <w:t>és au PCI avant la ratification.</w:t>
      </w:r>
      <w:r w:rsidR="008E6FD9" w:rsidRPr="00374DA7">
        <w:rPr>
          <w:lang w:val="fr-FR"/>
        </w:rPr>
        <w:t xml:space="preserve"> </w:t>
      </w:r>
      <w:r w:rsidRPr="00374DA7">
        <w:rPr>
          <w:lang w:val="fr-FR"/>
        </w:rPr>
        <w:t>Il n’est pas indispensable, p</w:t>
      </w:r>
      <w:r w:rsidR="008E6FD9" w:rsidRPr="00374DA7">
        <w:rPr>
          <w:lang w:val="fr-FR"/>
        </w:rPr>
        <w:t xml:space="preserve">ar exemple, </w:t>
      </w:r>
      <w:r w:rsidRPr="00374DA7">
        <w:rPr>
          <w:lang w:val="fr-FR"/>
        </w:rPr>
        <w:t>de dresser d</w:t>
      </w:r>
      <w:r w:rsidR="008E6FD9" w:rsidRPr="00374DA7">
        <w:rPr>
          <w:lang w:val="fr-FR"/>
        </w:rPr>
        <w:t xml:space="preserve">es inventaires du PCI </w:t>
      </w:r>
      <w:r w:rsidRPr="00374DA7">
        <w:rPr>
          <w:lang w:val="fr-FR"/>
        </w:rPr>
        <w:t xml:space="preserve">situé </w:t>
      </w:r>
      <w:r w:rsidR="008E6FD9" w:rsidRPr="00374DA7">
        <w:rPr>
          <w:lang w:val="fr-FR"/>
        </w:rPr>
        <w:t xml:space="preserve">sur le territoire d’un État </w:t>
      </w:r>
      <w:r w:rsidR="005211BB" w:rsidRPr="00374DA7">
        <w:rPr>
          <w:lang w:val="fr-FR"/>
        </w:rPr>
        <w:t>pour pouvoir procéder à la ratification</w:t>
      </w:r>
      <w:r w:rsidR="00F40B4D">
        <w:rPr>
          <w:lang w:val="fr-FR"/>
        </w:rPr>
        <w:t>.</w:t>
      </w:r>
    </w:p>
    <w:p w:rsidR="008E6FD9" w:rsidRPr="00374DA7" w:rsidRDefault="004922AC" w:rsidP="00AE6520">
      <w:pPr>
        <w:pStyle w:val="Texte1"/>
        <w:rPr>
          <w:lang w:val="fr-FR"/>
        </w:rPr>
      </w:pPr>
      <w:r w:rsidRPr="00374DA7">
        <w:rPr>
          <w:lang w:val="fr-FR"/>
        </w:rPr>
        <w:t>Une fois devenu</w:t>
      </w:r>
      <w:r w:rsidR="00A6094B" w:rsidRPr="00374DA7">
        <w:rPr>
          <w:lang w:val="fr-FR"/>
        </w:rPr>
        <w:t xml:space="preserve"> un État partie, l’État </w:t>
      </w:r>
      <w:r w:rsidR="008E6FD9" w:rsidRPr="00374DA7">
        <w:rPr>
          <w:lang w:val="fr-FR"/>
        </w:rPr>
        <w:t>doit s</w:t>
      </w:r>
      <w:r w:rsidR="00A6094B" w:rsidRPr="00374DA7">
        <w:rPr>
          <w:lang w:val="fr-FR"/>
        </w:rPr>
        <w:t>’organis</w:t>
      </w:r>
      <w:r w:rsidR="008E6FD9" w:rsidRPr="00374DA7">
        <w:rPr>
          <w:lang w:val="fr-FR"/>
        </w:rPr>
        <w:t xml:space="preserve">er </w:t>
      </w:r>
      <w:r w:rsidRPr="00374DA7">
        <w:rPr>
          <w:lang w:val="fr-FR"/>
        </w:rPr>
        <w:t>consciencieus</w:t>
      </w:r>
      <w:r w:rsidR="008E6FD9" w:rsidRPr="00374DA7">
        <w:rPr>
          <w:lang w:val="fr-FR"/>
        </w:rPr>
        <w:t>ement avant d’entamer la mise en œuvre de la Conventio</w:t>
      </w:r>
      <w:r w:rsidR="001516B8" w:rsidRPr="00374DA7">
        <w:rPr>
          <w:lang w:val="fr-FR"/>
        </w:rPr>
        <w:t xml:space="preserve">n. Les États qui ont ratifié </w:t>
      </w:r>
      <w:r w:rsidRPr="00374DA7">
        <w:rPr>
          <w:lang w:val="fr-FR"/>
        </w:rPr>
        <w:t>sans</w:t>
      </w:r>
      <w:r w:rsidR="008E6FD9" w:rsidRPr="00374DA7">
        <w:rPr>
          <w:lang w:val="fr-FR"/>
        </w:rPr>
        <w:t xml:space="preserve"> préparation suffisante sont, en général, plus lents à mettre en œuvre </w:t>
      </w:r>
      <w:r w:rsidR="001516B8" w:rsidRPr="00374DA7">
        <w:rPr>
          <w:lang w:val="fr-FR"/>
        </w:rPr>
        <w:t>la Conv</w:t>
      </w:r>
      <w:r w:rsidRPr="00374DA7">
        <w:rPr>
          <w:lang w:val="fr-FR"/>
        </w:rPr>
        <w:t xml:space="preserve">ention au niveau national, </w:t>
      </w:r>
      <w:r w:rsidR="00F207B2" w:rsidRPr="00374DA7">
        <w:rPr>
          <w:lang w:val="fr-FR"/>
        </w:rPr>
        <w:t xml:space="preserve">se concentrent </w:t>
      </w:r>
      <w:r w:rsidRPr="00374DA7">
        <w:rPr>
          <w:lang w:val="fr-FR"/>
        </w:rPr>
        <w:t xml:space="preserve">souvent </w:t>
      </w:r>
      <w:r w:rsidR="008E6FD9" w:rsidRPr="00374DA7">
        <w:rPr>
          <w:lang w:val="fr-FR"/>
        </w:rPr>
        <w:t>sur des actions i</w:t>
      </w:r>
      <w:r w:rsidRPr="00374DA7">
        <w:rPr>
          <w:lang w:val="fr-FR"/>
        </w:rPr>
        <w:t>solé</w:t>
      </w:r>
      <w:r w:rsidR="008E6FD9" w:rsidRPr="00374DA7">
        <w:rPr>
          <w:lang w:val="fr-FR"/>
        </w:rPr>
        <w:t xml:space="preserve">es </w:t>
      </w:r>
      <w:r w:rsidRPr="00374DA7">
        <w:rPr>
          <w:lang w:val="fr-FR"/>
        </w:rPr>
        <w:t>comme</w:t>
      </w:r>
      <w:r w:rsidR="008E6FD9" w:rsidRPr="00374DA7">
        <w:rPr>
          <w:lang w:val="fr-FR"/>
        </w:rPr>
        <w:t xml:space="preserve"> la préparation de </w:t>
      </w:r>
      <w:r w:rsidRPr="00374DA7">
        <w:rPr>
          <w:lang w:val="fr-FR"/>
        </w:rPr>
        <w:t>candidatures po</w:t>
      </w:r>
      <w:r w:rsidR="008E6FD9" w:rsidRPr="00374DA7">
        <w:rPr>
          <w:lang w:val="fr-FR"/>
        </w:rPr>
        <w:t>ur la LR et néglige</w:t>
      </w:r>
      <w:r w:rsidR="001516B8" w:rsidRPr="00374DA7">
        <w:rPr>
          <w:lang w:val="fr-FR"/>
        </w:rPr>
        <w:t>nt</w:t>
      </w:r>
      <w:r w:rsidR="00F207B2" w:rsidRPr="00374DA7">
        <w:rPr>
          <w:lang w:val="fr-FR"/>
        </w:rPr>
        <w:t xml:space="preserve"> les mesures plus générales pour</w:t>
      </w:r>
      <w:r w:rsidR="008E6FD9" w:rsidRPr="00374DA7">
        <w:rPr>
          <w:lang w:val="fr-FR"/>
        </w:rPr>
        <w:t xml:space="preserve"> la sauvegarde du PCI </w:t>
      </w:r>
      <w:r w:rsidR="00F207B2" w:rsidRPr="00374DA7">
        <w:rPr>
          <w:lang w:val="fr-FR"/>
        </w:rPr>
        <w:t>sur</w:t>
      </w:r>
      <w:r w:rsidR="00F40B4D">
        <w:rPr>
          <w:lang w:val="fr-FR"/>
        </w:rPr>
        <w:t xml:space="preserve"> leur territoire.</w:t>
      </w:r>
    </w:p>
    <w:p w:rsidR="001516B8" w:rsidRPr="00374DA7" w:rsidRDefault="001516B8" w:rsidP="00AE6520">
      <w:pPr>
        <w:pStyle w:val="Texte1"/>
        <w:rPr>
          <w:lang w:val="fr-FR"/>
        </w:rPr>
      </w:pPr>
      <w:r w:rsidRPr="00374DA7">
        <w:rPr>
          <w:lang w:val="fr-FR"/>
        </w:rPr>
        <w:t>Les Éta</w:t>
      </w:r>
      <w:r w:rsidR="005F0DE2" w:rsidRPr="00374DA7">
        <w:rPr>
          <w:lang w:val="fr-FR"/>
        </w:rPr>
        <w:t>ts (et leurs acteurs pertinents</w:t>
      </w:r>
      <w:r w:rsidRPr="00374DA7">
        <w:rPr>
          <w:lang w:val="fr-FR"/>
        </w:rPr>
        <w:t xml:space="preserve">, y compris les communautés </w:t>
      </w:r>
      <w:r w:rsidR="00F207B2" w:rsidRPr="00374DA7">
        <w:rPr>
          <w:lang w:val="fr-FR"/>
        </w:rPr>
        <w:t>concern</w:t>
      </w:r>
      <w:r w:rsidRPr="00374DA7">
        <w:rPr>
          <w:lang w:val="fr-FR"/>
        </w:rPr>
        <w:t>ées) se préparent à la ratification de différentes façons</w:t>
      </w:r>
      <w:r w:rsidR="005F0DE2" w:rsidRPr="00374DA7">
        <w:rPr>
          <w:lang w:val="fr-FR"/>
        </w:rPr>
        <w:t xml:space="preserve"> en fonction de leur situation</w:t>
      </w:r>
      <w:r w:rsidRPr="00374DA7">
        <w:rPr>
          <w:lang w:val="fr-FR"/>
        </w:rPr>
        <w:t xml:space="preserve">. Si certaines des actions préparatoires recommandées </w:t>
      </w:r>
      <w:r w:rsidR="005F0DE2" w:rsidRPr="00374DA7">
        <w:rPr>
          <w:lang w:val="fr-FR"/>
        </w:rPr>
        <w:t>ici</w:t>
      </w:r>
      <w:r w:rsidRPr="00374DA7">
        <w:rPr>
          <w:lang w:val="fr-FR"/>
        </w:rPr>
        <w:t xml:space="preserve"> </w:t>
      </w:r>
      <w:r w:rsidR="005F0DE2" w:rsidRPr="00374DA7">
        <w:rPr>
          <w:lang w:val="fr-FR"/>
        </w:rPr>
        <w:t>s</w:t>
      </w:r>
      <w:r w:rsidRPr="00374DA7">
        <w:rPr>
          <w:lang w:val="fr-FR"/>
        </w:rPr>
        <w:t>ont mises en œuvre (</w:t>
      </w:r>
      <w:r w:rsidR="005F0DE2" w:rsidRPr="00374DA7">
        <w:rPr>
          <w:lang w:val="fr-FR"/>
        </w:rPr>
        <w:t xml:space="preserve">et </w:t>
      </w:r>
      <w:r w:rsidRPr="00374DA7">
        <w:rPr>
          <w:lang w:val="fr-FR"/>
        </w:rPr>
        <w:t>aucun</w:t>
      </w:r>
      <w:r w:rsidR="005F0DE2" w:rsidRPr="00374DA7">
        <w:rPr>
          <w:lang w:val="fr-FR"/>
        </w:rPr>
        <w:t>e</w:t>
      </w:r>
      <w:r w:rsidRPr="00374DA7">
        <w:rPr>
          <w:lang w:val="fr-FR"/>
        </w:rPr>
        <w:t xml:space="preserve"> n’</w:t>
      </w:r>
      <w:r w:rsidR="005F0DE2" w:rsidRPr="00374DA7">
        <w:rPr>
          <w:lang w:val="fr-FR"/>
        </w:rPr>
        <w:t>est</w:t>
      </w:r>
      <w:r w:rsidRPr="00374DA7">
        <w:rPr>
          <w:lang w:val="fr-FR"/>
        </w:rPr>
        <w:t xml:space="preserve"> obligatoire), elles peuvent </w:t>
      </w:r>
      <w:r w:rsidR="0013627D" w:rsidRPr="00374DA7">
        <w:rPr>
          <w:lang w:val="fr-FR"/>
        </w:rPr>
        <w:t>figurer</w:t>
      </w:r>
      <w:r w:rsidRPr="00374DA7">
        <w:rPr>
          <w:lang w:val="fr-FR"/>
        </w:rPr>
        <w:t xml:space="preserve"> dans les r</w:t>
      </w:r>
      <w:r w:rsidR="0013627D" w:rsidRPr="00374DA7">
        <w:rPr>
          <w:lang w:val="fr-FR"/>
        </w:rPr>
        <w:t>apports rédigés pour les minist</w:t>
      </w:r>
      <w:r w:rsidRPr="00374DA7">
        <w:rPr>
          <w:lang w:val="fr-FR"/>
        </w:rPr>
        <w:t>res</w:t>
      </w:r>
      <w:r w:rsidR="00D95D07">
        <w:rPr>
          <w:lang w:val="fr-FR"/>
        </w:rPr>
        <w:t xml:space="preserve"> ou</w:t>
      </w:r>
      <w:r w:rsidR="00022DC5" w:rsidRPr="00374DA7">
        <w:rPr>
          <w:lang w:val="fr-FR"/>
        </w:rPr>
        <w:t xml:space="preserve"> les organismes gouvernementaux à propos de la ratification de la Convention.</w:t>
      </w:r>
    </w:p>
    <w:p w:rsidR="00022DC5" w:rsidRPr="00374DA7" w:rsidRDefault="00022DC5" w:rsidP="00AE6520">
      <w:pPr>
        <w:pStyle w:val="Texte1"/>
        <w:rPr>
          <w:lang w:val="fr-FR"/>
        </w:rPr>
      </w:pPr>
      <w:r w:rsidRPr="00374DA7">
        <w:rPr>
          <w:lang w:val="fr-FR"/>
        </w:rPr>
        <w:t xml:space="preserve">Lorsque </w:t>
      </w:r>
      <w:r w:rsidR="00E00854" w:rsidRPr="00374DA7">
        <w:rPr>
          <w:lang w:val="fr-FR"/>
        </w:rPr>
        <w:t xml:space="preserve">la ratification de la Convention semble obtenir </w:t>
      </w:r>
      <w:r w:rsidRPr="00374DA7">
        <w:rPr>
          <w:lang w:val="fr-FR"/>
        </w:rPr>
        <w:t xml:space="preserve">le soutien </w:t>
      </w:r>
      <w:r w:rsidR="00E00854" w:rsidRPr="00374DA7">
        <w:rPr>
          <w:lang w:val="fr-FR"/>
        </w:rPr>
        <w:t xml:space="preserve">suffisant des </w:t>
      </w:r>
      <w:r w:rsidRPr="00374DA7">
        <w:rPr>
          <w:lang w:val="fr-FR"/>
        </w:rPr>
        <w:t>diverses parties prenantes</w:t>
      </w:r>
      <w:r w:rsidR="00E00854" w:rsidRPr="00374DA7">
        <w:rPr>
          <w:lang w:val="fr-FR"/>
        </w:rPr>
        <w:t>,</w:t>
      </w:r>
      <w:r w:rsidR="002848C7" w:rsidRPr="00374DA7">
        <w:rPr>
          <w:lang w:val="fr-FR"/>
        </w:rPr>
        <w:t xml:space="preserve"> y compris d</w:t>
      </w:r>
      <w:r w:rsidRPr="00374DA7">
        <w:rPr>
          <w:lang w:val="fr-FR"/>
        </w:rPr>
        <w:t xml:space="preserve">es </w:t>
      </w:r>
      <w:r w:rsidR="00E00854" w:rsidRPr="00374DA7">
        <w:rPr>
          <w:lang w:val="fr-FR"/>
        </w:rPr>
        <w:t xml:space="preserve">hauts </w:t>
      </w:r>
      <w:r w:rsidR="002848C7" w:rsidRPr="00374DA7">
        <w:rPr>
          <w:lang w:val="fr-FR"/>
        </w:rPr>
        <w:t xml:space="preserve">fonctionnaires et du monde </w:t>
      </w:r>
      <w:r w:rsidR="00E00854" w:rsidRPr="00374DA7">
        <w:rPr>
          <w:lang w:val="fr-FR"/>
        </w:rPr>
        <w:t>p</w:t>
      </w:r>
      <w:r w:rsidR="002848C7" w:rsidRPr="00374DA7">
        <w:rPr>
          <w:lang w:val="fr-FR"/>
        </w:rPr>
        <w:t xml:space="preserve">olitique, il est possible d’entreprendre des </w:t>
      </w:r>
      <w:r w:rsidRPr="00374DA7">
        <w:rPr>
          <w:lang w:val="fr-FR"/>
        </w:rPr>
        <w:t>activités préparatoires</w:t>
      </w:r>
      <w:r w:rsidR="002848C7" w:rsidRPr="00374DA7">
        <w:rPr>
          <w:lang w:val="fr-FR"/>
        </w:rPr>
        <w:t>, en particulier</w:t>
      </w:r>
      <w:r w:rsidRPr="00374DA7">
        <w:rPr>
          <w:lang w:val="fr-FR"/>
        </w:rPr>
        <w:t> :</w:t>
      </w:r>
    </w:p>
    <w:p w:rsidR="00022DC5" w:rsidRPr="00374DA7" w:rsidRDefault="002848C7" w:rsidP="00B478D7">
      <w:pPr>
        <w:pStyle w:val="Heading4"/>
        <w:spacing w:before="0" w:after="80" w:line="280" w:lineRule="exact"/>
        <w:ind w:left="851"/>
        <w:rPr>
          <w:caps w:val="0"/>
          <w:lang w:val="fr-FR"/>
        </w:rPr>
      </w:pPr>
      <w:r w:rsidRPr="00374DA7">
        <w:rPr>
          <w:caps w:val="0"/>
          <w:lang w:val="fr-FR"/>
        </w:rPr>
        <w:t>Une v</w:t>
      </w:r>
      <w:r w:rsidR="00131B35" w:rsidRPr="00374DA7">
        <w:rPr>
          <w:caps w:val="0"/>
          <w:lang w:val="fr-FR"/>
        </w:rPr>
        <w:t xml:space="preserve">aste sensibilisation au PCI, à </w:t>
      </w:r>
      <w:r w:rsidR="00C97DD6" w:rsidRPr="00374DA7">
        <w:rPr>
          <w:caps w:val="0"/>
          <w:lang w:val="fr-FR"/>
        </w:rPr>
        <w:t>la</w:t>
      </w:r>
      <w:r w:rsidR="00022DC5" w:rsidRPr="00374DA7">
        <w:rPr>
          <w:caps w:val="0"/>
          <w:lang w:val="fr-FR"/>
        </w:rPr>
        <w:t xml:space="preserve"> C</w:t>
      </w:r>
      <w:r w:rsidR="00C97DD6" w:rsidRPr="00374DA7">
        <w:rPr>
          <w:caps w:val="0"/>
          <w:lang w:val="fr-FR"/>
        </w:rPr>
        <w:t>onvention et</w:t>
      </w:r>
      <w:r w:rsidR="00E23B9C" w:rsidRPr="00374DA7">
        <w:rPr>
          <w:caps w:val="0"/>
          <w:lang w:val="fr-FR"/>
        </w:rPr>
        <w:t xml:space="preserve"> </w:t>
      </w:r>
      <w:r w:rsidR="00131B35" w:rsidRPr="00374DA7">
        <w:rPr>
          <w:caps w:val="0"/>
          <w:lang w:val="fr-FR"/>
        </w:rPr>
        <w:t xml:space="preserve">à </w:t>
      </w:r>
      <w:r w:rsidR="00C97DD6" w:rsidRPr="00374DA7">
        <w:rPr>
          <w:caps w:val="0"/>
          <w:lang w:val="fr-FR"/>
        </w:rPr>
        <w:t>l</w:t>
      </w:r>
      <w:r w:rsidR="00131B35" w:rsidRPr="00374DA7">
        <w:rPr>
          <w:caps w:val="0"/>
          <w:lang w:val="fr-FR"/>
        </w:rPr>
        <w:t>’importance</w:t>
      </w:r>
      <w:r w:rsidR="00C97DD6" w:rsidRPr="00374DA7">
        <w:rPr>
          <w:caps w:val="0"/>
          <w:lang w:val="fr-FR"/>
        </w:rPr>
        <w:t xml:space="preserve"> de</w:t>
      </w:r>
      <w:r w:rsidR="00D95D07">
        <w:rPr>
          <w:caps w:val="0"/>
          <w:lang w:val="fr-FR"/>
        </w:rPr>
        <w:t xml:space="preserve"> sa ratification</w:t>
      </w:r>
    </w:p>
    <w:p w:rsidR="00E23B9C" w:rsidRPr="00374DA7" w:rsidRDefault="00E23B9C" w:rsidP="00AE6520">
      <w:pPr>
        <w:pStyle w:val="Texte1"/>
        <w:rPr>
          <w:lang w:val="fr-FR"/>
        </w:rPr>
      </w:pPr>
      <w:r w:rsidRPr="00374DA7">
        <w:rPr>
          <w:lang w:val="fr-FR"/>
        </w:rPr>
        <w:t>Idéalement, c’est avant et pendant la préparation d</w:t>
      </w:r>
      <w:r w:rsidR="001B2542" w:rsidRPr="00374DA7">
        <w:rPr>
          <w:lang w:val="fr-FR"/>
        </w:rPr>
        <w:t>e la ratification que tous les futur</w:t>
      </w:r>
      <w:r w:rsidRPr="00374DA7">
        <w:rPr>
          <w:lang w:val="fr-FR"/>
        </w:rPr>
        <w:t xml:space="preserve">s </w:t>
      </w:r>
      <w:r w:rsidR="001B2542" w:rsidRPr="00374DA7">
        <w:rPr>
          <w:lang w:val="fr-FR"/>
        </w:rPr>
        <w:t>acteurs</w:t>
      </w:r>
      <w:r w:rsidRPr="00374DA7">
        <w:rPr>
          <w:lang w:val="fr-FR"/>
        </w:rPr>
        <w:t xml:space="preserve"> d</w:t>
      </w:r>
      <w:r w:rsidR="001B2542" w:rsidRPr="00374DA7">
        <w:rPr>
          <w:lang w:val="fr-FR"/>
        </w:rPr>
        <w:t>evraient être informé</w:t>
      </w:r>
      <w:r w:rsidRPr="00374DA7">
        <w:rPr>
          <w:lang w:val="fr-FR"/>
        </w:rPr>
        <w:t>s de la Convention, des avant</w:t>
      </w:r>
      <w:r w:rsidR="00D30E57" w:rsidRPr="00374DA7">
        <w:rPr>
          <w:lang w:val="fr-FR"/>
        </w:rPr>
        <w:t>ages de sa</w:t>
      </w:r>
      <w:r w:rsidRPr="00374DA7">
        <w:rPr>
          <w:lang w:val="fr-FR"/>
        </w:rPr>
        <w:t xml:space="preserve"> ratification</w:t>
      </w:r>
      <w:r w:rsidR="00D30E57" w:rsidRPr="00374DA7">
        <w:rPr>
          <w:lang w:val="fr-FR"/>
        </w:rPr>
        <w:t>, des obligations qu</w:t>
      </w:r>
      <w:r w:rsidR="00D95D07">
        <w:rPr>
          <w:lang w:val="fr-FR"/>
        </w:rPr>
        <w:t>’elle impose</w:t>
      </w:r>
      <w:r w:rsidR="00D30E57" w:rsidRPr="00374DA7">
        <w:rPr>
          <w:lang w:val="fr-FR"/>
        </w:rPr>
        <w:t xml:space="preserve"> et des ressources </w:t>
      </w:r>
      <w:r w:rsidR="00D95D07">
        <w:rPr>
          <w:lang w:val="fr-FR"/>
        </w:rPr>
        <w:t>qu’elle exige</w:t>
      </w:r>
      <w:r w:rsidR="00D30E57" w:rsidRPr="00374DA7">
        <w:rPr>
          <w:lang w:val="fr-FR"/>
        </w:rPr>
        <w:t xml:space="preserve">. </w:t>
      </w:r>
      <w:r w:rsidR="00577BE0" w:rsidRPr="00374DA7">
        <w:rPr>
          <w:lang w:val="fr-FR"/>
        </w:rPr>
        <w:t>Cela peut impliquer de</w:t>
      </w:r>
      <w:r w:rsidR="00D30E57" w:rsidRPr="00374DA7">
        <w:rPr>
          <w:lang w:val="fr-FR"/>
        </w:rPr>
        <w:t> :</w:t>
      </w:r>
    </w:p>
    <w:p w:rsidR="00D30E57" w:rsidRPr="00374DA7" w:rsidRDefault="00577BE0" w:rsidP="00B478D7">
      <w:pPr>
        <w:pStyle w:val="Texte1"/>
        <w:numPr>
          <w:ilvl w:val="0"/>
          <w:numId w:val="10"/>
        </w:numPr>
        <w:ind w:left="1135" w:hanging="284"/>
        <w:rPr>
          <w:lang w:val="fr-FR"/>
        </w:rPr>
      </w:pPr>
      <w:r w:rsidRPr="00374DA7">
        <w:rPr>
          <w:lang w:val="fr-FR"/>
        </w:rPr>
        <w:t>faire t</w:t>
      </w:r>
      <w:r w:rsidR="00D30E57" w:rsidRPr="00374DA7">
        <w:rPr>
          <w:lang w:val="fr-FR"/>
        </w:rPr>
        <w:t>raduire le texte de la Convention dans les langues nationales ou locales (par le ministère</w:t>
      </w:r>
      <w:r w:rsidRPr="00374DA7">
        <w:rPr>
          <w:lang w:val="fr-FR"/>
        </w:rPr>
        <w:t xml:space="preserve">, les autorités locales, les ONG ou </w:t>
      </w:r>
      <w:r w:rsidR="00D30E57" w:rsidRPr="00374DA7">
        <w:rPr>
          <w:lang w:val="fr-FR"/>
        </w:rPr>
        <w:t>autre</w:t>
      </w:r>
      <w:r w:rsidRPr="00374DA7">
        <w:rPr>
          <w:lang w:val="fr-FR"/>
        </w:rPr>
        <w:t>s</w:t>
      </w:r>
      <w:r w:rsidR="00D30E57" w:rsidRPr="00374DA7">
        <w:rPr>
          <w:lang w:val="fr-FR"/>
        </w:rPr>
        <w:t xml:space="preserve"> institution</w:t>
      </w:r>
      <w:r w:rsidRPr="00374DA7">
        <w:rPr>
          <w:lang w:val="fr-FR"/>
        </w:rPr>
        <w:t xml:space="preserve">s compétentes), </w:t>
      </w:r>
      <w:r w:rsidR="00D95D07">
        <w:rPr>
          <w:lang w:val="fr-FR"/>
        </w:rPr>
        <w:t>en assurer la</w:t>
      </w:r>
      <w:r w:rsidRPr="00374DA7">
        <w:rPr>
          <w:lang w:val="fr-FR"/>
        </w:rPr>
        <w:t xml:space="preserve"> </w:t>
      </w:r>
      <w:r w:rsidR="00D30E57" w:rsidRPr="00374DA7">
        <w:rPr>
          <w:lang w:val="fr-FR"/>
        </w:rPr>
        <w:t>diffus</w:t>
      </w:r>
      <w:r w:rsidR="00D95D07">
        <w:rPr>
          <w:lang w:val="fr-FR"/>
        </w:rPr>
        <w:t>ion</w:t>
      </w:r>
      <w:r w:rsidR="00D30E57" w:rsidRPr="00374DA7">
        <w:rPr>
          <w:lang w:val="fr-FR"/>
        </w:rPr>
        <w:t xml:space="preserve"> et </w:t>
      </w:r>
      <w:r w:rsidRPr="00374DA7">
        <w:rPr>
          <w:lang w:val="fr-FR"/>
        </w:rPr>
        <w:t>en discuter largement</w:t>
      </w:r>
      <w:r w:rsidR="00D30E57" w:rsidRPr="00374DA7">
        <w:rPr>
          <w:lang w:val="fr-FR"/>
        </w:rPr>
        <w:t> ;</w:t>
      </w:r>
    </w:p>
    <w:p w:rsidR="00D30E57" w:rsidRPr="00374DA7" w:rsidRDefault="00D95D07" w:rsidP="00B478D7">
      <w:pPr>
        <w:pStyle w:val="Texte1"/>
        <w:numPr>
          <w:ilvl w:val="0"/>
          <w:numId w:val="10"/>
        </w:numPr>
        <w:ind w:left="1135" w:hanging="284"/>
        <w:rPr>
          <w:lang w:val="fr-FR"/>
        </w:rPr>
      </w:pPr>
      <w:r>
        <w:rPr>
          <w:lang w:val="fr-FR"/>
        </w:rPr>
        <w:t>recueilli</w:t>
      </w:r>
      <w:r w:rsidR="00D30E57" w:rsidRPr="00374DA7">
        <w:rPr>
          <w:lang w:val="fr-FR"/>
        </w:rPr>
        <w:t>r des informations sur le patrimoine immatériel prés</w:t>
      </w:r>
      <w:r w:rsidR="0025481E" w:rsidRPr="00374DA7">
        <w:rPr>
          <w:lang w:val="fr-FR"/>
        </w:rPr>
        <w:t>ent sur le territoire de l’État</w:t>
      </w:r>
      <w:r w:rsidR="00D30E57" w:rsidRPr="00374DA7">
        <w:rPr>
          <w:lang w:val="fr-FR"/>
        </w:rPr>
        <w:t xml:space="preserve"> et sur les </w:t>
      </w:r>
      <w:r w:rsidR="0025481E" w:rsidRPr="00374DA7">
        <w:rPr>
          <w:lang w:val="fr-FR"/>
        </w:rPr>
        <w:t>enjeux actuels et les</w:t>
      </w:r>
      <w:r w:rsidR="00D30E57" w:rsidRPr="00374DA7">
        <w:rPr>
          <w:lang w:val="fr-FR"/>
        </w:rPr>
        <w:t xml:space="preserve"> débats </w:t>
      </w:r>
      <w:r w:rsidR="0025481E" w:rsidRPr="00374DA7">
        <w:rPr>
          <w:lang w:val="fr-FR"/>
        </w:rPr>
        <w:t>qui s’y rapportent</w:t>
      </w:r>
      <w:r w:rsidR="00D30E57" w:rsidRPr="00374DA7">
        <w:rPr>
          <w:lang w:val="fr-FR"/>
        </w:rPr>
        <w:t> ;</w:t>
      </w:r>
    </w:p>
    <w:p w:rsidR="00D30E57" w:rsidRPr="00374DA7" w:rsidRDefault="00D95D07" w:rsidP="00B478D7">
      <w:pPr>
        <w:pStyle w:val="Texte1"/>
        <w:numPr>
          <w:ilvl w:val="0"/>
          <w:numId w:val="10"/>
        </w:numPr>
        <w:ind w:left="1135" w:hanging="284"/>
        <w:rPr>
          <w:lang w:val="fr-FR"/>
        </w:rPr>
      </w:pPr>
      <w:r>
        <w:rPr>
          <w:lang w:val="fr-FR"/>
        </w:rPr>
        <w:t>recueilli</w:t>
      </w:r>
      <w:r w:rsidR="007A3969" w:rsidRPr="00374DA7">
        <w:rPr>
          <w:lang w:val="fr-FR"/>
        </w:rPr>
        <w:t>r des informations sur tous les travaux d’</w:t>
      </w:r>
      <w:r w:rsidR="007B4502" w:rsidRPr="00374DA7">
        <w:rPr>
          <w:lang w:val="fr-FR"/>
        </w:rPr>
        <w:t xml:space="preserve">inventaire ou </w:t>
      </w:r>
      <w:r w:rsidR="007A3969" w:rsidRPr="00374DA7">
        <w:rPr>
          <w:lang w:val="fr-FR"/>
        </w:rPr>
        <w:t>de sauvegarde</w:t>
      </w:r>
      <w:r w:rsidR="007B4502" w:rsidRPr="00374DA7">
        <w:rPr>
          <w:lang w:val="fr-FR"/>
        </w:rPr>
        <w:t xml:space="preserve"> passé</w:t>
      </w:r>
      <w:r w:rsidR="007A3969" w:rsidRPr="00374DA7">
        <w:rPr>
          <w:lang w:val="fr-FR"/>
        </w:rPr>
        <w:t>s</w:t>
      </w:r>
      <w:r w:rsidR="007B4502" w:rsidRPr="00374DA7">
        <w:rPr>
          <w:lang w:val="fr-FR"/>
        </w:rPr>
        <w:t xml:space="preserve"> ou présent</w:t>
      </w:r>
      <w:r w:rsidR="007A3969" w:rsidRPr="00374DA7">
        <w:rPr>
          <w:lang w:val="fr-FR"/>
        </w:rPr>
        <w:t>s</w:t>
      </w:r>
      <w:r w:rsidR="007B4502" w:rsidRPr="00374DA7">
        <w:rPr>
          <w:lang w:val="fr-FR"/>
        </w:rPr>
        <w:t xml:space="preserve"> dans le pays ;</w:t>
      </w:r>
    </w:p>
    <w:p w:rsidR="007B4502" w:rsidRPr="00374DA7" w:rsidRDefault="00D95D07" w:rsidP="00B478D7">
      <w:pPr>
        <w:pStyle w:val="Texte1"/>
        <w:numPr>
          <w:ilvl w:val="0"/>
          <w:numId w:val="10"/>
        </w:numPr>
        <w:ind w:left="1135" w:hanging="284"/>
        <w:rPr>
          <w:lang w:val="fr-FR"/>
        </w:rPr>
      </w:pPr>
      <w:r>
        <w:rPr>
          <w:lang w:val="fr-FR"/>
        </w:rPr>
        <w:t>recueilli</w:t>
      </w:r>
      <w:r w:rsidR="007B4502" w:rsidRPr="00374DA7">
        <w:rPr>
          <w:lang w:val="fr-FR"/>
        </w:rPr>
        <w:t>r des informations sur les organis</w:t>
      </w:r>
      <w:r w:rsidR="007A3969" w:rsidRPr="00374DA7">
        <w:rPr>
          <w:lang w:val="fr-FR"/>
        </w:rPr>
        <w:t>mes</w:t>
      </w:r>
      <w:r w:rsidR="007B4502" w:rsidRPr="00374DA7">
        <w:rPr>
          <w:lang w:val="fr-FR"/>
        </w:rPr>
        <w:t xml:space="preserve"> et </w:t>
      </w:r>
      <w:r w:rsidR="007A3969" w:rsidRPr="00374DA7">
        <w:rPr>
          <w:lang w:val="fr-FR"/>
        </w:rPr>
        <w:t xml:space="preserve">les </w:t>
      </w:r>
      <w:r w:rsidR="007B4502" w:rsidRPr="00374DA7">
        <w:rPr>
          <w:lang w:val="fr-FR"/>
        </w:rPr>
        <w:t xml:space="preserve">réseaux </w:t>
      </w:r>
      <w:r w:rsidR="007A3969" w:rsidRPr="00374DA7">
        <w:rPr>
          <w:lang w:val="fr-FR"/>
        </w:rPr>
        <w:t xml:space="preserve">existants </w:t>
      </w:r>
      <w:r w:rsidR="00151026" w:rsidRPr="00374DA7">
        <w:rPr>
          <w:lang w:val="fr-FR"/>
        </w:rPr>
        <w:t>en matière de</w:t>
      </w:r>
      <w:r w:rsidR="007B4502" w:rsidRPr="00374DA7">
        <w:rPr>
          <w:lang w:val="fr-FR"/>
        </w:rPr>
        <w:t xml:space="preserve"> PCI (y compris au sein des communautés concernées)</w:t>
      </w:r>
      <w:r w:rsidR="007A3969" w:rsidRPr="00374DA7">
        <w:rPr>
          <w:lang w:val="fr-FR"/>
        </w:rPr>
        <w:t xml:space="preserve">, et </w:t>
      </w:r>
      <w:r w:rsidR="00ED42AE">
        <w:rPr>
          <w:lang w:val="fr-FR"/>
        </w:rPr>
        <w:t xml:space="preserve">sur </w:t>
      </w:r>
      <w:r w:rsidR="007A3969" w:rsidRPr="00374DA7">
        <w:rPr>
          <w:lang w:val="fr-FR"/>
        </w:rPr>
        <w:t>la législation</w:t>
      </w:r>
      <w:r w:rsidR="007B4502" w:rsidRPr="00374DA7">
        <w:rPr>
          <w:lang w:val="fr-FR"/>
        </w:rPr>
        <w:t xml:space="preserve">, </w:t>
      </w:r>
      <w:r w:rsidR="007A3969" w:rsidRPr="00374DA7">
        <w:rPr>
          <w:lang w:val="fr-FR"/>
        </w:rPr>
        <w:t>les politiques</w:t>
      </w:r>
      <w:r w:rsidR="00151026" w:rsidRPr="00374DA7">
        <w:rPr>
          <w:lang w:val="fr-FR"/>
        </w:rPr>
        <w:t xml:space="preserve"> et</w:t>
      </w:r>
      <w:r w:rsidR="007A3969" w:rsidRPr="00374DA7">
        <w:rPr>
          <w:lang w:val="fr-FR"/>
        </w:rPr>
        <w:t xml:space="preserve"> </w:t>
      </w:r>
      <w:r w:rsidR="00ED42AE">
        <w:rPr>
          <w:lang w:val="fr-FR"/>
        </w:rPr>
        <w:t>les</w:t>
      </w:r>
      <w:r w:rsidR="00151026" w:rsidRPr="00374DA7">
        <w:rPr>
          <w:lang w:val="fr-FR"/>
        </w:rPr>
        <w:t xml:space="preserve"> règles applicables</w:t>
      </w:r>
      <w:r w:rsidR="007B4502" w:rsidRPr="00374DA7">
        <w:rPr>
          <w:lang w:val="fr-FR"/>
        </w:rPr>
        <w:t> ;</w:t>
      </w:r>
    </w:p>
    <w:p w:rsidR="007B4502" w:rsidRPr="00374DA7" w:rsidRDefault="00ED42AE" w:rsidP="00B478D7">
      <w:pPr>
        <w:pStyle w:val="Texte1"/>
        <w:numPr>
          <w:ilvl w:val="0"/>
          <w:numId w:val="10"/>
        </w:numPr>
        <w:ind w:left="1135" w:hanging="284"/>
        <w:rPr>
          <w:lang w:val="fr-FR"/>
        </w:rPr>
      </w:pPr>
      <w:r>
        <w:rPr>
          <w:lang w:val="fr-FR"/>
        </w:rPr>
        <w:t>collecter</w:t>
      </w:r>
      <w:r w:rsidR="007B4502" w:rsidRPr="00374DA7">
        <w:rPr>
          <w:lang w:val="fr-FR"/>
        </w:rPr>
        <w:t xml:space="preserve"> des informations auprès de l’UNESCO e</w:t>
      </w:r>
      <w:r w:rsidR="00151026" w:rsidRPr="00374DA7">
        <w:rPr>
          <w:lang w:val="fr-FR"/>
        </w:rPr>
        <w:t>t recueillir les expériences de</w:t>
      </w:r>
      <w:r w:rsidR="007B4502" w:rsidRPr="00374DA7">
        <w:rPr>
          <w:lang w:val="fr-FR"/>
        </w:rPr>
        <w:t xml:space="preserve"> </w:t>
      </w:r>
      <w:r w:rsidR="00151026" w:rsidRPr="00374DA7">
        <w:rPr>
          <w:lang w:val="fr-FR"/>
        </w:rPr>
        <w:t>pays</w:t>
      </w:r>
      <w:r w:rsidR="007B4502" w:rsidRPr="00374DA7">
        <w:rPr>
          <w:lang w:val="fr-FR"/>
        </w:rPr>
        <w:t xml:space="preserve"> de la rég</w:t>
      </w:r>
      <w:r w:rsidR="00151026" w:rsidRPr="00374DA7">
        <w:rPr>
          <w:lang w:val="fr-FR"/>
        </w:rPr>
        <w:t>ion qui sont déjà États parties,</w:t>
      </w:r>
      <w:r w:rsidR="007B4502" w:rsidRPr="00374DA7">
        <w:rPr>
          <w:lang w:val="fr-FR"/>
        </w:rPr>
        <w:t xml:space="preserve"> </w:t>
      </w:r>
      <w:r w:rsidR="00151026" w:rsidRPr="00374DA7">
        <w:rPr>
          <w:lang w:val="fr-FR"/>
        </w:rPr>
        <w:t>sur</w:t>
      </w:r>
      <w:r w:rsidR="007B4502" w:rsidRPr="00374DA7">
        <w:rPr>
          <w:lang w:val="fr-FR"/>
        </w:rPr>
        <w:t xml:space="preserve"> la</w:t>
      </w:r>
      <w:r w:rsidR="00151026" w:rsidRPr="00374DA7">
        <w:rPr>
          <w:lang w:val="fr-FR"/>
        </w:rPr>
        <w:t xml:space="preserve"> mise en œuvre de la Convention ;</w:t>
      </w:r>
      <w:r w:rsidR="007B4502" w:rsidRPr="00374DA7">
        <w:rPr>
          <w:lang w:val="fr-FR"/>
        </w:rPr>
        <w:t xml:space="preserve"> et</w:t>
      </w:r>
    </w:p>
    <w:p w:rsidR="007B4502" w:rsidRPr="00374DA7" w:rsidRDefault="00C763B5" w:rsidP="00B478D7">
      <w:pPr>
        <w:pStyle w:val="Texte1"/>
        <w:numPr>
          <w:ilvl w:val="0"/>
          <w:numId w:val="10"/>
        </w:numPr>
        <w:ind w:left="1135" w:hanging="284"/>
        <w:rPr>
          <w:lang w:val="fr-FR"/>
        </w:rPr>
      </w:pPr>
      <w:r w:rsidRPr="00374DA7">
        <w:rPr>
          <w:lang w:val="fr-FR"/>
        </w:rPr>
        <w:t>conduire</w:t>
      </w:r>
      <w:r w:rsidR="007B4502" w:rsidRPr="00374DA7">
        <w:rPr>
          <w:lang w:val="fr-FR"/>
        </w:rPr>
        <w:t xml:space="preserve"> des campagnes média</w:t>
      </w:r>
      <w:r w:rsidR="00151026" w:rsidRPr="00374DA7">
        <w:rPr>
          <w:lang w:val="fr-FR"/>
        </w:rPr>
        <w:t>tique</w:t>
      </w:r>
      <w:r w:rsidR="007B4502" w:rsidRPr="00374DA7">
        <w:rPr>
          <w:lang w:val="fr-FR"/>
        </w:rPr>
        <w:t xml:space="preserve">s (y compris dans les </w:t>
      </w:r>
      <w:r w:rsidR="00151026" w:rsidRPr="00374DA7">
        <w:rPr>
          <w:lang w:val="fr-FR"/>
        </w:rPr>
        <w:t>réseaux</w:t>
      </w:r>
      <w:r w:rsidR="007B4502" w:rsidRPr="00374DA7">
        <w:rPr>
          <w:lang w:val="fr-FR"/>
        </w:rPr>
        <w:t xml:space="preserve"> sociaux comme Facebook) et une mobilisation des médias afin de </w:t>
      </w:r>
      <w:r w:rsidRPr="00374DA7">
        <w:rPr>
          <w:lang w:val="fr-FR"/>
        </w:rPr>
        <w:t xml:space="preserve">mieux faire connaître le PCI et </w:t>
      </w:r>
      <w:r w:rsidR="007B4502" w:rsidRPr="00374DA7">
        <w:rPr>
          <w:lang w:val="fr-FR"/>
        </w:rPr>
        <w:t xml:space="preserve">la Convention. Ces actions peuvent être </w:t>
      </w:r>
      <w:r w:rsidRPr="00374DA7">
        <w:rPr>
          <w:lang w:val="fr-FR"/>
        </w:rPr>
        <w:t>lancées par d</w:t>
      </w:r>
      <w:r w:rsidR="007B4502" w:rsidRPr="00374DA7">
        <w:rPr>
          <w:lang w:val="fr-FR"/>
        </w:rPr>
        <w:t xml:space="preserve">es communautés, des ONG, etc. </w:t>
      </w:r>
      <w:r w:rsidR="007B4502" w:rsidRPr="00374DA7">
        <w:rPr>
          <w:lang w:val="fr-FR"/>
        </w:rPr>
        <w:lastRenderedPageBreak/>
        <w:t xml:space="preserve">et </w:t>
      </w:r>
      <w:r w:rsidR="00552DF9">
        <w:rPr>
          <w:lang w:val="fr-FR"/>
        </w:rPr>
        <w:t>viser</w:t>
      </w:r>
      <w:r w:rsidRPr="00374DA7">
        <w:rPr>
          <w:lang w:val="fr-FR"/>
        </w:rPr>
        <w:t xml:space="preserve"> à informer le</w:t>
      </w:r>
      <w:r w:rsidR="007B4502" w:rsidRPr="00374DA7">
        <w:rPr>
          <w:lang w:val="fr-FR"/>
        </w:rPr>
        <w:t xml:space="preserve"> public</w:t>
      </w:r>
      <w:r w:rsidRPr="00374DA7">
        <w:rPr>
          <w:lang w:val="fr-FR"/>
        </w:rPr>
        <w:t>,</w:t>
      </w:r>
      <w:r w:rsidR="007B4502" w:rsidRPr="00374DA7">
        <w:rPr>
          <w:lang w:val="fr-FR"/>
        </w:rPr>
        <w:t xml:space="preserve"> mais </w:t>
      </w:r>
      <w:r w:rsidRPr="00374DA7">
        <w:rPr>
          <w:lang w:val="fr-FR"/>
        </w:rPr>
        <w:t>aussi à faire du lobbying auprès</w:t>
      </w:r>
      <w:r w:rsidR="007B4502" w:rsidRPr="00374DA7">
        <w:rPr>
          <w:lang w:val="fr-FR"/>
        </w:rPr>
        <w:t xml:space="preserve"> des </w:t>
      </w:r>
      <w:r w:rsidR="007D7E43" w:rsidRPr="00374DA7">
        <w:rPr>
          <w:lang w:val="fr-FR"/>
        </w:rPr>
        <w:t>organisa</w:t>
      </w:r>
      <w:r w:rsidRPr="00374DA7">
        <w:rPr>
          <w:lang w:val="fr-FR"/>
        </w:rPr>
        <w:t>tions de médias elles</w:t>
      </w:r>
      <w:r w:rsidR="007B4502" w:rsidRPr="00374DA7">
        <w:rPr>
          <w:lang w:val="fr-FR"/>
        </w:rPr>
        <w:t>-mêmes.</w:t>
      </w:r>
    </w:p>
    <w:p w:rsidR="007B4502" w:rsidRPr="00374DA7" w:rsidRDefault="007B4502" w:rsidP="00AE6C46">
      <w:pPr>
        <w:pStyle w:val="Heading4"/>
        <w:spacing w:before="120"/>
        <w:ind w:left="851"/>
        <w:rPr>
          <w:caps w:val="0"/>
          <w:lang w:val="fr-FR"/>
        </w:rPr>
      </w:pPr>
      <w:r w:rsidRPr="00374DA7">
        <w:rPr>
          <w:caps w:val="0"/>
          <w:lang w:val="fr-FR"/>
        </w:rPr>
        <w:t>I</w:t>
      </w:r>
      <w:r w:rsidR="00B31D09" w:rsidRPr="00374DA7">
        <w:rPr>
          <w:caps w:val="0"/>
          <w:lang w:val="fr-FR"/>
        </w:rPr>
        <w:t>mplication des parties prenantes</w:t>
      </w:r>
    </w:p>
    <w:p w:rsidR="007B4502" w:rsidRPr="00374DA7" w:rsidRDefault="004D16C6" w:rsidP="00B478D7">
      <w:pPr>
        <w:pStyle w:val="Texte1"/>
        <w:numPr>
          <w:ilvl w:val="0"/>
          <w:numId w:val="10"/>
        </w:numPr>
        <w:ind w:left="1135" w:hanging="284"/>
        <w:rPr>
          <w:lang w:val="fr-FR"/>
        </w:rPr>
      </w:pPr>
      <w:r w:rsidRPr="00374DA7">
        <w:rPr>
          <w:lang w:val="fr-FR"/>
        </w:rPr>
        <w:t>Consult</w:t>
      </w:r>
      <w:r w:rsidR="007B4502" w:rsidRPr="00374DA7">
        <w:rPr>
          <w:lang w:val="fr-FR"/>
        </w:rPr>
        <w:t xml:space="preserve">er les membres des communautés </w:t>
      </w:r>
      <w:r w:rsidRPr="00374DA7">
        <w:rPr>
          <w:lang w:val="fr-FR"/>
        </w:rPr>
        <w:t>pour</w:t>
      </w:r>
      <w:r w:rsidR="007B4502" w:rsidRPr="00374DA7">
        <w:rPr>
          <w:lang w:val="fr-FR"/>
        </w:rPr>
        <w:t xml:space="preserve"> les informer des objectifs et des principes de la </w:t>
      </w:r>
      <w:r w:rsidR="00567466" w:rsidRPr="00374DA7">
        <w:rPr>
          <w:lang w:val="fr-FR"/>
        </w:rPr>
        <w:t>Convention, d</w:t>
      </w:r>
      <w:r w:rsidRPr="00374DA7">
        <w:rPr>
          <w:lang w:val="fr-FR"/>
        </w:rPr>
        <w:t>iscuter</w:t>
      </w:r>
      <w:r w:rsidR="00947373" w:rsidRPr="00374DA7">
        <w:rPr>
          <w:lang w:val="fr-FR"/>
        </w:rPr>
        <w:t xml:space="preserve"> de tous</w:t>
      </w:r>
      <w:r w:rsidR="00567466" w:rsidRPr="00374DA7">
        <w:rPr>
          <w:lang w:val="fr-FR"/>
        </w:rPr>
        <w:t xml:space="preserve"> </w:t>
      </w:r>
      <w:r w:rsidR="00947373" w:rsidRPr="00374DA7">
        <w:rPr>
          <w:lang w:val="fr-FR"/>
        </w:rPr>
        <w:t xml:space="preserve">les </w:t>
      </w:r>
      <w:r w:rsidR="00567466" w:rsidRPr="00374DA7">
        <w:rPr>
          <w:lang w:val="fr-FR"/>
        </w:rPr>
        <w:t>problème</w:t>
      </w:r>
      <w:r w:rsidR="00947373" w:rsidRPr="00374DA7">
        <w:rPr>
          <w:lang w:val="fr-FR"/>
        </w:rPr>
        <w:t>s</w:t>
      </w:r>
      <w:r w:rsidR="00567466" w:rsidRPr="00374DA7">
        <w:rPr>
          <w:lang w:val="fr-FR"/>
        </w:rPr>
        <w:t xml:space="preserve"> </w:t>
      </w:r>
      <w:r w:rsidR="00552DF9">
        <w:rPr>
          <w:lang w:val="fr-FR"/>
        </w:rPr>
        <w:t>qu’</w:t>
      </w:r>
      <w:r w:rsidR="00947373" w:rsidRPr="00374DA7">
        <w:rPr>
          <w:lang w:val="fr-FR"/>
        </w:rPr>
        <w:t xml:space="preserve">ils </w:t>
      </w:r>
      <w:r w:rsidR="00552DF9">
        <w:rPr>
          <w:lang w:val="fr-FR"/>
        </w:rPr>
        <w:t>rencontrent dans</w:t>
      </w:r>
      <w:r w:rsidR="00947373" w:rsidRPr="00374DA7">
        <w:rPr>
          <w:lang w:val="fr-FR"/>
        </w:rPr>
        <w:t xml:space="preserve"> la sauvegarde de leur</w:t>
      </w:r>
      <w:r w:rsidR="00567466" w:rsidRPr="00374DA7">
        <w:rPr>
          <w:lang w:val="fr-FR"/>
        </w:rPr>
        <w:t xml:space="preserve"> PCI et </w:t>
      </w:r>
      <w:r w:rsidR="00947373" w:rsidRPr="00374DA7">
        <w:rPr>
          <w:lang w:val="fr-FR"/>
        </w:rPr>
        <w:t>voir</w:t>
      </w:r>
      <w:r w:rsidR="00567466" w:rsidRPr="00374DA7">
        <w:rPr>
          <w:lang w:val="fr-FR"/>
        </w:rPr>
        <w:t xml:space="preserve"> </w:t>
      </w:r>
      <w:r w:rsidR="00552DF9">
        <w:rPr>
          <w:lang w:val="fr-FR"/>
        </w:rPr>
        <w:t>en quoi</w:t>
      </w:r>
      <w:r w:rsidR="00567466" w:rsidRPr="00374DA7">
        <w:rPr>
          <w:lang w:val="fr-FR"/>
        </w:rPr>
        <w:t xml:space="preserve"> l</w:t>
      </w:r>
      <w:r w:rsidR="00947373" w:rsidRPr="00374DA7">
        <w:rPr>
          <w:lang w:val="fr-FR"/>
        </w:rPr>
        <w:t xml:space="preserve">a ratification de la Convention peut les </w:t>
      </w:r>
      <w:r w:rsidR="00567466" w:rsidRPr="00374DA7">
        <w:rPr>
          <w:lang w:val="fr-FR"/>
        </w:rPr>
        <w:t>aider</w:t>
      </w:r>
      <w:r w:rsidR="00947373" w:rsidRPr="00374DA7">
        <w:rPr>
          <w:lang w:val="fr-FR"/>
        </w:rPr>
        <w:t xml:space="preserve"> dans cette tâche</w:t>
      </w:r>
      <w:r w:rsidR="00567466" w:rsidRPr="00374DA7">
        <w:rPr>
          <w:lang w:val="fr-FR"/>
        </w:rPr>
        <w:t> ;</w:t>
      </w:r>
    </w:p>
    <w:p w:rsidR="00567466" w:rsidRPr="00374DA7" w:rsidRDefault="00567466" w:rsidP="00B478D7">
      <w:pPr>
        <w:pStyle w:val="Texte1"/>
        <w:numPr>
          <w:ilvl w:val="0"/>
          <w:numId w:val="10"/>
        </w:numPr>
        <w:ind w:left="1135" w:hanging="284"/>
        <w:rPr>
          <w:lang w:val="fr-FR"/>
        </w:rPr>
      </w:pPr>
      <w:r w:rsidRPr="00374DA7">
        <w:rPr>
          <w:lang w:val="fr-FR"/>
        </w:rPr>
        <w:t xml:space="preserve">établir une </w:t>
      </w:r>
      <w:r w:rsidR="001E13EF" w:rsidRPr="00374DA7">
        <w:rPr>
          <w:lang w:val="fr-FR"/>
        </w:rPr>
        <w:t>coopération, développer la</w:t>
      </w:r>
      <w:r w:rsidRPr="00374DA7">
        <w:rPr>
          <w:lang w:val="fr-FR"/>
        </w:rPr>
        <w:t xml:space="preserve"> confiance</w:t>
      </w:r>
      <w:r w:rsidR="001E13EF" w:rsidRPr="00374DA7">
        <w:rPr>
          <w:lang w:val="fr-FR"/>
        </w:rPr>
        <w:t xml:space="preserve"> et des réseaux</w:t>
      </w:r>
      <w:r w:rsidRPr="00374DA7">
        <w:rPr>
          <w:lang w:val="fr-FR"/>
        </w:rPr>
        <w:t xml:space="preserve"> formels </w:t>
      </w:r>
      <w:r w:rsidR="001E13EF" w:rsidRPr="00374DA7">
        <w:rPr>
          <w:lang w:val="fr-FR"/>
        </w:rPr>
        <w:t>et informels entre les futurs partenaires dans</w:t>
      </w:r>
      <w:r w:rsidRPr="00374DA7">
        <w:rPr>
          <w:lang w:val="fr-FR"/>
        </w:rPr>
        <w:t xml:space="preserve"> la mise en œuvre de la Convention ;</w:t>
      </w:r>
    </w:p>
    <w:p w:rsidR="00567466" w:rsidRPr="00374DA7" w:rsidRDefault="00567466" w:rsidP="00B478D7">
      <w:pPr>
        <w:pStyle w:val="Texte1"/>
        <w:numPr>
          <w:ilvl w:val="0"/>
          <w:numId w:val="10"/>
        </w:numPr>
        <w:ind w:left="1135" w:hanging="284"/>
        <w:rPr>
          <w:lang w:val="fr-FR"/>
        </w:rPr>
      </w:pPr>
      <w:r w:rsidRPr="00374DA7">
        <w:rPr>
          <w:lang w:val="fr-FR"/>
        </w:rPr>
        <w:t xml:space="preserve">consulter les ONG et les organisations communautaires sur la ratification de la Convention et les </w:t>
      </w:r>
      <w:r w:rsidR="001E13EF" w:rsidRPr="00374DA7">
        <w:rPr>
          <w:lang w:val="fr-FR"/>
        </w:rPr>
        <w:t xml:space="preserve">moyens </w:t>
      </w:r>
      <w:r w:rsidRPr="00374DA7">
        <w:rPr>
          <w:lang w:val="fr-FR"/>
        </w:rPr>
        <w:t>possibles</w:t>
      </w:r>
      <w:r w:rsidR="00081721" w:rsidRPr="00374DA7">
        <w:rPr>
          <w:lang w:val="fr-FR"/>
        </w:rPr>
        <w:t xml:space="preserve"> de la mettr</w:t>
      </w:r>
      <w:r w:rsidR="001E13EF" w:rsidRPr="00374DA7">
        <w:rPr>
          <w:lang w:val="fr-FR"/>
        </w:rPr>
        <w:t>e</w:t>
      </w:r>
      <w:r w:rsidRPr="00374DA7">
        <w:rPr>
          <w:lang w:val="fr-FR"/>
        </w:rPr>
        <w:t xml:space="preserve"> en œuvre, d</w:t>
      </w:r>
      <w:r w:rsidR="00081721" w:rsidRPr="00374DA7">
        <w:rPr>
          <w:lang w:val="fr-FR"/>
        </w:rPr>
        <w:t>iscuter</w:t>
      </w:r>
      <w:r w:rsidRPr="00374DA7">
        <w:rPr>
          <w:lang w:val="fr-FR"/>
        </w:rPr>
        <w:t xml:space="preserve"> des responsabilités </w:t>
      </w:r>
      <w:r w:rsidR="00247C2C">
        <w:rPr>
          <w:lang w:val="fr-FR"/>
        </w:rPr>
        <w:t>éventuell</w:t>
      </w:r>
      <w:r w:rsidR="00081721" w:rsidRPr="00374DA7">
        <w:rPr>
          <w:lang w:val="fr-FR"/>
        </w:rPr>
        <w:t xml:space="preserve">es </w:t>
      </w:r>
      <w:r w:rsidR="00247C2C">
        <w:rPr>
          <w:lang w:val="fr-FR"/>
        </w:rPr>
        <w:t>d</w:t>
      </w:r>
      <w:r w:rsidR="00081721" w:rsidRPr="00374DA7">
        <w:rPr>
          <w:lang w:val="fr-FR"/>
        </w:rPr>
        <w:t>es organisations concernées ;</w:t>
      </w:r>
      <w:r w:rsidRPr="00374DA7">
        <w:rPr>
          <w:lang w:val="fr-FR"/>
        </w:rPr>
        <w:t xml:space="preserve"> et</w:t>
      </w:r>
    </w:p>
    <w:p w:rsidR="00567466" w:rsidRPr="00374DA7" w:rsidRDefault="00081721" w:rsidP="00B478D7">
      <w:pPr>
        <w:pStyle w:val="Texte1"/>
        <w:numPr>
          <w:ilvl w:val="0"/>
          <w:numId w:val="10"/>
        </w:numPr>
        <w:ind w:left="1135" w:hanging="284"/>
        <w:rPr>
          <w:lang w:val="fr-FR"/>
        </w:rPr>
      </w:pPr>
      <w:r w:rsidRPr="00374DA7">
        <w:rPr>
          <w:lang w:val="fr-FR"/>
        </w:rPr>
        <w:t xml:space="preserve">consulter des chercheurs et leurs institutions </w:t>
      </w:r>
      <w:r w:rsidR="00AE6C46" w:rsidRPr="00374DA7">
        <w:rPr>
          <w:lang w:val="fr-FR"/>
        </w:rPr>
        <w:t>à propos</w:t>
      </w:r>
      <w:r w:rsidRPr="00374DA7">
        <w:rPr>
          <w:lang w:val="fr-FR"/>
        </w:rPr>
        <w:t xml:space="preserve"> de</w:t>
      </w:r>
      <w:r w:rsidR="00567466" w:rsidRPr="00374DA7">
        <w:rPr>
          <w:lang w:val="fr-FR"/>
        </w:rPr>
        <w:t xml:space="preserve"> la ratification de la Convention et </w:t>
      </w:r>
      <w:r w:rsidRPr="00374DA7">
        <w:rPr>
          <w:lang w:val="fr-FR"/>
        </w:rPr>
        <w:t>de</w:t>
      </w:r>
      <w:r w:rsidR="00567466" w:rsidRPr="00374DA7">
        <w:rPr>
          <w:lang w:val="fr-FR"/>
        </w:rPr>
        <w:t xml:space="preserve"> leur contribution </w:t>
      </w:r>
      <w:r w:rsidR="00AE6C46" w:rsidRPr="00374DA7">
        <w:rPr>
          <w:lang w:val="fr-FR"/>
        </w:rPr>
        <w:t xml:space="preserve">possible </w:t>
      </w:r>
      <w:r w:rsidR="00567466" w:rsidRPr="00374DA7">
        <w:rPr>
          <w:lang w:val="fr-FR"/>
        </w:rPr>
        <w:t>à sa mise en œuvre.</w:t>
      </w:r>
    </w:p>
    <w:p w:rsidR="00567466" w:rsidRPr="00374DA7" w:rsidRDefault="00567466" w:rsidP="000A33B1">
      <w:pPr>
        <w:pStyle w:val="Heading4"/>
        <w:spacing w:before="120"/>
        <w:ind w:left="851"/>
        <w:rPr>
          <w:b w:val="0"/>
          <w:caps w:val="0"/>
          <w:sz w:val="18"/>
          <w:lang w:val="fr-FR"/>
        </w:rPr>
      </w:pPr>
      <w:r w:rsidRPr="00374DA7">
        <w:rPr>
          <w:caps w:val="0"/>
          <w:lang w:val="fr-FR"/>
        </w:rPr>
        <w:t>L</w:t>
      </w:r>
      <w:r w:rsidR="001259CA" w:rsidRPr="00374DA7">
        <w:rPr>
          <w:caps w:val="0"/>
          <w:lang w:val="fr-FR"/>
        </w:rPr>
        <w:t>obbying</w:t>
      </w:r>
    </w:p>
    <w:p w:rsidR="00567466" w:rsidRPr="00374DA7" w:rsidRDefault="00AE6C46" w:rsidP="00B478D7">
      <w:pPr>
        <w:pStyle w:val="Texte1"/>
        <w:numPr>
          <w:ilvl w:val="0"/>
          <w:numId w:val="10"/>
        </w:numPr>
        <w:ind w:left="1135" w:hanging="284"/>
        <w:rPr>
          <w:lang w:val="fr-FR"/>
        </w:rPr>
      </w:pPr>
      <w:r w:rsidRPr="00374DA7">
        <w:rPr>
          <w:lang w:val="fr-FR"/>
        </w:rPr>
        <w:t>Exerc</w:t>
      </w:r>
      <w:r w:rsidR="004443BE" w:rsidRPr="00374DA7">
        <w:rPr>
          <w:lang w:val="fr-FR"/>
        </w:rPr>
        <w:t>er des acti</w:t>
      </w:r>
      <w:r w:rsidRPr="00374DA7">
        <w:rPr>
          <w:lang w:val="fr-FR"/>
        </w:rPr>
        <w:t>vité</w:t>
      </w:r>
      <w:r w:rsidR="004443BE" w:rsidRPr="00374DA7">
        <w:rPr>
          <w:lang w:val="fr-FR"/>
        </w:rPr>
        <w:t xml:space="preserve">s de lobbying auprès des agences gouvernementales </w:t>
      </w:r>
      <w:r w:rsidRPr="00374DA7">
        <w:rPr>
          <w:lang w:val="fr-FR"/>
        </w:rPr>
        <w:t>pertinentes et/ou des membres du Parlement</w:t>
      </w:r>
      <w:r w:rsidR="004443BE" w:rsidRPr="00374DA7">
        <w:rPr>
          <w:lang w:val="fr-FR"/>
        </w:rPr>
        <w:t xml:space="preserve"> </w:t>
      </w:r>
      <w:r w:rsidRPr="00374DA7">
        <w:rPr>
          <w:lang w:val="fr-FR"/>
        </w:rPr>
        <w:t>à propos</w:t>
      </w:r>
      <w:r w:rsidR="004443BE" w:rsidRPr="00374DA7">
        <w:rPr>
          <w:lang w:val="fr-FR"/>
        </w:rPr>
        <w:t xml:space="preserve"> de l</w:t>
      </w:r>
      <w:r w:rsidRPr="00374DA7">
        <w:rPr>
          <w:lang w:val="fr-FR"/>
        </w:rPr>
        <w:t>a ratification de la Convention ;</w:t>
      </w:r>
      <w:r w:rsidR="004443BE" w:rsidRPr="00374DA7">
        <w:rPr>
          <w:lang w:val="fr-FR"/>
        </w:rPr>
        <w:t xml:space="preserve"> et</w:t>
      </w:r>
    </w:p>
    <w:p w:rsidR="004443BE" w:rsidRPr="00374DA7" w:rsidRDefault="00AE6C46" w:rsidP="00B478D7">
      <w:pPr>
        <w:pStyle w:val="Texte1"/>
        <w:numPr>
          <w:ilvl w:val="0"/>
          <w:numId w:val="10"/>
        </w:numPr>
        <w:ind w:left="1135" w:hanging="284"/>
        <w:rPr>
          <w:lang w:val="fr-FR"/>
        </w:rPr>
      </w:pPr>
      <w:r w:rsidRPr="00374DA7">
        <w:rPr>
          <w:lang w:val="fr-FR"/>
        </w:rPr>
        <w:t xml:space="preserve">Faire du </w:t>
      </w:r>
      <w:r w:rsidR="004443BE" w:rsidRPr="00374DA7">
        <w:rPr>
          <w:lang w:val="fr-FR"/>
        </w:rPr>
        <w:t xml:space="preserve">lobbying afin d’augmenter la couverture </w:t>
      </w:r>
      <w:r w:rsidR="00D0716E" w:rsidRPr="00374DA7">
        <w:rPr>
          <w:lang w:val="fr-FR"/>
        </w:rPr>
        <w:t>médiatiqu</w:t>
      </w:r>
      <w:r w:rsidR="004443BE" w:rsidRPr="00374DA7">
        <w:rPr>
          <w:lang w:val="fr-FR"/>
        </w:rPr>
        <w:t>e (positive) du PCI et de la Convention.</w:t>
      </w:r>
    </w:p>
    <w:p w:rsidR="004443BE" w:rsidRPr="00374DA7" w:rsidRDefault="004443BE" w:rsidP="000A33B1">
      <w:pPr>
        <w:pStyle w:val="Heading4"/>
        <w:spacing w:before="120"/>
        <w:ind w:left="851"/>
        <w:rPr>
          <w:caps w:val="0"/>
          <w:lang w:val="fr-FR"/>
        </w:rPr>
      </w:pPr>
      <w:r w:rsidRPr="00374DA7">
        <w:rPr>
          <w:caps w:val="0"/>
          <w:lang w:val="fr-FR"/>
        </w:rPr>
        <w:t>P</w:t>
      </w:r>
      <w:r w:rsidR="001259CA" w:rsidRPr="00374DA7">
        <w:rPr>
          <w:caps w:val="0"/>
          <w:lang w:val="fr-FR"/>
        </w:rPr>
        <w:t>réparation technique</w:t>
      </w:r>
    </w:p>
    <w:p w:rsidR="004443BE" w:rsidRPr="00374DA7" w:rsidRDefault="00D0716E" w:rsidP="00B478D7">
      <w:pPr>
        <w:pStyle w:val="Texte1"/>
        <w:numPr>
          <w:ilvl w:val="0"/>
          <w:numId w:val="10"/>
        </w:numPr>
        <w:ind w:left="1135" w:hanging="284"/>
        <w:rPr>
          <w:lang w:val="fr-FR"/>
        </w:rPr>
      </w:pPr>
      <w:r w:rsidRPr="00374DA7">
        <w:rPr>
          <w:lang w:val="fr-FR"/>
        </w:rPr>
        <w:t>E</w:t>
      </w:r>
      <w:r w:rsidR="004443BE" w:rsidRPr="00374DA7">
        <w:rPr>
          <w:lang w:val="fr-FR"/>
        </w:rPr>
        <w:t>xaminer</w:t>
      </w:r>
      <w:r w:rsidRPr="00374DA7">
        <w:rPr>
          <w:lang w:val="fr-FR"/>
        </w:rPr>
        <w:t>, réviser ou adopter des lois et</w:t>
      </w:r>
      <w:r w:rsidR="004443BE" w:rsidRPr="00374DA7">
        <w:rPr>
          <w:lang w:val="fr-FR"/>
        </w:rPr>
        <w:t xml:space="preserve"> des politiques nationales de sauvegarde du PCI (</w:t>
      </w:r>
      <w:r w:rsidRPr="00374DA7">
        <w:rPr>
          <w:lang w:val="fr-FR"/>
        </w:rPr>
        <w:t>travail des autorités nationales, des commissions parlementaires, d</w:t>
      </w:r>
      <w:r w:rsidR="004443BE" w:rsidRPr="00374DA7">
        <w:rPr>
          <w:lang w:val="fr-FR"/>
        </w:rPr>
        <w:t xml:space="preserve">es experts), bien que cela ne soit pas exigé avant </w:t>
      </w:r>
      <w:r w:rsidR="00D71709">
        <w:rPr>
          <w:lang w:val="fr-FR"/>
        </w:rPr>
        <w:t>de</w:t>
      </w:r>
      <w:r w:rsidR="004443BE" w:rsidRPr="00374DA7">
        <w:rPr>
          <w:lang w:val="fr-FR"/>
        </w:rPr>
        <w:t xml:space="preserve"> ratifi</w:t>
      </w:r>
      <w:r w:rsidR="00D71709">
        <w:rPr>
          <w:lang w:val="fr-FR"/>
        </w:rPr>
        <w:t>er</w:t>
      </w:r>
      <w:r w:rsidRPr="00374DA7">
        <w:rPr>
          <w:lang w:val="fr-FR"/>
        </w:rPr>
        <w:t xml:space="preserve"> la Convention ;</w:t>
      </w:r>
      <w:r w:rsidR="004443BE" w:rsidRPr="00374DA7">
        <w:rPr>
          <w:lang w:val="fr-FR"/>
        </w:rPr>
        <w:t xml:space="preserve"> et</w:t>
      </w:r>
    </w:p>
    <w:p w:rsidR="004443BE" w:rsidRPr="00374DA7" w:rsidRDefault="00D71709" w:rsidP="00B478D7">
      <w:pPr>
        <w:pStyle w:val="Texte1"/>
        <w:numPr>
          <w:ilvl w:val="0"/>
          <w:numId w:val="10"/>
        </w:numPr>
        <w:ind w:left="1135" w:hanging="284"/>
        <w:rPr>
          <w:lang w:val="fr-FR"/>
        </w:rPr>
      </w:pPr>
      <w:r>
        <w:rPr>
          <w:lang w:val="fr-FR"/>
        </w:rPr>
        <w:t>établi</w:t>
      </w:r>
      <w:r w:rsidR="0057134A" w:rsidRPr="00374DA7">
        <w:rPr>
          <w:lang w:val="fr-FR"/>
        </w:rPr>
        <w:t>r</w:t>
      </w:r>
      <w:r w:rsidR="00D0716E" w:rsidRPr="00374DA7">
        <w:rPr>
          <w:lang w:val="fr-FR"/>
        </w:rPr>
        <w:t xml:space="preserve"> un c</w:t>
      </w:r>
      <w:r w:rsidR="004443BE" w:rsidRPr="00374DA7">
        <w:rPr>
          <w:lang w:val="fr-FR"/>
        </w:rPr>
        <w:t xml:space="preserve">omité national de coordination </w:t>
      </w:r>
      <w:r w:rsidR="00D0716E" w:rsidRPr="00374DA7">
        <w:rPr>
          <w:lang w:val="fr-FR"/>
        </w:rPr>
        <w:t>sur le</w:t>
      </w:r>
      <w:r w:rsidR="004443BE" w:rsidRPr="00374DA7">
        <w:rPr>
          <w:lang w:val="fr-FR"/>
        </w:rPr>
        <w:t xml:space="preserve"> PCI.</w:t>
      </w:r>
    </w:p>
    <w:p w:rsidR="004443BE" w:rsidRPr="00374DA7" w:rsidRDefault="004443BE" w:rsidP="004D66A9">
      <w:pPr>
        <w:pStyle w:val="Heading4"/>
        <w:rPr>
          <w:lang w:val="fr-FR"/>
        </w:rPr>
      </w:pPr>
      <w:r w:rsidRPr="00374DA7">
        <w:rPr>
          <w:lang w:val="fr-FR"/>
        </w:rPr>
        <w:t>LA PROCÉDURE OFFICIELLE PRÉVOIT HABITUELLEMENT :</w:t>
      </w:r>
    </w:p>
    <w:p w:rsidR="004443BE" w:rsidRPr="00374DA7" w:rsidRDefault="004443BE" w:rsidP="00B478D7">
      <w:pPr>
        <w:pStyle w:val="Texte1"/>
        <w:numPr>
          <w:ilvl w:val="0"/>
          <w:numId w:val="10"/>
        </w:numPr>
        <w:ind w:left="1135" w:hanging="284"/>
        <w:rPr>
          <w:lang w:val="fr-FR"/>
        </w:rPr>
      </w:pPr>
      <w:r w:rsidRPr="00374DA7">
        <w:rPr>
          <w:lang w:val="fr-FR"/>
        </w:rPr>
        <w:t>La préparation d’un rapport pour le Cabinet (rédigé par les ministères co</w:t>
      </w:r>
      <w:r w:rsidR="004D66A9" w:rsidRPr="00374DA7">
        <w:rPr>
          <w:lang w:val="fr-FR"/>
        </w:rPr>
        <w:t>mpétent</w:t>
      </w:r>
      <w:r w:rsidRPr="00374DA7">
        <w:rPr>
          <w:lang w:val="fr-FR"/>
        </w:rPr>
        <w:t>s) sur les implications</w:t>
      </w:r>
      <w:r w:rsidR="004D66A9" w:rsidRPr="00374DA7">
        <w:rPr>
          <w:lang w:val="fr-FR"/>
        </w:rPr>
        <w:t xml:space="preserve"> juridiques,</w:t>
      </w:r>
      <w:r w:rsidRPr="00374DA7">
        <w:rPr>
          <w:lang w:val="fr-FR"/>
        </w:rPr>
        <w:t xml:space="preserve"> financières et sociales de la ratification ;</w:t>
      </w:r>
    </w:p>
    <w:p w:rsidR="004443BE" w:rsidRPr="00374DA7" w:rsidRDefault="00C60CA0" w:rsidP="00B478D7">
      <w:pPr>
        <w:pStyle w:val="Texte1"/>
        <w:numPr>
          <w:ilvl w:val="0"/>
          <w:numId w:val="10"/>
        </w:numPr>
        <w:ind w:left="1135" w:hanging="284"/>
        <w:rPr>
          <w:lang w:val="fr-FR"/>
        </w:rPr>
      </w:pPr>
      <w:r w:rsidRPr="00374DA7">
        <w:rPr>
          <w:lang w:val="fr-FR"/>
        </w:rPr>
        <w:t>l</w:t>
      </w:r>
      <w:r w:rsidR="004443BE" w:rsidRPr="00374DA7">
        <w:rPr>
          <w:lang w:val="fr-FR"/>
        </w:rPr>
        <w:t>’obten</w:t>
      </w:r>
      <w:r w:rsidRPr="00374DA7">
        <w:rPr>
          <w:lang w:val="fr-FR"/>
        </w:rPr>
        <w:t>tion de l’approbation de la ratification par le Cabinet ;</w:t>
      </w:r>
    </w:p>
    <w:p w:rsidR="00C60CA0" w:rsidRPr="00374DA7" w:rsidRDefault="00C60CA0" w:rsidP="00B478D7">
      <w:pPr>
        <w:pStyle w:val="Texte1"/>
        <w:numPr>
          <w:ilvl w:val="0"/>
          <w:numId w:val="10"/>
        </w:numPr>
        <w:ind w:left="1135" w:hanging="284"/>
        <w:rPr>
          <w:lang w:val="fr-FR"/>
        </w:rPr>
      </w:pPr>
      <w:r w:rsidRPr="00374DA7">
        <w:rPr>
          <w:lang w:val="fr-FR"/>
        </w:rPr>
        <w:t>l’inform</w:t>
      </w:r>
      <w:r w:rsidR="004D66A9" w:rsidRPr="00374DA7">
        <w:rPr>
          <w:lang w:val="fr-FR"/>
        </w:rPr>
        <w:t>ation (des commissions) du Parlement</w:t>
      </w:r>
      <w:r w:rsidRPr="00374DA7">
        <w:rPr>
          <w:lang w:val="fr-FR"/>
        </w:rPr>
        <w:t xml:space="preserve">, des ministères </w:t>
      </w:r>
      <w:r w:rsidR="004D66A9" w:rsidRPr="00374DA7">
        <w:rPr>
          <w:lang w:val="fr-FR"/>
        </w:rPr>
        <w:t>pertinent</w:t>
      </w:r>
      <w:r w:rsidRPr="00374DA7">
        <w:rPr>
          <w:lang w:val="fr-FR"/>
        </w:rPr>
        <w:t xml:space="preserve">s et du </w:t>
      </w:r>
      <w:r w:rsidR="001243B8" w:rsidRPr="00374DA7">
        <w:rPr>
          <w:lang w:val="fr-FR"/>
        </w:rPr>
        <w:t xml:space="preserve">Cabinet </w:t>
      </w:r>
      <w:r w:rsidRPr="00374DA7">
        <w:rPr>
          <w:lang w:val="fr-FR"/>
        </w:rPr>
        <w:t xml:space="preserve">qui </w:t>
      </w:r>
      <w:r w:rsidR="004D66A9" w:rsidRPr="00374DA7">
        <w:rPr>
          <w:lang w:val="fr-FR"/>
        </w:rPr>
        <w:t>conduir</w:t>
      </w:r>
      <w:r w:rsidRPr="00374DA7">
        <w:rPr>
          <w:lang w:val="fr-FR"/>
        </w:rPr>
        <w:t xml:space="preserve">a </w:t>
      </w:r>
      <w:r w:rsidR="004D66A9" w:rsidRPr="00374DA7">
        <w:rPr>
          <w:lang w:val="fr-FR"/>
        </w:rPr>
        <w:t>à</w:t>
      </w:r>
      <w:r w:rsidRPr="00374DA7">
        <w:rPr>
          <w:lang w:val="fr-FR"/>
        </w:rPr>
        <w:t xml:space="preserve"> l’approbation </w:t>
      </w:r>
      <w:r w:rsidR="004D66A9" w:rsidRPr="00374DA7">
        <w:rPr>
          <w:lang w:val="fr-FR"/>
        </w:rPr>
        <w:t>du</w:t>
      </w:r>
      <w:r w:rsidRPr="00374DA7">
        <w:rPr>
          <w:lang w:val="fr-FR"/>
        </w:rPr>
        <w:t xml:space="preserve"> Parlement ;</w:t>
      </w:r>
    </w:p>
    <w:p w:rsidR="00C60CA0" w:rsidRPr="00374DA7" w:rsidRDefault="00C60CA0" w:rsidP="00B478D7">
      <w:pPr>
        <w:pStyle w:val="Texte1"/>
        <w:numPr>
          <w:ilvl w:val="0"/>
          <w:numId w:val="10"/>
        </w:numPr>
        <w:ind w:left="1135" w:hanging="284"/>
        <w:rPr>
          <w:lang w:val="fr-FR"/>
        </w:rPr>
      </w:pPr>
      <w:r w:rsidRPr="00374DA7">
        <w:rPr>
          <w:lang w:val="fr-FR"/>
        </w:rPr>
        <w:t>la signature de l’instrument de ratification (obligatoirement par le chef de l’État</w:t>
      </w:r>
      <w:r w:rsidR="004D66A9" w:rsidRPr="00374DA7">
        <w:rPr>
          <w:lang w:val="fr-FR"/>
        </w:rPr>
        <w:t>, le chef du Gouvernement ou le ministre des A</w:t>
      </w:r>
      <w:r w:rsidR="0094043C" w:rsidRPr="00374DA7">
        <w:rPr>
          <w:lang w:val="fr-FR"/>
        </w:rPr>
        <w:t>ffaires étrangères) ;</w:t>
      </w:r>
      <w:r w:rsidRPr="00374DA7">
        <w:rPr>
          <w:lang w:val="fr-FR"/>
        </w:rPr>
        <w:t xml:space="preserve"> et</w:t>
      </w:r>
    </w:p>
    <w:p w:rsidR="00C60CA0" w:rsidRPr="00374DA7" w:rsidRDefault="00C60CA0" w:rsidP="00B478D7">
      <w:pPr>
        <w:pStyle w:val="Texte1"/>
        <w:numPr>
          <w:ilvl w:val="0"/>
          <w:numId w:val="10"/>
        </w:numPr>
        <w:ind w:left="1135" w:hanging="284"/>
        <w:rPr>
          <w:lang w:val="fr-FR"/>
        </w:rPr>
      </w:pPr>
      <w:r w:rsidRPr="00374DA7">
        <w:rPr>
          <w:lang w:val="fr-FR"/>
        </w:rPr>
        <w:t>l’envoi de l’instrument de ratification</w:t>
      </w:r>
      <w:r w:rsidR="0094043C" w:rsidRPr="00374DA7">
        <w:rPr>
          <w:lang w:val="fr-FR"/>
        </w:rPr>
        <w:t xml:space="preserve"> (etc.)</w:t>
      </w:r>
      <w:r w:rsidRPr="00374DA7">
        <w:rPr>
          <w:lang w:val="fr-FR"/>
        </w:rPr>
        <w:t xml:space="preserve"> au Directeur général de l’UNESCO.</w:t>
      </w:r>
    </w:p>
    <w:p w:rsidR="00C60CA0" w:rsidRPr="00374DA7" w:rsidRDefault="0094043C" w:rsidP="00AE6520">
      <w:pPr>
        <w:pStyle w:val="Titcoul"/>
        <w:rPr>
          <w:lang w:val="fr-FR"/>
        </w:rPr>
      </w:pPr>
      <w:r w:rsidRPr="00374DA7">
        <w:rPr>
          <w:lang w:val="fr-FR"/>
        </w:rPr>
        <w:t>17.3</w:t>
      </w:r>
      <w:r w:rsidRPr="00374DA7">
        <w:rPr>
          <w:lang w:val="fr-FR"/>
        </w:rPr>
        <w:tab/>
      </w:r>
      <w:r w:rsidR="00C60CA0" w:rsidRPr="00374DA7">
        <w:rPr>
          <w:lang w:val="fr-FR"/>
        </w:rPr>
        <w:t>RATIFICAT</w:t>
      </w:r>
      <w:r w:rsidRPr="00374DA7">
        <w:rPr>
          <w:lang w:val="fr-FR"/>
        </w:rPr>
        <w:t>ION DE LA CONVENTION</w:t>
      </w:r>
      <w:r w:rsidR="00C60CA0" w:rsidRPr="00374DA7">
        <w:rPr>
          <w:lang w:val="fr-FR"/>
        </w:rPr>
        <w:t xml:space="preserve"> À CE JOUR</w:t>
      </w:r>
    </w:p>
    <w:p w:rsidR="00C60CA0" w:rsidRPr="00374DA7" w:rsidRDefault="00C60CA0" w:rsidP="00AE6520">
      <w:pPr>
        <w:pStyle w:val="Texte1"/>
        <w:rPr>
          <w:lang w:val="fr-FR"/>
        </w:rPr>
      </w:pPr>
      <w:r w:rsidRPr="00374DA7">
        <w:rPr>
          <w:lang w:val="fr-FR"/>
        </w:rPr>
        <w:t>La Convention du patrimoine immatériel a été rapidement ratifié</w:t>
      </w:r>
      <w:r w:rsidR="00484644" w:rsidRPr="00374DA7">
        <w:rPr>
          <w:lang w:val="fr-FR"/>
        </w:rPr>
        <w:t>e</w:t>
      </w:r>
      <w:r w:rsidRPr="00374DA7">
        <w:rPr>
          <w:lang w:val="fr-FR"/>
        </w:rPr>
        <w:t>. L’année 2006</w:t>
      </w:r>
      <w:r w:rsidR="00B72580" w:rsidRPr="00374DA7">
        <w:rPr>
          <w:lang w:val="fr-FR"/>
        </w:rPr>
        <w:t xml:space="preserve"> au cours de laquelle </w:t>
      </w:r>
      <w:r w:rsidRPr="00374DA7">
        <w:rPr>
          <w:lang w:val="fr-FR"/>
        </w:rPr>
        <w:t>la Conve</w:t>
      </w:r>
      <w:r w:rsidR="00F25115" w:rsidRPr="00374DA7">
        <w:rPr>
          <w:lang w:val="fr-FR"/>
        </w:rPr>
        <w:t>ntion est entrée en vigueur, a enregistré</w:t>
      </w:r>
      <w:r w:rsidRPr="00374DA7">
        <w:rPr>
          <w:lang w:val="fr-FR"/>
        </w:rPr>
        <w:t xml:space="preserve"> le plus grand nombre de ratifications</w:t>
      </w:r>
      <w:r w:rsidR="00B72580" w:rsidRPr="00374DA7">
        <w:rPr>
          <w:lang w:val="fr-FR"/>
        </w:rPr>
        <w:t xml:space="preserve">. </w:t>
      </w:r>
      <w:r w:rsidR="00F25115" w:rsidRPr="00374DA7">
        <w:rPr>
          <w:lang w:val="fr-FR"/>
        </w:rPr>
        <w:t>Beaucoup</w:t>
      </w:r>
      <w:r w:rsidR="00B72580" w:rsidRPr="00374DA7">
        <w:rPr>
          <w:lang w:val="fr-FR"/>
        </w:rPr>
        <w:t xml:space="preserve"> </w:t>
      </w:r>
      <w:r w:rsidR="00F25115" w:rsidRPr="00374DA7">
        <w:rPr>
          <w:lang w:val="fr-FR"/>
        </w:rPr>
        <w:t>d’</w:t>
      </w:r>
      <w:r w:rsidR="00B72580" w:rsidRPr="00374DA7">
        <w:rPr>
          <w:lang w:val="fr-FR"/>
        </w:rPr>
        <w:t>États ont souhaité participer aux d</w:t>
      </w:r>
      <w:r w:rsidR="00F25115" w:rsidRPr="00374DA7">
        <w:rPr>
          <w:lang w:val="fr-FR"/>
        </w:rPr>
        <w:t>ébat</w:t>
      </w:r>
      <w:r w:rsidR="00B72580" w:rsidRPr="00374DA7">
        <w:rPr>
          <w:lang w:val="fr-FR"/>
        </w:rPr>
        <w:t xml:space="preserve">s de l’Assemblée </w:t>
      </w:r>
      <w:r w:rsidR="00B72580" w:rsidRPr="00374DA7">
        <w:rPr>
          <w:lang w:val="fr-FR"/>
        </w:rPr>
        <w:lastRenderedPageBreak/>
        <w:t xml:space="preserve">générale (et, dans certains cas, du Comité) </w:t>
      </w:r>
      <w:r w:rsidR="00F25115" w:rsidRPr="00374DA7">
        <w:rPr>
          <w:lang w:val="fr-FR"/>
        </w:rPr>
        <w:t>après</w:t>
      </w:r>
      <w:r w:rsidR="00B72580" w:rsidRPr="00374DA7">
        <w:rPr>
          <w:lang w:val="fr-FR"/>
        </w:rPr>
        <w:t xml:space="preserve"> l’entrée en vigueur de la Convention afin d’influencer la manière dont la Convention allait être mise en œuvre.</w:t>
      </w:r>
    </w:p>
    <w:p w:rsidR="00B72580" w:rsidRPr="00374DA7" w:rsidRDefault="00B72580" w:rsidP="00AE6520">
      <w:pPr>
        <w:pStyle w:val="Texte1"/>
        <w:rPr>
          <w:lang w:val="fr-FR"/>
        </w:rPr>
      </w:pPr>
      <w:r w:rsidRPr="00374DA7">
        <w:rPr>
          <w:lang w:val="fr-FR"/>
        </w:rPr>
        <w:t>La liste</w:t>
      </w:r>
      <w:r w:rsidR="00F666B8" w:rsidRPr="00374DA7">
        <w:rPr>
          <w:lang w:val="fr-FR"/>
        </w:rPr>
        <w:t xml:space="preserve"> actuelle</w:t>
      </w:r>
      <w:r w:rsidRPr="00374DA7">
        <w:rPr>
          <w:lang w:val="fr-FR"/>
        </w:rPr>
        <w:t xml:space="preserve"> des États parties à la Conve</w:t>
      </w:r>
      <w:r w:rsidR="00F25115" w:rsidRPr="00374DA7">
        <w:rPr>
          <w:lang w:val="fr-FR"/>
        </w:rPr>
        <w:t>ntion est disponible à</w:t>
      </w:r>
      <w:r w:rsidRPr="00374DA7">
        <w:rPr>
          <w:lang w:val="fr-FR"/>
        </w:rPr>
        <w:t> :</w:t>
      </w:r>
    </w:p>
    <w:p w:rsidR="00B9099E" w:rsidRPr="00F40B4D" w:rsidRDefault="00F666B8" w:rsidP="00F666B8">
      <w:pPr>
        <w:pStyle w:val="Texte1"/>
        <w:rPr>
          <w:lang w:val="fr-FR"/>
        </w:rPr>
      </w:pPr>
      <w:r w:rsidRPr="00374DA7">
        <w:rPr>
          <w:noProof/>
          <w:lang w:val="fr-FR" w:eastAsia="zh-TW"/>
        </w:rPr>
        <w:drawing>
          <wp:anchor distT="0" distB="0" distL="114300" distR="114300" simplePos="0" relativeHeight="251665408" behindDoc="0" locked="1" layoutInCell="1" allowOverlap="0">
            <wp:simplePos x="0" y="0"/>
            <wp:positionH relativeFrom="margin">
              <wp:align>left</wp:align>
            </wp:positionH>
            <wp:positionV relativeFrom="paragraph">
              <wp:posOffset>-127000</wp:posOffset>
            </wp:positionV>
            <wp:extent cx="273685" cy="346710"/>
            <wp:effectExtent l="25400" t="0" r="5715"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anchor>
        </w:drawing>
      </w:r>
      <w:hyperlink r:id="rId14" w:history="1">
        <w:r w:rsidRPr="00F40B4D">
          <w:rPr>
            <w:rStyle w:val="Hyperlink"/>
            <w:color w:val="auto"/>
            <w:u w:val="none"/>
            <w:lang w:val="fr-FR"/>
          </w:rPr>
          <w:t>http://portal.unesco.org/la/convention.asp?language=F&amp;KO=17116&amp;order=alpha</w:t>
        </w:r>
      </w:hyperlink>
      <w:r w:rsidRPr="00F40B4D">
        <w:rPr>
          <w:lang w:val="fr-FR"/>
        </w:rPr>
        <w:t>.</w:t>
      </w:r>
    </w:p>
    <w:p w:rsidR="00B9099E" w:rsidRPr="00374DA7" w:rsidRDefault="00B9099E">
      <w:pPr>
        <w:rPr>
          <w:rFonts w:ascii="Arial" w:hAnsi="Arial"/>
          <w:b/>
          <w:color w:val="548DD4" w:themeColor="text2" w:themeTint="99"/>
        </w:rPr>
      </w:pPr>
    </w:p>
    <w:sectPr w:rsidR="00B9099E" w:rsidRPr="00374DA7" w:rsidSect="00944F2C">
      <w:headerReference w:type="even" r:id="rId15"/>
      <w:headerReference w:type="default" r:id="rId16"/>
      <w:footerReference w:type="even" r:id="rId17"/>
      <w:footerReference w:type="default" r:id="rId18"/>
      <w:headerReference w:type="first" r:id="rId19"/>
      <w:footerReference w:type="first" r:id="rId20"/>
      <w:pgSz w:w="11900" w:h="16840"/>
      <w:pgMar w:top="1701" w:right="1531" w:bottom="1701" w:left="153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C2C" w:rsidRDefault="00247C2C" w:rsidP="0072714F">
      <w:r>
        <w:separator/>
      </w:r>
    </w:p>
  </w:endnote>
  <w:endnote w:type="continuationSeparator" w:id="0">
    <w:p w:rsidR="00247C2C" w:rsidRDefault="00247C2C" w:rsidP="0072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2C" w:rsidRDefault="00B01333" w:rsidP="008F4863">
    <w:pPr>
      <w:pStyle w:val="Footer"/>
      <w:ind w:firstLine="3540"/>
    </w:pPr>
    <w:r>
      <w:rPr>
        <w:noProof/>
        <w:lang w:eastAsia="zh-TW"/>
      </w:rPr>
      <w:drawing>
        <wp:anchor distT="0" distB="0" distL="114300" distR="114300" simplePos="0" relativeHeight="251679744" behindDoc="0" locked="0" layoutInCell="1" allowOverlap="1" wp14:anchorId="5C0773B7" wp14:editId="24EF1257">
          <wp:simplePos x="0" y="0"/>
          <wp:positionH relativeFrom="column">
            <wp:posOffset>2226945</wp:posOffset>
          </wp:positionH>
          <wp:positionV relativeFrom="paragraph">
            <wp:posOffset>5715</wp:posOffset>
          </wp:positionV>
          <wp:extent cx="542925" cy="190500"/>
          <wp:effectExtent l="0" t="0" r="9525"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47C2C">
      <w:rPr>
        <w:noProof/>
        <w:lang w:eastAsia="zh-TW"/>
      </w:rPr>
      <w:drawing>
        <wp:anchor distT="0" distB="0" distL="114300" distR="114300" simplePos="0" relativeHeight="251667456" behindDoc="1" locked="1" layoutInCell="1" allowOverlap="0" wp14:anchorId="4A949986" wp14:editId="41D29307">
          <wp:simplePos x="0" y="0"/>
          <wp:positionH relativeFrom="margin">
            <wp:align>left</wp:align>
          </wp:positionH>
          <wp:positionV relativeFrom="margin">
            <wp:posOffset>8702675</wp:posOffset>
          </wp:positionV>
          <wp:extent cx="806450" cy="535940"/>
          <wp:effectExtent l="0" t="0" r="0" b="0"/>
          <wp:wrapThrough wrapText="bothSides">
            <wp:wrapPolygon edited="0">
              <wp:start x="0" y="0"/>
              <wp:lineTo x="0" y="20730"/>
              <wp:lineTo x="20920" y="20730"/>
              <wp:lineTo x="20920" y="0"/>
              <wp:lineTo x="0" y="0"/>
            </wp:wrapPolygon>
          </wp:wrapThrough>
          <wp:docPr id="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6450" cy="535940"/>
                  </a:xfrm>
                  <a:prstGeom prst="rect">
                    <a:avLst/>
                  </a:prstGeom>
                  <a:noFill/>
                  <a:ln>
                    <a:noFill/>
                  </a:ln>
                </pic:spPr>
              </pic:pic>
            </a:graphicData>
          </a:graphic>
        </wp:anchor>
      </w:drawing>
    </w:r>
    <w:r>
      <w:rPr>
        <w:rFonts w:ascii="Arial" w:hAnsi="Arial" w:cs="Arial"/>
        <w:snapToGrid w:val="0"/>
        <w:sz w:val="16"/>
        <w:szCs w:val="16"/>
      </w:rPr>
      <w:tab/>
    </w:r>
    <w:r w:rsidR="00A06F32">
      <w:rPr>
        <w:rFonts w:ascii="Arial" w:hAnsi="Arial" w:cs="Arial"/>
        <w:snapToGrid w:val="0"/>
        <w:sz w:val="16"/>
        <w:szCs w:val="16"/>
      </w:rPr>
      <w:tab/>
    </w:r>
    <w:r w:rsidR="00247C2C" w:rsidRPr="00B23741">
      <w:rPr>
        <w:rFonts w:ascii="Arial" w:hAnsi="Arial" w:cs="Arial"/>
        <w:sz w:val="16"/>
        <w:szCs w:val="16"/>
      </w:rPr>
      <w:t>U</w:t>
    </w:r>
    <w:r w:rsidR="00247C2C">
      <w:rPr>
        <w:rFonts w:ascii="Arial" w:hAnsi="Arial" w:cs="Arial"/>
        <w:sz w:val="16"/>
        <w:szCs w:val="16"/>
      </w:rPr>
      <w:t>017-v1.1-PT</w:t>
    </w:r>
    <w:r w:rsidR="00F40B4D">
      <w:rPr>
        <w:rFonts w:ascii="Arial" w:hAnsi="Arial" w:cs="Arial"/>
        <w:sz w:val="16"/>
        <w:szCs w:val="16"/>
      </w:rPr>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2C" w:rsidRPr="00F40B4D" w:rsidRDefault="00B01333">
    <w:pPr>
      <w:pStyle w:val="Footer"/>
      <w:rPr>
        <w:rFonts w:ascii="Arial" w:hAnsi="Arial" w:cs="Arial"/>
        <w:sz w:val="16"/>
        <w:szCs w:val="16"/>
      </w:rPr>
    </w:pPr>
    <w:r>
      <w:rPr>
        <w:noProof/>
        <w:lang w:eastAsia="zh-TW"/>
      </w:rPr>
      <w:drawing>
        <wp:anchor distT="0" distB="0" distL="114300" distR="114300" simplePos="0" relativeHeight="251681792" behindDoc="0" locked="0" layoutInCell="1" allowOverlap="1" wp14:anchorId="65B72532" wp14:editId="3E1AD810">
          <wp:simplePos x="0" y="0"/>
          <wp:positionH relativeFrom="column">
            <wp:posOffset>2550795</wp:posOffset>
          </wp:positionH>
          <wp:positionV relativeFrom="paragraph">
            <wp:posOffset>-70485</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47C2C">
      <w:rPr>
        <w:noProof/>
        <w:lang w:eastAsia="zh-TW"/>
      </w:rPr>
      <w:drawing>
        <wp:anchor distT="0" distB="0" distL="114300" distR="114300" simplePos="0" relativeHeight="251669504" behindDoc="1" locked="1" layoutInCell="1" allowOverlap="0" wp14:anchorId="074A4F2F" wp14:editId="48CC6E7A">
          <wp:simplePos x="0" y="0"/>
          <wp:positionH relativeFrom="margin">
            <wp:posOffset>4798060</wp:posOffset>
          </wp:positionH>
          <wp:positionV relativeFrom="margin">
            <wp:posOffset>8670925</wp:posOffset>
          </wp:positionV>
          <wp:extent cx="806450" cy="535940"/>
          <wp:effectExtent l="0" t="0" r="0" b="0"/>
          <wp:wrapThrough wrapText="bothSides">
            <wp:wrapPolygon edited="0">
              <wp:start x="0" y="0"/>
              <wp:lineTo x="0" y="20730"/>
              <wp:lineTo x="20920" y="20730"/>
              <wp:lineTo x="20920" y="0"/>
              <wp:lineTo x="0" y="0"/>
            </wp:wrapPolygon>
          </wp:wrapThrough>
          <wp:docPr id="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6450" cy="535940"/>
                  </a:xfrm>
                  <a:prstGeom prst="rect">
                    <a:avLst/>
                  </a:prstGeom>
                  <a:noFill/>
                  <a:ln>
                    <a:noFill/>
                  </a:ln>
                </pic:spPr>
              </pic:pic>
            </a:graphicData>
          </a:graphic>
        </wp:anchor>
      </w:drawing>
    </w:r>
    <w:r w:rsidR="00247C2C">
      <w:rPr>
        <w:rFonts w:ascii="Arial" w:hAnsi="Arial" w:cs="Arial"/>
        <w:sz w:val="16"/>
        <w:szCs w:val="16"/>
      </w:rPr>
      <w:t>U017.v1.1</w:t>
    </w:r>
    <w:r w:rsidR="00F40B4D">
      <w:rPr>
        <w:rFonts w:ascii="Arial" w:hAnsi="Arial" w:cs="Arial"/>
        <w:sz w:val="16"/>
        <w:szCs w:val="16"/>
      </w:rPr>
      <w:t>-PT-FR</w:t>
    </w:r>
    <w:r w:rsidR="00F40B4D">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2C" w:rsidRPr="00F40B4D" w:rsidRDefault="00B01333">
    <w:pPr>
      <w:pStyle w:val="Footer"/>
      <w:rPr>
        <w:rFonts w:ascii="Arial" w:hAnsi="Arial" w:cs="Arial"/>
        <w:sz w:val="16"/>
        <w:szCs w:val="16"/>
      </w:rPr>
    </w:pPr>
    <w:r>
      <w:rPr>
        <w:noProof/>
        <w:lang w:eastAsia="zh-TW"/>
      </w:rPr>
      <w:drawing>
        <wp:anchor distT="0" distB="0" distL="114300" distR="114300" simplePos="0" relativeHeight="251677696" behindDoc="0" locked="0" layoutInCell="1" allowOverlap="1" wp14:anchorId="5C0773B7" wp14:editId="24EF1257">
          <wp:simplePos x="0" y="0"/>
          <wp:positionH relativeFrom="column">
            <wp:posOffset>2665095</wp:posOffset>
          </wp:positionH>
          <wp:positionV relativeFrom="paragraph">
            <wp:posOffset>-22860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47C2C" w:rsidRPr="00B23741">
      <w:rPr>
        <w:rFonts w:ascii="Arial" w:hAnsi="Arial" w:cs="Arial"/>
        <w:sz w:val="16"/>
        <w:szCs w:val="16"/>
      </w:rPr>
      <w:t>U</w:t>
    </w:r>
    <w:r w:rsidR="00247C2C">
      <w:rPr>
        <w:rFonts w:ascii="Arial" w:hAnsi="Arial" w:cs="Arial"/>
        <w:sz w:val="16"/>
        <w:szCs w:val="16"/>
      </w:rPr>
      <w:t>017-v1.1-PT</w:t>
    </w:r>
    <w:r w:rsidR="00247C2C" w:rsidRPr="00B23741">
      <w:rPr>
        <w:rFonts w:ascii="Arial" w:hAnsi="Arial" w:cs="Arial"/>
        <w:sz w:val="16"/>
        <w:szCs w:val="16"/>
      </w:rPr>
      <w:t>-FR</w:t>
    </w:r>
    <w:r w:rsidR="00247C2C" w:rsidRPr="00B23741">
      <w:rPr>
        <w:rFonts w:ascii="Arial" w:hAnsi="Arial" w:cs="Arial"/>
        <w:sz w:val="16"/>
        <w:szCs w:val="16"/>
      </w:rPr>
      <w:tab/>
    </w:r>
    <w:r w:rsidR="00247C2C" w:rsidRPr="00B23741">
      <w:rPr>
        <w:rFonts w:ascii="Arial" w:hAnsi="Arial" w:cs="Arial"/>
        <w:sz w:val="16"/>
        <w:szCs w:val="16"/>
      </w:rPr>
      <w:tab/>
    </w:r>
    <w:r w:rsidR="00247C2C">
      <w:rPr>
        <w:noProof/>
        <w:lang w:eastAsia="zh-TW"/>
      </w:rPr>
      <w:drawing>
        <wp:anchor distT="0" distB="0" distL="114300" distR="114300" simplePos="0" relativeHeight="251665408" behindDoc="1" locked="1" layoutInCell="1" allowOverlap="0">
          <wp:simplePos x="0" y="0"/>
          <wp:positionH relativeFrom="margin">
            <wp:posOffset>4796790</wp:posOffset>
          </wp:positionH>
          <wp:positionV relativeFrom="margin">
            <wp:posOffset>8669655</wp:posOffset>
          </wp:positionV>
          <wp:extent cx="806450" cy="535940"/>
          <wp:effectExtent l="0" t="0" r="0" b="0"/>
          <wp:wrapThrough wrapText="bothSides">
            <wp:wrapPolygon edited="0">
              <wp:start x="0" y="0"/>
              <wp:lineTo x="0" y="20730"/>
              <wp:lineTo x="20920" y="20730"/>
              <wp:lineTo x="20920" y="0"/>
              <wp:lineTo x="0" y="0"/>
            </wp:wrapPolygon>
          </wp:wrapThrough>
          <wp:docPr id="67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6450" cy="5359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C2C" w:rsidRDefault="00247C2C" w:rsidP="0072714F">
      <w:r>
        <w:separator/>
      </w:r>
    </w:p>
  </w:footnote>
  <w:footnote w:type="continuationSeparator" w:id="0">
    <w:p w:rsidR="00247C2C" w:rsidRDefault="00247C2C" w:rsidP="0072714F">
      <w:r>
        <w:continuationSeparator/>
      </w:r>
    </w:p>
  </w:footnote>
  <w:footnote w:id="1">
    <w:p w:rsidR="00247C2C" w:rsidRPr="00D20455" w:rsidRDefault="00247C2C" w:rsidP="00D20455">
      <w:pPr>
        <w:pStyle w:val="FootnoteText"/>
      </w:pPr>
      <w:r w:rsidRPr="00D20455">
        <w:rPr>
          <w:rStyle w:val="FootnoteReference"/>
          <w:vertAlign w:val="baseline"/>
        </w:rPr>
        <w:footnoteRef/>
      </w:r>
      <w:r w:rsidR="00D20455">
        <w:t xml:space="preserve">. </w:t>
      </w:r>
      <w:r w:rsidR="00D20455">
        <w:tab/>
      </w:r>
      <w:r w:rsidRPr="00D20455">
        <w:t>Fréquemment appelée « Convention du patrimoine immatériel », « Convention de 2003 » et, aux fins de la présente unité, dite simplement « la Convention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2C" w:rsidRPr="0054027A" w:rsidRDefault="00247C2C" w:rsidP="0054027A">
    <w:pPr>
      <w:pStyle w:val="Header"/>
      <w:framePr w:wrap="around" w:vAnchor="text" w:hAnchor="margin" w:xAlign="outside" w:y="1"/>
      <w:rPr>
        <w:rStyle w:val="PageNumber"/>
      </w:rPr>
    </w:pPr>
    <w:r w:rsidRPr="0054027A">
      <w:rPr>
        <w:rStyle w:val="PageNumber"/>
        <w:rFonts w:ascii="Arial" w:hAnsi="Arial" w:cs="Arial"/>
        <w:sz w:val="16"/>
        <w:szCs w:val="16"/>
      </w:rPr>
      <w:fldChar w:fldCharType="begin"/>
    </w:r>
    <w:r w:rsidRPr="0054027A">
      <w:rPr>
        <w:rStyle w:val="PageNumber"/>
        <w:rFonts w:ascii="Arial" w:hAnsi="Arial" w:cs="Arial"/>
        <w:sz w:val="16"/>
        <w:szCs w:val="16"/>
      </w:rPr>
      <w:instrText xml:space="preserve">PAGE  </w:instrText>
    </w:r>
    <w:r w:rsidRPr="0054027A">
      <w:rPr>
        <w:rStyle w:val="PageNumber"/>
        <w:rFonts w:ascii="Arial" w:hAnsi="Arial" w:cs="Arial"/>
        <w:sz w:val="16"/>
        <w:szCs w:val="16"/>
      </w:rPr>
      <w:fldChar w:fldCharType="separate"/>
    </w:r>
    <w:r w:rsidR="001161B6">
      <w:rPr>
        <w:rStyle w:val="PageNumber"/>
        <w:rFonts w:ascii="Arial" w:hAnsi="Arial" w:cs="Arial"/>
        <w:noProof/>
        <w:sz w:val="16"/>
        <w:szCs w:val="16"/>
      </w:rPr>
      <w:t>8</w:t>
    </w:r>
    <w:r w:rsidRPr="0054027A">
      <w:rPr>
        <w:rStyle w:val="PageNumber"/>
        <w:rFonts w:ascii="Arial" w:hAnsi="Arial" w:cs="Arial"/>
        <w:sz w:val="16"/>
        <w:szCs w:val="16"/>
      </w:rPr>
      <w:fldChar w:fldCharType="end"/>
    </w:r>
  </w:p>
  <w:p w:rsidR="00247C2C" w:rsidRPr="00F40B4D" w:rsidRDefault="00F40B4D" w:rsidP="00F40B4D">
    <w:pPr>
      <w:pStyle w:val="Header"/>
      <w:ind w:right="360" w:firstLine="360"/>
      <w:rPr>
        <w:rFonts w:ascii="Arial" w:hAnsi="Arial" w:cs="Arial"/>
        <w:sz w:val="16"/>
        <w:szCs w:val="16"/>
      </w:rPr>
    </w:pPr>
    <w:r>
      <w:rPr>
        <w:rFonts w:ascii="Arial" w:hAnsi="Arial" w:cs="Arial"/>
        <w:sz w:val="16"/>
        <w:szCs w:val="16"/>
      </w:rPr>
      <w:tab/>
    </w:r>
    <w:r w:rsidR="00247C2C" w:rsidRPr="0054027A">
      <w:rPr>
        <w:rFonts w:ascii="Arial" w:hAnsi="Arial" w:cs="Arial"/>
        <w:sz w:val="16"/>
        <w:szCs w:val="16"/>
      </w:rPr>
      <w:t>Unité 17 : Ratification de la Convention</w:t>
    </w:r>
    <w:r w:rsidR="00247C2C">
      <w:rPr>
        <w:rFonts w:ascii="Arial" w:hAnsi="Arial" w:cs="Arial"/>
        <w:sz w:val="16"/>
        <w:szCs w:val="16"/>
      </w:rPr>
      <w:tab/>
      <w:t>Texte du participant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2C" w:rsidRPr="0054027A" w:rsidRDefault="00247C2C" w:rsidP="0054027A">
    <w:pPr>
      <w:pStyle w:val="Header"/>
      <w:framePr w:wrap="around" w:vAnchor="text" w:hAnchor="margin" w:xAlign="outside" w:y="1"/>
      <w:rPr>
        <w:rStyle w:val="PageNumber"/>
      </w:rPr>
    </w:pPr>
    <w:r w:rsidRPr="0054027A">
      <w:rPr>
        <w:rStyle w:val="PageNumber"/>
        <w:rFonts w:ascii="Arial" w:hAnsi="Arial" w:cs="Arial"/>
        <w:sz w:val="16"/>
        <w:szCs w:val="16"/>
      </w:rPr>
      <w:fldChar w:fldCharType="begin"/>
    </w:r>
    <w:r w:rsidRPr="0054027A">
      <w:rPr>
        <w:rStyle w:val="PageNumber"/>
        <w:rFonts w:ascii="Arial" w:hAnsi="Arial" w:cs="Arial"/>
        <w:sz w:val="16"/>
        <w:szCs w:val="16"/>
      </w:rPr>
      <w:instrText xml:space="preserve">PAGE  </w:instrText>
    </w:r>
    <w:r w:rsidRPr="0054027A">
      <w:rPr>
        <w:rStyle w:val="PageNumber"/>
        <w:rFonts w:ascii="Arial" w:hAnsi="Arial" w:cs="Arial"/>
        <w:sz w:val="16"/>
        <w:szCs w:val="16"/>
      </w:rPr>
      <w:fldChar w:fldCharType="separate"/>
    </w:r>
    <w:r w:rsidR="001161B6">
      <w:rPr>
        <w:rStyle w:val="PageNumber"/>
        <w:rFonts w:ascii="Arial" w:hAnsi="Arial" w:cs="Arial"/>
        <w:noProof/>
        <w:sz w:val="16"/>
        <w:szCs w:val="16"/>
      </w:rPr>
      <w:t>9</w:t>
    </w:r>
    <w:r w:rsidRPr="0054027A">
      <w:rPr>
        <w:rStyle w:val="PageNumber"/>
        <w:rFonts w:ascii="Arial" w:hAnsi="Arial" w:cs="Arial"/>
        <w:sz w:val="16"/>
        <w:szCs w:val="16"/>
      </w:rPr>
      <w:fldChar w:fldCharType="end"/>
    </w:r>
  </w:p>
  <w:p w:rsidR="00247C2C" w:rsidRPr="00B9099E" w:rsidRDefault="00247C2C" w:rsidP="0054027A">
    <w:pPr>
      <w:pStyle w:val="Header"/>
      <w:ind w:right="360"/>
      <w:rPr>
        <w:rFonts w:ascii="Arial" w:hAnsi="Arial"/>
        <w:sz w:val="16"/>
        <w:szCs w:val="16"/>
      </w:rPr>
    </w:pPr>
    <w:r>
      <w:rPr>
        <w:rFonts w:ascii="Arial" w:hAnsi="Arial"/>
        <w:sz w:val="16"/>
        <w:szCs w:val="16"/>
      </w:rPr>
      <w:t xml:space="preserve">Texte du participant </w:t>
    </w:r>
    <w:r>
      <w:rPr>
        <w:rFonts w:ascii="Arial" w:hAnsi="Arial"/>
        <w:sz w:val="16"/>
        <w:szCs w:val="16"/>
      </w:rPr>
      <w:tab/>
      <w:t xml:space="preserve">Unité 17 : Ratification de la </w:t>
    </w:r>
    <w:r w:rsidRPr="0054027A">
      <w:rPr>
        <w:rFonts w:ascii="Arial" w:hAnsi="Arial"/>
        <w:sz w:val="16"/>
        <w:szCs w:val="16"/>
      </w:rPr>
      <w:t>Convention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2C" w:rsidRPr="0054027A" w:rsidRDefault="00247C2C" w:rsidP="0054027A">
    <w:pPr>
      <w:pStyle w:val="Header"/>
      <w:jc w:val="center"/>
      <w:rPr>
        <w:rFonts w:ascii="Arial" w:hAnsi="Arial" w:cs="Arial"/>
        <w:sz w:val="16"/>
        <w:szCs w:val="16"/>
      </w:rPr>
    </w:pPr>
    <w:r>
      <w:rPr>
        <w:rFonts w:ascii="Arial" w:hAnsi="Arial" w:cs="Arial"/>
        <w:sz w:val="16"/>
        <w:szCs w:val="16"/>
      </w:rPr>
      <w:t>Texte du participant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6C6"/>
    <w:multiLevelType w:val="hybridMultilevel"/>
    <w:tmpl w:val="ED3E2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8D3A9D"/>
    <w:multiLevelType w:val="hybridMultilevel"/>
    <w:tmpl w:val="8E82A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BD66CD"/>
    <w:multiLevelType w:val="hybridMultilevel"/>
    <w:tmpl w:val="1DE09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F21716"/>
    <w:multiLevelType w:val="hybridMultilevel"/>
    <w:tmpl w:val="C96E1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A30EF6"/>
    <w:multiLevelType w:val="hybridMultilevel"/>
    <w:tmpl w:val="2708E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1D1227"/>
    <w:multiLevelType w:val="hybridMultilevel"/>
    <w:tmpl w:val="33C2E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EA472B"/>
    <w:multiLevelType w:val="hybridMultilevel"/>
    <w:tmpl w:val="0DB05FAC"/>
    <w:lvl w:ilvl="0" w:tplc="040C0001">
      <w:start w:val="1"/>
      <w:numFmt w:val="bullet"/>
      <w:lvlText w:val=""/>
      <w:lvlJc w:val="left"/>
      <w:pPr>
        <w:ind w:left="1951" w:hanging="360"/>
      </w:pPr>
      <w:rPr>
        <w:rFonts w:ascii="Symbol" w:hAnsi="Symbol" w:hint="default"/>
      </w:rPr>
    </w:lvl>
    <w:lvl w:ilvl="1" w:tplc="040C0003" w:tentative="1">
      <w:start w:val="1"/>
      <w:numFmt w:val="bullet"/>
      <w:lvlText w:val="o"/>
      <w:lvlJc w:val="left"/>
      <w:pPr>
        <w:ind w:left="2671" w:hanging="360"/>
      </w:pPr>
      <w:rPr>
        <w:rFonts w:ascii="Courier New" w:hAnsi="Courier New" w:cs="Courier New" w:hint="default"/>
      </w:rPr>
    </w:lvl>
    <w:lvl w:ilvl="2" w:tplc="040C0005" w:tentative="1">
      <w:start w:val="1"/>
      <w:numFmt w:val="bullet"/>
      <w:lvlText w:val=""/>
      <w:lvlJc w:val="left"/>
      <w:pPr>
        <w:ind w:left="3391" w:hanging="360"/>
      </w:pPr>
      <w:rPr>
        <w:rFonts w:ascii="Wingdings" w:hAnsi="Wingdings" w:hint="default"/>
      </w:rPr>
    </w:lvl>
    <w:lvl w:ilvl="3" w:tplc="040C0001" w:tentative="1">
      <w:start w:val="1"/>
      <w:numFmt w:val="bullet"/>
      <w:lvlText w:val=""/>
      <w:lvlJc w:val="left"/>
      <w:pPr>
        <w:ind w:left="4111" w:hanging="360"/>
      </w:pPr>
      <w:rPr>
        <w:rFonts w:ascii="Symbol" w:hAnsi="Symbol" w:hint="default"/>
      </w:rPr>
    </w:lvl>
    <w:lvl w:ilvl="4" w:tplc="040C0003" w:tentative="1">
      <w:start w:val="1"/>
      <w:numFmt w:val="bullet"/>
      <w:lvlText w:val="o"/>
      <w:lvlJc w:val="left"/>
      <w:pPr>
        <w:ind w:left="4831" w:hanging="360"/>
      </w:pPr>
      <w:rPr>
        <w:rFonts w:ascii="Courier New" w:hAnsi="Courier New" w:cs="Courier New" w:hint="default"/>
      </w:rPr>
    </w:lvl>
    <w:lvl w:ilvl="5" w:tplc="040C0005" w:tentative="1">
      <w:start w:val="1"/>
      <w:numFmt w:val="bullet"/>
      <w:lvlText w:val=""/>
      <w:lvlJc w:val="left"/>
      <w:pPr>
        <w:ind w:left="5551" w:hanging="360"/>
      </w:pPr>
      <w:rPr>
        <w:rFonts w:ascii="Wingdings" w:hAnsi="Wingdings" w:hint="default"/>
      </w:rPr>
    </w:lvl>
    <w:lvl w:ilvl="6" w:tplc="040C0001" w:tentative="1">
      <w:start w:val="1"/>
      <w:numFmt w:val="bullet"/>
      <w:lvlText w:val=""/>
      <w:lvlJc w:val="left"/>
      <w:pPr>
        <w:ind w:left="6271" w:hanging="360"/>
      </w:pPr>
      <w:rPr>
        <w:rFonts w:ascii="Symbol" w:hAnsi="Symbol" w:hint="default"/>
      </w:rPr>
    </w:lvl>
    <w:lvl w:ilvl="7" w:tplc="040C0003" w:tentative="1">
      <w:start w:val="1"/>
      <w:numFmt w:val="bullet"/>
      <w:lvlText w:val="o"/>
      <w:lvlJc w:val="left"/>
      <w:pPr>
        <w:ind w:left="6991" w:hanging="360"/>
      </w:pPr>
      <w:rPr>
        <w:rFonts w:ascii="Courier New" w:hAnsi="Courier New" w:cs="Courier New" w:hint="default"/>
      </w:rPr>
    </w:lvl>
    <w:lvl w:ilvl="8" w:tplc="040C0005" w:tentative="1">
      <w:start w:val="1"/>
      <w:numFmt w:val="bullet"/>
      <w:lvlText w:val=""/>
      <w:lvlJc w:val="left"/>
      <w:pPr>
        <w:ind w:left="7711" w:hanging="360"/>
      </w:pPr>
      <w:rPr>
        <w:rFonts w:ascii="Wingdings" w:hAnsi="Wingdings" w:hint="default"/>
      </w:rPr>
    </w:lvl>
  </w:abstractNum>
  <w:abstractNum w:abstractNumId="7" w15:restartNumberingAfterBreak="0">
    <w:nsid w:val="6FA965F1"/>
    <w:multiLevelType w:val="hybridMultilevel"/>
    <w:tmpl w:val="41BE9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40614F"/>
    <w:multiLevelType w:val="hybridMultilevel"/>
    <w:tmpl w:val="BF221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815DA2"/>
    <w:multiLevelType w:val="hybridMultilevel"/>
    <w:tmpl w:val="980203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9"/>
  </w:num>
  <w:num w:numId="6">
    <w:abstractNumId w:val="2"/>
  </w:num>
  <w:num w:numId="7">
    <w:abstractNumId w:val="5"/>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4F"/>
    <w:rsid w:val="000003F9"/>
    <w:rsid w:val="00005058"/>
    <w:rsid w:val="00022DC5"/>
    <w:rsid w:val="00041ACF"/>
    <w:rsid w:val="0008015B"/>
    <w:rsid w:val="00081721"/>
    <w:rsid w:val="000A33B1"/>
    <w:rsid w:val="000F1539"/>
    <w:rsid w:val="000F5A16"/>
    <w:rsid w:val="00103229"/>
    <w:rsid w:val="001161B6"/>
    <w:rsid w:val="001243B8"/>
    <w:rsid w:val="001259CA"/>
    <w:rsid w:val="00131B35"/>
    <w:rsid w:val="0013627D"/>
    <w:rsid w:val="001404AC"/>
    <w:rsid w:val="001500B3"/>
    <w:rsid w:val="00151026"/>
    <w:rsid w:val="001516B8"/>
    <w:rsid w:val="0017733F"/>
    <w:rsid w:val="00183CEA"/>
    <w:rsid w:val="0018690D"/>
    <w:rsid w:val="00192AF9"/>
    <w:rsid w:val="0019319D"/>
    <w:rsid w:val="0019328B"/>
    <w:rsid w:val="001B012B"/>
    <w:rsid w:val="001B2542"/>
    <w:rsid w:val="001C1841"/>
    <w:rsid w:val="001E13EF"/>
    <w:rsid w:val="00247C2C"/>
    <w:rsid w:val="0025481E"/>
    <w:rsid w:val="002752D1"/>
    <w:rsid w:val="0027666C"/>
    <w:rsid w:val="002848C7"/>
    <w:rsid w:val="002A0FE5"/>
    <w:rsid w:val="00316E83"/>
    <w:rsid w:val="00374DA7"/>
    <w:rsid w:val="00393A93"/>
    <w:rsid w:val="003E0EE3"/>
    <w:rsid w:val="004003B4"/>
    <w:rsid w:val="00412B44"/>
    <w:rsid w:val="0041739B"/>
    <w:rsid w:val="004443BE"/>
    <w:rsid w:val="00446098"/>
    <w:rsid w:val="00454E8A"/>
    <w:rsid w:val="00467BDA"/>
    <w:rsid w:val="00484644"/>
    <w:rsid w:val="004922AC"/>
    <w:rsid w:val="004A5A13"/>
    <w:rsid w:val="004D16C6"/>
    <w:rsid w:val="004D66A9"/>
    <w:rsid w:val="004F467F"/>
    <w:rsid w:val="005211BB"/>
    <w:rsid w:val="0054027A"/>
    <w:rsid w:val="005465BE"/>
    <w:rsid w:val="005520A7"/>
    <w:rsid w:val="00552DF9"/>
    <w:rsid w:val="00552E9B"/>
    <w:rsid w:val="00557309"/>
    <w:rsid w:val="00567466"/>
    <w:rsid w:val="0057134A"/>
    <w:rsid w:val="00571502"/>
    <w:rsid w:val="00577BE0"/>
    <w:rsid w:val="005838C7"/>
    <w:rsid w:val="00590F17"/>
    <w:rsid w:val="005B03AD"/>
    <w:rsid w:val="005B373B"/>
    <w:rsid w:val="005C1146"/>
    <w:rsid w:val="005C4FA4"/>
    <w:rsid w:val="005F09CE"/>
    <w:rsid w:val="005F0DE2"/>
    <w:rsid w:val="005F5DAE"/>
    <w:rsid w:val="005F6813"/>
    <w:rsid w:val="00603B11"/>
    <w:rsid w:val="00616F00"/>
    <w:rsid w:val="00621AD2"/>
    <w:rsid w:val="00661799"/>
    <w:rsid w:val="006735B9"/>
    <w:rsid w:val="006C7797"/>
    <w:rsid w:val="006E3501"/>
    <w:rsid w:val="00701AC4"/>
    <w:rsid w:val="00702DA4"/>
    <w:rsid w:val="0070668D"/>
    <w:rsid w:val="00714D89"/>
    <w:rsid w:val="0072714F"/>
    <w:rsid w:val="007334C2"/>
    <w:rsid w:val="00733869"/>
    <w:rsid w:val="007534B1"/>
    <w:rsid w:val="007A3969"/>
    <w:rsid w:val="007A43F3"/>
    <w:rsid w:val="007B3EAF"/>
    <w:rsid w:val="007B4502"/>
    <w:rsid w:val="007C550C"/>
    <w:rsid w:val="007D7E43"/>
    <w:rsid w:val="007E1C67"/>
    <w:rsid w:val="007E76FE"/>
    <w:rsid w:val="007F7AC6"/>
    <w:rsid w:val="0080128D"/>
    <w:rsid w:val="00827FEA"/>
    <w:rsid w:val="00852485"/>
    <w:rsid w:val="00887120"/>
    <w:rsid w:val="008E6FD9"/>
    <w:rsid w:val="008F3E73"/>
    <w:rsid w:val="008F4863"/>
    <w:rsid w:val="00936F90"/>
    <w:rsid w:val="0094043C"/>
    <w:rsid w:val="00942A51"/>
    <w:rsid w:val="00944F2C"/>
    <w:rsid w:val="00947373"/>
    <w:rsid w:val="00964A4B"/>
    <w:rsid w:val="009710F8"/>
    <w:rsid w:val="009B26CE"/>
    <w:rsid w:val="009B2923"/>
    <w:rsid w:val="009D2262"/>
    <w:rsid w:val="00A02110"/>
    <w:rsid w:val="00A06F32"/>
    <w:rsid w:val="00A1534A"/>
    <w:rsid w:val="00A40DC8"/>
    <w:rsid w:val="00A6094B"/>
    <w:rsid w:val="00A65675"/>
    <w:rsid w:val="00A97FCA"/>
    <w:rsid w:val="00AC2D00"/>
    <w:rsid w:val="00AD0EEC"/>
    <w:rsid w:val="00AE6520"/>
    <w:rsid w:val="00AE6C46"/>
    <w:rsid w:val="00AF0739"/>
    <w:rsid w:val="00AF2226"/>
    <w:rsid w:val="00B01333"/>
    <w:rsid w:val="00B10880"/>
    <w:rsid w:val="00B10F16"/>
    <w:rsid w:val="00B23447"/>
    <w:rsid w:val="00B31D09"/>
    <w:rsid w:val="00B478D7"/>
    <w:rsid w:val="00B639F4"/>
    <w:rsid w:val="00B72580"/>
    <w:rsid w:val="00B8201E"/>
    <w:rsid w:val="00B9099E"/>
    <w:rsid w:val="00B9304D"/>
    <w:rsid w:val="00BA2D08"/>
    <w:rsid w:val="00BA70C0"/>
    <w:rsid w:val="00BB3831"/>
    <w:rsid w:val="00BE3240"/>
    <w:rsid w:val="00C21ED9"/>
    <w:rsid w:val="00C547F6"/>
    <w:rsid w:val="00C60CA0"/>
    <w:rsid w:val="00C66419"/>
    <w:rsid w:val="00C763B5"/>
    <w:rsid w:val="00C801AD"/>
    <w:rsid w:val="00C97DD6"/>
    <w:rsid w:val="00CA2BAB"/>
    <w:rsid w:val="00CC6725"/>
    <w:rsid w:val="00CF03E9"/>
    <w:rsid w:val="00D0716E"/>
    <w:rsid w:val="00D10F59"/>
    <w:rsid w:val="00D20455"/>
    <w:rsid w:val="00D30E57"/>
    <w:rsid w:val="00D64AFC"/>
    <w:rsid w:val="00D71709"/>
    <w:rsid w:val="00D829F1"/>
    <w:rsid w:val="00D9426B"/>
    <w:rsid w:val="00D95D07"/>
    <w:rsid w:val="00DA32A0"/>
    <w:rsid w:val="00DD564A"/>
    <w:rsid w:val="00DE3A1A"/>
    <w:rsid w:val="00E00854"/>
    <w:rsid w:val="00E234FB"/>
    <w:rsid w:val="00E23B9C"/>
    <w:rsid w:val="00E3356B"/>
    <w:rsid w:val="00E37A7E"/>
    <w:rsid w:val="00EA14AD"/>
    <w:rsid w:val="00EC1BBF"/>
    <w:rsid w:val="00ED42AE"/>
    <w:rsid w:val="00F05B35"/>
    <w:rsid w:val="00F207B2"/>
    <w:rsid w:val="00F25115"/>
    <w:rsid w:val="00F31FEF"/>
    <w:rsid w:val="00F40B4D"/>
    <w:rsid w:val="00F44E04"/>
    <w:rsid w:val="00F666B8"/>
    <w:rsid w:val="00F944A1"/>
    <w:rsid w:val="00F97746"/>
    <w:rsid w:val="00FD0E65"/>
    <w:rsid w:val="00FF60B2"/>
    <w:rsid w:val="00FF71B2"/>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9691BBB-3349-4033-A0A9-1CE11656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454E8A"/>
    <w:pPr>
      <w:keepNext/>
      <w:keepLines/>
      <w:tabs>
        <w:tab w:val="left" w:pos="567"/>
      </w:tabs>
      <w:snapToGrid w:val="0"/>
      <w:spacing w:before="360" w:after="120" w:line="300" w:lineRule="exact"/>
      <w:jc w:val="both"/>
      <w:outlineLvl w:val="3"/>
    </w:pPr>
    <w:rPr>
      <w:rFonts w:ascii="Arial" w:eastAsiaTheme="majorEastAsia" w:hAnsi="Arial" w:cs="Arial"/>
      <w:b/>
      <w:bCs/>
      <w:iCs/>
      <w:caps/>
      <w:snapToGrid w:val="0"/>
      <w:sz w:val="20"/>
      <w:szCs w:val="1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14F"/>
    <w:pPr>
      <w:tabs>
        <w:tab w:val="center" w:pos="4536"/>
        <w:tab w:val="right" w:pos="9072"/>
      </w:tabs>
    </w:pPr>
  </w:style>
  <w:style w:type="character" w:customStyle="1" w:styleId="HeaderChar">
    <w:name w:val="Header Char"/>
    <w:basedOn w:val="DefaultParagraphFont"/>
    <w:link w:val="Header"/>
    <w:uiPriority w:val="99"/>
    <w:rsid w:val="0072714F"/>
  </w:style>
  <w:style w:type="paragraph" w:styleId="Footer">
    <w:name w:val="footer"/>
    <w:basedOn w:val="Normal"/>
    <w:link w:val="FooterChar"/>
    <w:unhideWhenUsed/>
    <w:rsid w:val="0072714F"/>
    <w:pPr>
      <w:tabs>
        <w:tab w:val="center" w:pos="4536"/>
        <w:tab w:val="right" w:pos="9072"/>
      </w:tabs>
    </w:pPr>
  </w:style>
  <w:style w:type="character" w:customStyle="1" w:styleId="FooterChar">
    <w:name w:val="Footer Char"/>
    <w:basedOn w:val="DefaultParagraphFont"/>
    <w:link w:val="Footer"/>
    <w:rsid w:val="0072714F"/>
  </w:style>
  <w:style w:type="character" w:styleId="PageNumber">
    <w:name w:val="page number"/>
    <w:basedOn w:val="DefaultParagraphFont"/>
    <w:uiPriority w:val="99"/>
    <w:semiHidden/>
    <w:unhideWhenUsed/>
    <w:rsid w:val="0072714F"/>
  </w:style>
  <w:style w:type="paragraph" w:styleId="FootnoteText">
    <w:name w:val="footnote text"/>
    <w:basedOn w:val="Normal"/>
    <w:link w:val="FootnoteTextChar"/>
    <w:uiPriority w:val="99"/>
    <w:rsid w:val="00D20455"/>
    <w:pPr>
      <w:snapToGrid w:val="0"/>
      <w:spacing w:before="120" w:after="60" w:line="180" w:lineRule="exact"/>
      <w:ind w:left="340" w:hanging="340"/>
      <w:jc w:val="both"/>
    </w:pPr>
    <w:rPr>
      <w:rFonts w:ascii="Arial" w:eastAsia="SimSun" w:hAnsi="Arial" w:cs="Arial"/>
      <w:sz w:val="16"/>
      <w:szCs w:val="20"/>
      <w:lang w:eastAsia="zh-CN"/>
    </w:rPr>
  </w:style>
  <w:style w:type="character" w:customStyle="1" w:styleId="FootnoteTextChar">
    <w:name w:val="Footnote Text Char"/>
    <w:link w:val="FootnoteText"/>
    <w:uiPriority w:val="99"/>
    <w:rsid w:val="00D20455"/>
    <w:rPr>
      <w:rFonts w:ascii="Arial" w:eastAsia="SimSun" w:hAnsi="Arial" w:cs="Arial"/>
      <w:sz w:val="16"/>
      <w:szCs w:val="20"/>
      <w:lang w:eastAsia="zh-CN"/>
    </w:rPr>
  </w:style>
  <w:style w:type="character" w:styleId="FootnoteReference">
    <w:name w:val="footnote reference"/>
    <w:basedOn w:val="DefaultParagraphFont"/>
    <w:uiPriority w:val="99"/>
    <w:unhideWhenUsed/>
    <w:rsid w:val="0072714F"/>
    <w:rPr>
      <w:vertAlign w:val="superscript"/>
    </w:rPr>
  </w:style>
  <w:style w:type="paragraph" w:styleId="ListParagraph">
    <w:name w:val="List Paragraph"/>
    <w:basedOn w:val="Normal"/>
    <w:uiPriority w:val="34"/>
    <w:qFormat/>
    <w:rsid w:val="0072714F"/>
    <w:pPr>
      <w:ind w:left="720"/>
      <w:contextualSpacing/>
    </w:pPr>
  </w:style>
  <w:style w:type="character" w:styleId="Hyperlink">
    <w:name w:val="Hyperlink"/>
    <w:basedOn w:val="DefaultParagraphFont"/>
    <w:uiPriority w:val="99"/>
    <w:unhideWhenUsed/>
    <w:rsid w:val="002752D1"/>
    <w:rPr>
      <w:color w:val="0000FF" w:themeColor="hyperlink"/>
      <w:u w:val="single"/>
    </w:rPr>
  </w:style>
  <w:style w:type="paragraph" w:customStyle="1" w:styleId="Chapitre">
    <w:name w:val="Chapitre"/>
    <w:basedOn w:val="Title"/>
    <w:autoRedefine/>
    <w:rsid w:val="00661799"/>
    <w:pPr>
      <w:pBdr>
        <w:bottom w:val="single" w:sz="4" w:space="14" w:color="3366FF"/>
      </w:pBdr>
      <w:tabs>
        <w:tab w:val="left" w:pos="567"/>
      </w:tabs>
      <w:snapToGrid w:val="0"/>
      <w:spacing w:before="240" w:after="480" w:line="840" w:lineRule="exact"/>
      <w:contextualSpacing w:val="0"/>
    </w:pPr>
    <w:rPr>
      <w:rFonts w:ascii="Arial" w:hAnsi="Arial"/>
      <w:b/>
      <w:bCs/>
      <w:caps/>
      <w:snapToGrid w:val="0"/>
      <w:color w:val="3366FF"/>
      <w:sz w:val="70"/>
      <w:szCs w:val="70"/>
      <w:lang w:val="en-GB" w:eastAsia="zh-CN"/>
    </w:rPr>
  </w:style>
  <w:style w:type="paragraph" w:styleId="Title">
    <w:name w:val="Title"/>
    <w:basedOn w:val="Normal"/>
    <w:next w:val="Normal"/>
    <w:link w:val="TitleChar"/>
    <w:uiPriority w:val="10"/>
    <w:qFormat/>
    <w:rsid w:val="006617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1799"/>
    <w:rPr>
      <w:rFonts w:asciiTheme="majorHAnsi" w:eastAsiaTheme="majorEastAsia" w:hAnsiTheme="majorHAnsi" w:cstheme="majorBidi"/>
      <w:color w:val="17365D" w:themeColor="text2" w:themeShade="BF"/>
      <w:spacing w:val="5"/>
      <w:kern w:val="28"/>
      <w:sz w:val="52"/>
      <w:szCs w:val="52"/>
    </w:rPr>
  </w:style>
  <w:style w:type="paragraph" w:customStyle="1" w:styleId="Sschap">
    <w:name w:val="Sschap"/>
    <w:basedOn w:val="Normal"/>
    <w:autoRedefine/>
    <w:rsid w:val="00661799"/>
    <w:pPr>
      <w:keepNext/>
      <w:widowControl w:val="0"/>
      <w:tabs>
        <w:tab w:val="left" w:pos="567"/>
      </w:tabs>
      <w:snapToGrid w:val="0"/>
      <w:spacing w:before="480" w:after="240" w:line="300" w:lineRule="exact"/>
      <w:jc w:val="both"/>
    </w:pPr>
    <w:rPr>
      <w:rFonts w:ascii="Arial" w:eastAsia="SimSun" w:hAnsi="Arial" w:cs="Arial"/>
      <w:b/>
      <w:bCs/>
      <w:snapToGrid w:val="0"/>
      <w:w w:val="99"/>
      <w:lang w:eastAsia="zh-CN"/>
    </w:rPr>
  </w:style>
  <w:style w:type="paragraph" w:customStyle="1" w:styleId="Txtchap">
    <w:name w:val="Txtchap"/>
    <w:basedOn w:val="Normal"/>
    <w:link w:val="TxtchapCar"/>
    <w:autoRedefine/>
    <w:rsid w:val="00661799"/>
    <w:pPr>
      <w:snapToGrid w:val="0"/>
      <w:spacing w:before="120" w:after="120" w:line="360" w:lineRule="exact"/>
      <w:jc w:val="both"/>
    </w:pPr>
    <w:rPr>
      <w:rFonts w:ascii="Arial" w:eastAsia="SimSun" w:hAnsi="Arial" w:cs="Arial"/>
      <w:snapToGrid w:val="0"/>
      <w:lang w:eastAsia="zh-CN"/>
    </w:rPr>
  </w:style>
  <w:style w:type="character" w:customStyle="1" w:styleId="TxtchapCar">
    <w:name w:val="Txtchap Car"/>
    <w:basedOn w:val="DefaultParagraphFont"/>
    <w:link w:val="Txtchap"/>
    <w:rsid w:val="00661799"/>
    <w:rPr>
      <w:rFonts w:ascii="Arial" w:eastAsia="SimSun" w:hAnsi="Arial" w:cs="Arial"/>
      <w:snapToGrid w:val="0"/>
      <w:lang w:eastAsia="zh-CN"/>
    </w:rPr>
  </w:style>
  <w:style w:type="paragraph" w:customStyle="1" w:styleId="Chapinfo">
    <w:name w:val="Chapinfo"/>
    <w:basedOn w:val="Txtchap"/>
    <w:link w:val="ChapinfoCar"/>
    <w:rsid w:val="00661799"/>
    <w:pPr>
      <w:spacing w:before="480" w:after="0" w:line="320" w:lineRule="exact"/>
      <w:ind w:left="567"/>
    </w:pPr>
    <w:rPr>
      <w:i/>
      <w:iCs/>
      <w:color w:val="3366FF"/>
    </w:rPr>
  </w:style>
  <w:style w:type="character" w:customStyle="1" w:styleId="ChapinfoCar">
    <w:name w:val="Chapinfo Car"/>
    <w:link w:val="Chapinfo"/>
    <w:rsid w:val="00661799"/>
    <w:rPr>
      <w:rFonts w:ascii="Arial" w:eastAsia="SimSun" w:hAnsi="Arial" w:cs="Arial"/>
      <w:i/>
      <w:iCs/>
      <w:snapToGrid w:val="0"/>
      <w:color w:val="3366FF"/>
      <w:lang w:eastAsia="zh-CN"/>
    </w:rPr>
  </w:style>
  <w:style w:type="paragraph" w:customStyle="1" w:styleId="Titcoul">
    <w:name w:val="Titcoul"/>
    <w:basedOn w:val="Title"/>
    <w:link w:val="TitcoulCar"/>
    <w:rsid w:val="00B9304D"/>
    <w:pPr>
      <w:widowControl w:val="0"/>
      <w:pBdr>
        <w:bottom w:val="none" w:sz="0" w:space="0" w:color="auto"/>
      </w:pBdr>
      <w:tabs>
        <w:tab w:val="left" w:pos="851"/>
      </w:tabs>
      <w:snapToGrid w:val="0"/>
      <w:spacing w:before="720" w:after="240" w:line="320" w:lineRule="exact"/>
      <w:ind w:left="851" w:hanging="851"/>
    </w:pPr>
    <w:rPr>
      <w:rFonts w:ascii="Arial" w:eastAsia="SimSun" w:hAnsi="Arial"/>
      <w:b/>
      <w:caps/>
      <w:snapToGrid w:val="0"/>
      <w:color w:val="3366FF"/>
      <w:sz w:val="24"/>
      <w:szCs w:val="32"/>
      <w:lang w:val="en-US" w:eastAsia="zh-CN"/>
    </w:rPr>
  </w:style>
  <w:style w:type="character" w:customStyle="1" w:styleId="TitcoulCar">
    <w:name w:val="Titcoul Car"/>
    <w:link w:val="Titcoul"/>
    <w:rsid w:val="00B9304D"/>
    <w:rPr>
      <w:rFonts w:ascii="Arial" w:eastAsia="SimSun" w:hAnsi="Arial" w:cstheme="majorBidi"/>
      <w:b/>
      <w:caps/>
      <w:snapToGrid w:val="0"/>
      <w:color w:val="3366FF"/>
      <w:spacing w:val="5"/>
      <w:kern w:val="28"/>
      <w:szCs w:val="32"/>
      <w:lang w:val="en-US" w:eastAsia="zh-CN"/>
    </w:rPr>
  </w:style>
  <w:style w:type="paragraph" w:customStyle="1" w:styleId="Texte1">
    <w:name w:val="Texte1"/>
    <w:basedOn w:val="Normal"/>
    <w:link w:val="Texte1Car"/>
    <w:rsid w:val="00B9304D"/>
    <w:pPr>
      <w:tabs>
        <w:tab w:val="left" w:pos="567"/>
      </w:tabs>
      <w:snapToGrid w:val="0"/>
      <w:spacing w:after="60" w:line="280" w:lineRule="exact"/>
      <w:ind w:left="851"/>
      <w:jc w:val="both"/>
    </w:pPr>
    <w:rPr>
      <w:rFonts w:ascii="Arial" w:eastAsia="SimSun" w:hAnsi="Arial" w:cs="Arial"/>
      <w:snapToGrid w:val="0"/>
      <w:sz w:val="20"/>
      <w:szCs w:val="20"/>
      <w:lang w:val="en-GB" w:eastAsia="zh-CN"/>
    </w:rPr>
  </w:style>
  <w:style w:type="character" w:customStyle="1" w:styleId="Texte1Car">
    <w:name w:val="Texte1 Car"/>
    <w:link w:val="Texte1"/>
    <w:rsid w:val="00B9304D"/>
    <w:rPr>
      <w:rFonts w:ascii="Arial" w:eastAsia="SimSun" w:hAnsi="Arial" w:cs="Arial"/>
      <w:snapToGrid w:val="0"/>
      <w:sz w:val="20"/>
      <w:szCs w:val="20"/>
      <w:lang w:val="en-GB" w:eastAsia="zh-CN"/>
    </w:rPr>
  </w:style>
  <w:style w:type="character" w:customStyle="1" w:styleId="Heading4Char">
    <w:name w:val="Heading 4 Char"/>
    <w:basedOn w:val="DefaultParagraphFont"/>
    <w:link w:val="Heading4"/>
    <w:uiPriority w:val="9"/>
    <w:rsid w:val="00454E8A"/>
    <w:rPr>
      <w:rFonts w:ascii="Arial" w:eastAsiaTheme="majorEastAsia" w:hAnsi="Arial" w:cs="Arial"/>
      <w:b/>
      <w:bCs/>
      <w:iCs/>
      <w:caps/>
      <w:snapToGrid w:val="0"/>
      <w:sz w:val="20"/>
      <w:szCs w:val="18"/>
      <w:lang w:val="en-US" w:eastAsia="zh-CN"/>
    </w:rPr>
  </w:style>
  <w:style w:type="paragraph" w:styleId="BalloonText">
    <w:name w:val="Balloon Text"/>
    <w:basedOn w:val="Normal"/>
    <w:link w:val="BalloonTextChar"/>
    <w:uiPriority w:val="99"/>
    <w:semiHidden/>
    <w:unhideWhenUsed/>
    <w:rsid w:val="00AE6520"/>
    <w:rPr>
      <w:rFonts w:ascii="Tahoma" w:hAnsi="Tahoma" w:cs="Tahoma"/>
      <w:sz w:val="16"/>
      <w:szCs w:val="16"/>
    </w:rPr>
  </w:style>
  <w:style w:type="character" w:customStyle="1" w:styleId="BalloonTextChar">
    <w:name w:val="Balloon Text Char"/>
    <w:basedOn w:val="DefaultParagraphFont"/>
    <w:link w:val="BalloonText"/>
    <w:uiPriority w:val="99"/>
    <w:semiHidden/>
    <w:rsid w:val="00AE6520"/>
    <w:rPr>
      <w:rFonts w:ascii="Tahoma" w:hAnsi="Tahoma" w:cs="Tahoma"/>
      <w:sz w:val="16"/>
      <w:szCs w:val="16"/>
    </w:rPr>
  </w:style>
  <w:style w:type="paragraph" w:customStyle="1" w:styleId="UPlan">
    <w:name w:val="UPlan"/>
    <w:basedOn w:val="Normal"/>
    <w:link w:val="UPlanCar"/>
    <w:rsid w:val="00F31FEF"/>
    <w:pPr>
      <w:tabs>
        <w:tab w:val="left" w:pos="567"/>
      </w:tabs>
      <w:snapToGrid w:val="0"/>
      <w:spacing w:before="480" w:line="480" w:lineRule="exact"/>
      <w:contextualSpacing/>
      <w:outlineLvl w:val="0"/>
    </w:pPr>
    <w:rPr>
      <w:rFonts w:ascii="Arial" w:eastAsia="Times New Roman" w:hAnsi="Arial" w:cs="Arial"/>
      <w:b/>
      <w:bCs/>
      <w:caps/>
      <w:noProof/>
      <w:snapToGrid w:val="0"/>
      <w:color w:val="3366FF"/>
      <w:spacing w:val="5"/>
      <w:kern w:val="28"/>
      <w:sz w:val="48"/>
      <w:szCs w:val="48"/>
      <w:lang w:val="en-US" w:eastAsia="zh-CN"/>
    </w:rPr>
  </w:style>
  <w:style w:type="character" w:customStyle="1" w:styleId="UPlanCar">
    <w:name w:val="UPlan Car"/>
    <w:basedOn w:val="DefaultParagraphFont"/>
    <w:link w:val="UPlan"/>
    <w:rsid w:val="00F31FEF"/>
    <w:rPr>
      <w:rFonts w:ascii="Arial" w:eastAsia="Times New Roman" w:hAnsi="Arial" w:cs="Arial"/>
      <w:b/>
      <w:bCs/>
      <w:caps/>
      <w:noProof/>
      <w:snapToGrid w:val="0"/>
      <w:color w:val="3366FF"/>
      <w:spacing w:val="5"/>
      <w:kern w:val="28"/>
      <w:sz w:val="48"/>
      <w:szCs w:val="4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ortal.unesco.org/fr/ev.php-URL_ID=17716&amp;URL_DO=DO_TOPIC&amp;URL_SECTION=201.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unesco.org/culture/ich/index.php?lg=en&amp;pg=0002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nesco.org/open-access/terms-use-ccbysa-fr"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creativecommons.org/licenses/by-sa/3.0/igo/" TargetMode="External"/><Relationship Id="rId14" Type="http://schemas.openxmlformats.org/officeDocument/2006/relationships/hyperlink" Target="http://portal.unesco.org/la/convention.asp?language=F&amp;KO=17116&amp;order=alph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3032</Words>
  <Characters>16681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U017-v1.1-PT-FRA.docx</vt:lpstr>
    </vt:vector>
  </TitlesOfParts>
  <Company>FabDab formation</Company>
  <LinksUpToDate>false</LinksUpToDate>
  <CharactersWithSpaces>19674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U017-v1.1-PT-FRA.docx</dc:title>
  <dc:creator>Fabrice Daboval</dc:creator>
  <cp:lastModifiedBy>Kim, Dain</cp:lastModifiedBy>
  <cp:revision>15</cp:revision>
  <dcterms:created xsi:type="dcterms:W3CDTF">2015-09-25T12:16:00Z</dcterms:created>
  <dcterms:modified xsi:type="dcterms:W3CDTF">2018-04-20T14:56:00Z</dcterms:modified>
</cp:coreProperties>
</file>