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BC" w:rsidRPr="004936EF" w:rsidRDefault="009F28BC" w:rsidP="009F28BC">
      <w:pPr>
        <w:pStyle w:val="Chapitre"/>
      </w:pPr>
      <w:bookmarkStart w:id="0" w:name="_Toc241229778"/>
      <w:bookmarkStart w:id="1" w:name="_Toc241229982"/>
      <w:bookmarkStart w:id="2" w:name="_Toc242165676"/>
      <w:r>
        <w:t>Unidad 49</w:t>
      </w:r>
    </w:p>
    <w:p w:rsidR="006C700E" w:rsidRDefault="006C700E" w:rsidP="006C700E">
      <w:pPr>
        <w:pStyle w:val="HO1"/>
      </w:pPr>
      <w:r>
        <w:t>Folleto 4:</w:t>
      </w:r>
    </w:p>
    <w:bookmarkEnd w:id="0"/>
    <w:bookmarkEnd w:id="1"/>
    <w:bookmarkEnd w:id="2"/>
    <w:p w:rsidR="0031587B" w:rsidRDefault="00F609EC" w:rsidP="00C73E9C">
      <w:pPr>
        <w:pStyle w:val="HO2"/>
      </w:pPr>
      <w:r>
        <w:t>Apoyo a la transmisión del patrimonio cultural inmaterial</w:t>
      </w:r>
    </w:p>
    <w:p w:rsidR="00E40FFB" w:rsidRDefault="00F609EC" w:rsidP="00E40FFB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Ejemplo 1:</w:t>
      </w:r>
    </w:p>
    <w:p w:rsidR="00F609EC" w:rsidRPr="00E40FFB" w:rsidRDefault="00F609EC" w:rsidP="00F609EC">
      <w:pPr>
        <w:pStyle w:val="Texte1"/>
      </w:pPr>
      <w:r>
        <w:t xml:space="preserve">La transmisión de </w:t>
      </w:r>
      <w:r>
        <w:rPr>
          <w:i/>
        </w:rPr>
        <w:t xml:space="preserve">los conocimientos tradicionales de los chamanes jaguares de </w:t>
      </w:r>
      <w:proofErr w:type="spellStart"/>
      <w:r>
        <w:rPr>
          <w:i/>
        </w:rPr>
        <w:t>Yuruparí</w:t>
      </w:r>
      <w:proofErr w:type="spellEnd"/>
      <w:r>
        <w:t xml:space="preserve"> reviste interés debido a que el ritual sirve de vehículo para transmitir las estructuras mitológicas y cosmológicas de idéntica importancia para los hombres y las mujeres de los grupos étnicos locales en la región del sudeste colombiano. El ritual transmite a los niños varones las reglas para mantener la salud del pueblo y el territorio como parte de su pasaje a la edad adulta. En lo que respecta a las mujeres y las niñas, el ritual transmite los conocimientos tradicionales sobre el cuidado de niñas y niños, de embaraza</w:t>
      </w:r>
      <w:r w:rsidR="00421F78">
        <w:t>da</w:t>
      </w:r>
      <w:r>
        <w:t xml:space="preserve">s y la preparación de alimentos. </w:t>
      </w:r>
      <w:r>
        <w:rPr>
          <w:i/>
        </w:rPr>
        <w:t>Así pues, podemos observar con claridad las líneas masculinas y femeninas trazadas para la transmisión de las funciones de género diferenciadas.</w:t>
      </w:r>
    </w:p>
    <w:p w:rsidR="00E40FFB" w:rsidRDefault="00E40FFB" w:rsidP="00E40FFB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Ejemplo 2:</w:t>
      </w:r>
    </w:p>
    <w:p w:rsidR="000C100A" w:rsidRPr="00E40FFB" w:rsidRDefault="00F609EC" w:rsidP="00F609EC">
      <w:pPr>
        <w:pStyle w:val="Texte1"/>
      </w:pPr>
      <w:r>
        <w:t>En el Japón existe un</w:t>
      </w:r>
      <w:r w:rsidR="00421F78">
        <w:t>a</w:t>
      </w:r>
      <w:r>
        <w:t xml:space="preserve"> forma artística de exvotos u ofrendas mediante la cual dos intérpretes —un titiritero de muñecos de madera y un percusionista— colocan muñecos de madera en dos cajuelas de madera y visitan los hogares el día de Año Nuevo para hacer sus interpretaciones. Tradicionalmente, esta forma ha sido transmitida entre hombres, aunque diversos factores, incluido el envejecimiento de los intérpretes, ha</w:t>
      </w:r>
      <w:r w:rsidR="00B406DF">
        <w:t>n</w:t>
      </w:r>
      <w:r>
        <w:t xml:space="preserve"> dificultado la transmisión de estas costumbres y rituales. A fines de la década de 1990, se estableció una asociación para reavivar y transmitir las tradiciones de este arte de exvotos u ofrendas. Al mismo tiem</w:t>
      </w:r>
      <w:bookmarkStart w:id="3" w:name="_GoBack"/>
      <w:bookmarkEnd w:id="3"/>
      <w:r>
        <w:t>po, una mujer solicitó a un maestro intérprete convertirse en aprendiz de esta tradición. De forma inusual, el pedido fue aceptado y desde entonces la mujer se ha dedicado a la transmisión de esta forma de arte.</w:t>
      </w:r>
    </w:p>
    <w:sectPr w:rsidR="000C100A" w:rsidRPr="00E40FFB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39" w:rsidRDefault="00926C39" w:rsidP="000A699C">
      <w:pPr>
        <w:spacing w:before="0" w:after="0"/>
      </w:pPr>
      <w:r>
        <w:separator/>
      </w:r>
    </w:p>
  </w:endnote>
  <w:endnote w:type="continuationSeparator" w:id="0">
    <w:p w:rsidR="00926C39" w:rsidRDefault="00926C39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044005" w:rsidP="004936EF">
    <w:pPr>
      <w:pStyle w:val="Footer"/>
    </w:pPr>
    <w:r>
      <w:rPr>
        <w:noProof/>
        <w:lang w:val="fr-FR" w:eastAsia="ja-JP" w:bidi="ar-SA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 se debe reproducir sin permiso</w:t>
    </w:r>
    <w:r>
      <w:tab/>
      <w:t>U006-v1.0-HO-ES</w:t>
    </w:r>
    <w:r>
      <w:rPr>
        <w:rStyle w:val="PageNumber"/>
      </w:rPr>
      <w:t xml:space="preserve"> </w:t>
    </w:r>
  </w:p>
  <w:p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7D60D5" w:rsidRDefault="00044005">
    <w:pPr>
      <w:pStyle w:val="Footer"/>
    </w:pPr>
    <w:r>
      <w:t>U006-v1.0-HO-ES</w:t>
    </w:r>
    <w:r>
      <w:tab/>
      <w:t>© UNESCO • No se debe reproducir sin permiso</w:t>
    </w:r>
    <w:r>
      <w:tab/>
    </w:r>
    <w:r>
      <w:rPr>
        <w:noProof/>
        <w:lang w:val="fr-FR" w:eastAsia="ja-JP" w:bidi="ar-SA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2B" w:rsidRDefault="00504CD9" w:rsidP="00D56068">
    <w:pPr>
      <w:pStyle w:val="Footer"/>
      <w:tabs>
        <w:tab w:val="left" w:pos="2640"/>
      </w:tabs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EDC4623" wp14:editId="737B889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068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6000" behindDoc="0" locked="0" layoutInCell="1" allowOverlap="1" wp14:anchorId="3160419F" wp14:editId="54C23F83">
          <wp:simplePos x="0" y="0"/>
          <wp:positionH relativeFrom="column">
            <wp:posOffset>4681701</wp:posOffset>
          </wp:positionH>
          <wp:positionV relativeFrom="paragraph">
            <wp:posOffset>-311150</wp:posOffset>
          </wp:positionV>
          <wp:extent cx="95631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9EC">
      <w:t>U049-v1.0-HO4-ES</w:t>
    </w:r>
    <w:r w:rsidR="00F609EC">
      <w:tab/>
    </w:r>
    <w:r w:rsidR="00F3260D">
      <w:tab/>
    </w:r>
    <w:r w:rsidR="00F609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39" w:rsidRDefault="00926C39" w:rsidP="000A699C">
      <w:pPr>
        <w:spacing w:before="0" w:after="0"/>
      </w:pPr>
      <w:r>
        <w:separator/>
      </w:r>
    </w:p>
  </w:footnote>
  <w:footnote w:type="continuationSeparator" w:id="0">
    <w:p w:rsidR="00926C39" w:rsidRDefault="00926C39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rStyle w:val="PageNumber"/>
      </w:rPr>
      <w:t>Unidad 6: Identificación y confección de inventarios</w:t>
    </w:r>
    <w:r>
      <w:tab/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4A4AD6" w:rsidRDefault="00044005" w:rsidP="00D25BBB">
    <w:pPr>
      <w:pStyle w:val="Header"/>
    </w:pPr>
    <w:r>
      <w:t>Folleto</w:t>
    </w:r>
    <w:r>
      <w:tab/>
    </w:r>
    <w:r>
      <w:rPr>
        <w:rStyle w:val="PageNumber"/>
      </w:rPr>
      <w:t xml:space="preserve">Unidad 6: Identificación y confección de inventarios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2305AA" w:rsidRDefault="00254C5C">
    <w:pPr>
      <w:pStyle w:val="Header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2785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1F78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CD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918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6C39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DF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68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FFB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260D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9EC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FBC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es-ES" w:eastAsia="es-E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es-ES" w:eastAsia="es-E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s-ES" w:eastAsia="es-ES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es-ES" w:eastAsia="es-E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es-ES" w:eastAsia="es-E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es-ES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s-ES" w:eastAsia="es-ES" w:bidi="es-ES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s-ES" w:eastAsia="es-ES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s-ES" w:eastAsia="es-ES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s-ES" w:eastAsia="es-ES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es-ES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es-ES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s-E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es-ES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s-E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s-ES"/>
    </w:rPr>
  </w:style>
  <w:style w:type="paragraph" w:customStyle="1" w:styleId="DOa">
    <w:name w:val="DOa"/>
    <w:basedOn w:val="numrationa"/>
    <w:rsid w:val="002915CA"/>
    <w:pPr>
      <w:ind w:left="2325"/>
    </w:p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es-E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es-ES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es-ES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s-ES" w:eastAsia="es-ES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s-ES" w:eastAsia="es-ES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s-E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s-ES" w:eastAsia="es-ES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es-ES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es-ES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s-ES" w:eastAsia="es-ES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D840-AF2A-41EB-A737-9D787FDD6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84BA6-02F7-4193-AB63-A6840F16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1730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2016-05-17T15:56:00Z</dcterms:created>
  <dcterms:modified xsi:type="dcterms:W3CDTF">2018-03-23T12:57:00Z</dcterms:modified>
</cp:coreProperties>
</file>