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660780" w:rsidRPr="005D5E24" w:rsidRDefault="00660780" w:rsidP="00660780">
      <w:pPr>
        <w:spacing w:before="840"/>
        <w:jc w:val="center"/>
        <w:rPr>
          <w:rFonts w:ascii="Arial" w:hAnsi="Arial" w:cs="Arial"/>
          <w:b/>
          <w:sz w:val="22"/>
          <w:szCs w:val="22"/>
        </w:rPr>
      </w:pPr>
      <w:r>
        <w:rPr>
          <w:rFonts w:ascii="Arial" w:hAnsi="Arial" w:cs="Arial"/>
          <w:b/>
          <w:sz w:val="22"/>
          <w:szCs w:val="22"/>
        </w:rPr>
        <w:t>Meeting of the Bureau</w:t>
      </w:r>
    </w:p>
    <w:p w:rsidR="00660780" w:rsidRPr="00436973" w:rsidRDefault="00436973" w:rsidP="00660780">
      <w:pPr>
        <w:jc w:val="center"/>
        <w:rPr>
          <w:rFonts w:ascii="Arial" w:hAnsi="Arial" w:cs="Arial"/>
          <w:b/>
          <w:sz w:val="22"/>
          <w:szCs w:val="22"/>
        </w:rPr>
      </w:pPr>
      <w:r w:rsidRPr="00436973">
        <w:rPr>
          <w:rFonts w:ascii="Arial" w:hAnsi="Arial" w:cs="Arial"/>
          <w:b/>
          <w:sz w:val="22"/>
          <w:szCs w:val="22"/>
        </w:rPr>
        <w:t>UNESCO Headquarters, Paris, Room VIII</w:t>
      </w:r>
    </w:p>
    <w:p w:rsidR="00660780" w:rsidRDefault="00436973" w:rsidP="00660780">
      <w:pPr>
        <w:spacing w:after="1200"/>
        <w:jc w:val="center"/>
        <w:rPr>
          <w:rFonts w:ascii="Arial" w:hAnsi="Arial" w:cs="Arial"/>
          <w:b/>
          <w:sz w:val="22"/>
          <w:szCs w:val="22"/>
        </w:rPr>
      </w:pPr>
      <w:r w:rsidRPr="00436973">
        <w:rPr>
          <w:rFonts w:ascii="Arial" w:hAnsi="Arial" w:cs="Arial"/>
          <w:b/>
          <w:sz w:val="22"/>
          <w:szCs w:val="22"/>
        </w:rPr>
        <w:t>20</w:t>
      </w:r>
      <w:r w:rsidR="00660780" w:rsidRPr="00436973">
        <w:rPr>
          <w:rFonts w:ascii="Arial" w:hAnsi="Arial" w:cs="Arial"/>
          <w:b/>
          <w:sz w:val="22"/>
          <w:szCs w:val="22"/>
        </w:rPr>
        <w:t> </w:t>
      </w:r>
      <w:r w:rsidRPr="00436973">
        <w:rPr>
          <w:rFonts w:ascii="Arial" w:hAnsi="Arial" w:cs="Arial"/>
          <w:b/>
          <w:sz w:val="22"/>
          <w:szCs w:val="22"/>
        </w:rPr>
        <w:t>October 2016</w:t>
      </w:r>
      <w:r w:rsidR="00660780" w:rsidRPr="00436973">
        <w:rPr>
          <w:rFonts w:ascii="Arial" w:hAnsi="Arial" w:cs="Arial"/>
          <w:b/>
          <w:sz w:val="22"/>
          <w:szCs w:val="22"/>
        </w:rPr>
        <w:t xml:space="preserve">, </w:t>
      </w:r>
      <w:r w:rsidRPr="00436973">
        <w:rPr>
          <w:rFonts w:ascii="Arial" w:hAnsi="Arial" w:cs="Arial"/>
          <w:b/>
          <w:sz w:val="22"/>
          <w:szCs w:val="22"/>
        </w:rPr>
        <w:t>10 a.m.–1</w:t>
      </w:r>
      <w:r w:rsidR="00660780" w:rsidRPr="00436973">
        <w:rPr>
          <w:rFonts w:ascii="Arial" w:hAnsi="Arial" w:cs="Arial"/>
          <w:b/>
          <w:sz w:val="22"/>
          <w:szCs w:val="22"/>
        </w:rPr>
        <w:t xml:space="preserve"> </w:t>
      </w:r>
      <w:r w:rsidRPr="00436973">
        <w:rPr>
          <w:rFonts w:ascii="Arial" w:hAnsi="Arial" w:cs="Arial"/>
          <w:b/>
          <w:sz w:val="22"/>
          <w:szCs w:val="22"/>
        </w:rPr>
        <w:t>p</w:t>
      </w:r>
      <w:r w:rsidR="00660780" w:rsidRPr="00436973">
        <w:rPr>
          <w:rFonts w:ascii="Arial" w:hAnsi="Arial" w:cs="Arial"/>
          <w:b/>
          <w:sz w:val="22"/>
          <w:szCs w:val="22"/>
        </w:rPr>
        <w:t>.m.</w:t>
      </w:r>
    </w:p>
    <w:p w:rsidR="005C2A56" w:rsidRPr="00905D57" w:rsidRDefault="005C2A56" w:rsidP="005C2A56">
      <w:pPr>
        <w:spacing w:after="240"/>
        <w:jc w:val="center"/>
        <w:rPr>
          <w:rFonts w:ascii="Arial" w:eastAsia="SimSun" w:hAnsi="Arial" w:cs="Arial"/>
          <w:sz w:val="22"/>
          <w:szCs w:val="22"/>
        </w:rPr>
      </w:pPr>
      <w:r w:rsidRPr="00905D57">
        <w:rPr>
          <w:rFonts w:ascii="Arial" w:hAnsi="Arial" w:cs="Arial"/>
          <w:b/>
          <w:sz w:val="22"/>
          <w:szCs w:val="22"/>
          <w:u w:val="single"/>
        </w:rPr>
        <w:t>DECISIONS</w:t>
      </w:r>
    </w:p>
    <w:p w:rsidR="00400C15" w:rsidRDefault="00EF563B" w:rsidP="00661B42">
      <w:pPr>
        <w:pStyle w:val="COMTitleDecision"/>
        <w:spacing w:before="360"/>
        <w:ind w:left="0"/>
      </w:pPr>
      <w:r w:rsidRPr="00DC2DAE">
        <w:br w:type="page"/>
      </w:r>
      <w:r w:rsidR="00436973">
        <w:lastRenderedPageBreak/>
        <w:t>DECISION 11.COM 3</w:t>
      </w:r>
      <w:r w:rsidR="003650A4" w:rsidRPr="00696A00">
        <w:t>.BUR </w:t>
      </w:r>
      <w:r w:rsidR="00436973">
        <w:t>2</w:t>
      </w:r>
    </w:p>
    <w:p w:rsidR="00436973" w:rsidRPr="0080497A" w:rsidRDefault="00436973" w:rsidP="00436973">
      <w:pPr>
        <w:pStyle w:val="Marge"/>
        <w:keepNext/>
        <w:spacing w:after="120"/>
      </w:pPr>
      <w:r w:rsidRPr="0080497A">
        <w:t>The Bureau,</w:t>
      </w:r>
    </w:p>
    <w:p w:rsidR="00436973" w:rsidRDefault="00436973" w:rsidP="00436973">
      <w:pPr>
        <w:pStyle w:val="Marge"/>
        <w:numPr>
          <w:ilvl w:val="0"/>
          <w:numId w:val="15"/>
        </w:numPr>
        <w:spacing w:after="120"/>
        <w:ind w:left="567" w:hanging="567"/>
      </w:pPr>
      <w:r w:rsidRPr="0080497A">
        <w:rPr>
          <w:u w:val="single"/>
        </w:rPr>
        <w:t>Having examined</w:t>
      </w:r>
      <w:r>
        <w:t xml:space="preserve"> </w:t>
      </w:r>
      <w:r w:rsidRPr="001F79D2">
        <w:t xml:space="preserve">document </w:t>
      </w:r>
      <w:r w:rsidR="001F79D2" w:rsidRPr="001F79D2">
        <w:t>ITH/16/11.COM 3</w:t>
      </w:r>
      <w:r w:rsidRPr="001F79D2">
        <w:t>.BUR/2 and its</w:t>
      </w:r>
      <w:r w:rsidRPr="0080497A">
        <w:t xml:space="preserve"> annex,</w:t>
      </w:r>
    </w:p>
    <w:p w:rsidR="00436973" w:rsidRPr="00CF6887" w:rsidRDefault="00436973" w:rsidP="00436973">
      <w:pPr>
        <w:numPr>
          <w:ilvl w:val="0"/>
          <w:numId w:val="15"/>
        </w:numPr>
        <w:spacing w:before="120" w:after="120"/>
        <w:ind w:left="567" w:hanging="567"/>
        <w:jc w:val="both"/>
        <w:rPr>
          <w:rFonts w:ascii="Arial" w:hAnsi="Arial" w:cs="Arial"/>
          <w:sz w:val="22"/>
          <w:szCs w:val="22"/>
          <w:lang w:val="en-US"/>
        </w:rPr>
      </w:pPr>
      <w:r w:rsidRPr="00CF6887">
        <w:rPr>
          <w:rFonts w:ascii="Arial" w:hAnsi="Arial" w:cs="Arial"/>
          <w:sz w:val="22"/>
          <w:szCs w:val="22"/>
          <w:u w:val="single"/>
          <w:lang w:val="en-US"/>
        </w:rPr>
        <w:t>Adopts</w:t>
      </w:r>
      <w:r>
        <w:rPr>
          <w:rFonts w:ascii="Arial" w:hAnsi="Arial" w:cs="Arial"/>
          <w:sz w:val="22"/>
          <w:szCs w:val="22"/>
          <w:lang w:val="en-US"/>
        </w:rPr>
        <w:t xml:space="preserve"> </w:t>
      </w:r>
      <w:r w:rsidRPr="00CF6887">
        <w:rPr>
          <w:rFonts w:ascii="Arial" w:hAnsi="Arial" w:cs="Arial"/>
          <w:sz w:val="22"/>
          <w:szCs w:val="22"/>
          <w:lang w:val="en-US"/>
        </w:rPr>
        <w:t>the agenda of its meeting as annexed to that Decision.</w:t>
      </w:r>
    </w:p>
    <w:p w:rsidR="00436973" w:rsidRPr="002F205D" w:rsidRDefault="00436973" w:rsidP="00436973">
      <w:pPr>
        <w:spacing w:before="480" w:after="120"/>
        <w:ind w:left="567"/>
        <w:jc w:val="center"/>
        <w:rPr>
          <w:rFonts w:ascii="Arial" w:hAnsi="Arial" w:cs="Arial"/>
          <w:b/>
          <w:sz w:val="22"/>
          <w:szCs w:val="22"/>
          <w:lang w:val="en-US"/>
        </w:rPr>
      </w:pPr>
      <w:r w:rsidRPr="002F205D">
        <w:rPr>
          <w:rFonts w:ascii="Arial" w:hAnsi="Arial" w:cs="Arial"/>
          <w:b/>
          <w:sz w:val="22"/>
          <w:szCs w:val="22"/>
          <w:u w:val="single"/>
          <w:lang w:val="en-US"/>
        </w:rPr>
        <w:t>ANNEX</w:t>
      </w:r>
    </w:p>
    <w:p w:rsidR="00436973" w:rsidRPr="00F36925" w:rsidRDefault="00436973" w:rsidP="000C167A">
      <w:pPr>
        <w:spacing w:before="360" w:after="240"/>
        <w:ind w:left="567"/>
        <w:jc w:val="both"/>
        <w:rPr>
          <w:rFonts w:ascii="Arial" w:eastAsia="SimSun" w:hAnsi="Arial" w:cs="Arial"/>
          <w:b/>
          <w:sz w:val="22"/>
          <w:szCs w:val="22"/>
          <w:lang w:val="en-US"/>
        </w:rPr>
      </w:pPr>
      <w:r w:rsidRPr="00F36925">
        <w:rPr>
          <w:rFonts w:ascii="Arial" w:eastAsia="SimSun" w:hAnsi="Arial" w:cs="Arial"/>
          <w:b/>
          <w:sz w:val="22"/>
          <w:szCs w:val="22"/>
          <w:lang w:val="en-US"/>
        </w:rPr>
        <w:t xml:space="preserve">Provisional agenda of the </w:t>
      </w:r>
      <w:r w:rsidR="001F79D2">
        <w:rPr>
          <w:rFonts w:ascii="Arial" w:eastAsia="SimSun" w:hAnsi="Arial" w:cs="Arial"/>
          <w:b/>
          <w:sz w:val="22"/>
          <w:szCs w:val="22"/>
          <w:lang w:val="en-US"/>
        </w:rPr>
        <w:t>third meeting of the 11</w:t>
      </w:r>
      <w:r>
        <w:rPr>
          <w:rFonts w:ascii="Arial" w:eastAsia="SimSun" w:hAnsi="Arial" w:cs="Arial"/>
          <w:b/>
          <w:sz w:val="22"/>
          <w:szCs w:val="22"/>
          <w:lang w:val="en-US"/>
        </w:rPr>
        <w:t>.COM Bureau</w:t>
      </w:r>
    </w:p>
    <w:tbl>
      <w:tblPr>
        <w:tblW w:w="9258" w:type="dxa"/>
        <w:tblInd w:w="675" w:type="dxa"/>
        <w:tblLook w:val="04A0" w:firstRow="1" w:lastRow="0" w:firstColumn="1" w:lastColumn="0" w:noHBand="0" w:noVBand="1"/>
      </w:tblPr>
      <w:tblGrid>
        <w:gridCol w:w="567"/>
        <w:gridCol w:w="3728"/>
        <w:gridCol w:w="833"/>
        <w:gridCol w:w="4130"/>
      </w:tblGrid>
      <w:tr w:rsidR="001F79D2" w:rsidRPr="006171BF" w:rsidTr="000C167A">
        <w:tc>
          <w:tcPr>
            <w:tcW w:w="4295" w:type="dxa"/>
            <w:gridSpan w:val="2"/>
          </w:tcPr>
          <w:p w:rsidR="001F79D2" w:rsidRPr="006171BF" w:rsidRDefault="001F79D2" w:rsidP="00341EC4">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Agenda item</w:t>
            </w:r>
          </w:p>
        </w:tc>
        <w:tc>
          <w:tcPr>
            <w:tcW w:w="833" w:type="dxa"/>
          </w:tcPr>
          <w:p w:rsidR="001F79D2" w:rsidRPr="006171BF" w:rsidRDefault="001F79D2" w:rsidP="00341EC4">
            <w:pPr>
              <w:adjustRightInd w:val="0"/>
              <w:spacing w:before="120" w:after="160"/>
              <w:outlineLvl w:val="0"/>
              <w:rPr>
                <w:rFonts w:ascii="Arial" w:eastAsia="SimSun" w:hAnsi="Arial" w:cs="Arial"/>
                <w:sz w:val="22"/>
                <w:szCs w:val="22"/>
                <w:u w:val="single"/>
              </w:rPr>
            </w:pPr>
          </w:p>
        </w:tc>
        <w:tc>
          <w:tcPr>
            <w:tcW w:w="4130" w:type="dxa"/>
          </w:tcPr>
          <w:p w:rsidR="001F79D2" w:rsidRPr="006171BF" w:rsidRDefault="001F79D2" w:rsidP="00341EC4">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1F79D2" w:rsidRPr="006171BF" w:rsidTr="000C167A">
        <w:tc>
          <w:tcPr>
            <w:tcW w:w="567" w:type="dxa"/>
          </w:tcPr>
          <w:p w:rsidR="001F79D2" w:rsidRPr="006171BF" w:rsidRDefault="001F79D2" w:rsidP="00341EC4">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3728" w:type="dxa"/>
          </w:tcPr>
          <w:p w:rsidR="001F79D2" w:rsidRPr="006171BF" w:rsidRDefault="001F79D2" w:rsidP="00341EC4">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Opening</w:t>
            </w:r>
          </w:p>
        </w:tc>
        <w:tc>
          <w:tcPr>
            <w:tcW w:w="833" w:type="dxa"/>
          </w:tcPr>
          <w:p w:rsidR="001F79D2" w:rsidRPr="006171BF" w:rsidRDefault="001F79D2" w:rsidP="00341EC4">
            <w:pPr>
              <w:adjustRightInd w:val="0"/>
              <w:spacing w:before="120" w:after="160"/>
              <w:outlineLvl w:val="0"/>
              <w:rPr>
                <w:rFonts w:ascii="Arial" w:eastAsia="SimSun" w:hAnsi="Arial" w:cs="Arial"/>
                <w:sz w:val="22"/>
                <w:szCs w:val="22"/>
              </w:rPr>
            </w:pPr>
          </w:p>
        </w:tc>
        <w:tc>
          <w:tcPr>
            <w:tcW w:w="4130" w:type="dxa"/>
          </w:tcPr>
          <w:p w:rsidR="001F79D2" w:rsidRPr="006171BF" w:rsidRDefault="001F79D2" w:rsidP="00341EC4">
            <w:pPr>
              <w:adjustRightInd w:val="0"/>
              <w:spacing w:before="120" w:after="160"/>
              <w:outlineLvl w:val="0"/>
              <w:rPr>
                <w:rFonts w:ascii="Arial" w:eastAsia="SimSun" w:hAnsi="Arial" w:cs="Arial"/>
                <w:sz w:val="22"/>
                <w:szCs w:val="22"/>
              </w:rPr>
            </w:pPr>
          </w:p>
        </w:tc>
      </w:tr>
      <w:tr w:rsidR="001F79D2" w:rsidRPr="006171BF" w:rsidTr="000C167A">
        <w:tc>
          <w:tcPr>
            <w:tcW w:w="567" w:type="dxa"/>
          </w:tcPr>
          <w:p w:rsidR="001F79D2" w:rsidRPr="006171BF" w:rsidRDefault="001F79D2" w:rsidP="00341EC4">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3728" w:type="dxa"/>
          </w:tcPr>
          <w:p w:rsidR="001F79D2" w:rsidRPr="006171BF" w:rsidRDefault="001F79D2" w:rsidP="00341EC4">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Adoption of the agenda</w:t>
            </w:r>
          </w:p>
        </w:tc>
        <w:tc>
          <w:tcPr>
            <w:tcW w:w="833" w:type="dxa"/>
          </w:tcPr>
          <w:p w:rsidR="001F79D2" w:rsidRPr="006171BF" w:rsidRDefault="001F79D2" w:rsidP="00341EC4">
            <w:pPr>
              <w:adjustRightInd w:val="0"/>
              <w:spacing w:before="120" w:after="160"/>
              <w:outlineLvl w:val="0"/>
              <w:rPr>
                <w:rFonts w:ascii="Arial" w:hAnsi="Arial" w:cs="Arial"/>
                <w:sz w:val="22"/>
                <w:szCs w:val="22"/>
              </w:rPr>
            </w:pPr>
          </w:p>
        </w:tc>
        <w:tc>
          <w:tcPr>
            <w:tcW w:w="4130" w:type="dxa"/>
          </w:tcPr>
          <w:p w:rsidR="001F79D2" w:rsidRPr="006171BF" w:rsidRDefault="001F79D2" w:rsidP="00341EC4">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6/11</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sidRPr="00BA62AC">
              <w:rPr>
                <w:rFonts w:ascii="Arial" w:hAnsi="Arial" w:cs="Arial"/>
                <w:sz w:val="22"/>
                <w:szCs w:val="22"/>
              </w:rPr>
              <w:t>/2</w:t>
            </w:r>
          </w:p>
        </w:tc>
      </w:tr>
      <w:tr w:rsidR="001F79D2" w:rsidRPr="006171BF" w:rsidTr="000C167A">
        <w:tc>
          <w:tcPr>
            <w:tcW w:w="567" w:type="dxa"/>
          </w:tcPr>
          <w:p w:rsidR="001F79D2" w:rsidRPr="006171BF" w:rsidRDefault="001F79D2" w:rsidP="00341EC4">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3728" w:type="dxa"/>
          </w:tcPr>
          <w:p w:rsidR="001F79D2" w:rsidRPr="006171BF" w:rsidRDefault="001F79D2" w:rsidP="00341EC4">
            <w:pPr>
              <w:adjustRightInd w:val="0"/>
              <w:spacing w:before="120" w:after="160"/>
              <w:outlineLvl w:val="0"/>
              <w:rPr>
                <w:rFonts w:ascii="Arial" w:eastAsia="SimSun" w:hAnsi="Arial" w:cs="Arial"/>
                <w:sz w:val="22"/>
                <w:szCs w:val="22"/>
              </w:rPr>
            </w:pPr>
            <w:r>
              <w:rPr>
                <w:rFonts w:ascii="Arial" w:eastAsia="SimSun" w:hAnsi="Arial" w:cs="Arial"/>
                <w:sz w:val="22"/>
                <w:szCs w:val="22"/>
                <w:lang w:val="en-US"/>
              </w:rPr>
              <w:t>Adoption of the</w:t>
            </w:r>
            <w:r w:rsidRPr="006171BF">
              <w:rPr>
                <w:rFonts w:ascii="Arial" w:eastAsia="SimSun" w:hAnsi="Arial" w:cs="Arial"/>
                <w:sz w:val="22"/>
                <w:szCs w:val="22"/>
                <w:lang w:val="en-US"/>
              </w:rPr>
              <w:t xml:space="preserve"> </w:t>
            </w:r>
            <w:r>
              <w:rPr>
                <w:rFonts w:ascii="Arial" w:eastAsia="SimSun" w:hAnsi="Arial" w:cs="Arial"/>
                <w:sz w:val="22"/>
                <w:szCs w:val="22"/>
                <w:lang w:val="en-US"/>
              </w:rPr>
              <w:t xml:space="preserve">provisional </w:t>
            </w:r>
            <w:r w:rsidRPr="006171BF">
              <w:rPr>
                <w:rFonts w:ascii="Arial" w:eastAsia="SimSun" w:hAnsi="Arial" w:cs="Arial"/>
                <w:sz w:val="22"/>
                <w:szCs w:val="22"/>
                <w:lang w:val="en-US"/>
              </w:rPr>
              <w:t xml:space="preserve">timetable of the </w:t>
            </w:r>
            <w:r>
              <w:rPr>
                <w:rFonts w:ascii="Arial" w:eastAsia="SimSun" w:hAnsi="Arial" w:cs="Arial"/>
                <w:sz w:val="22"/>
                <w:szCs w:val="22"/>
                <w:lang w:val="en-US"/>
              </w:rPr>
              <w:t>eleventh</w:t>
            </w:r>
            <w:r w:rsidRPr="006171BF">
              <w:rPr>
                <w:rFonts w:ascii="Arial" w:eastAsia="SimSun" w:hAnsi="Arial" w:cs="Arial"/>
                <w:sz w:val="22"/>
                <w:szCs w:val="22"/>
                <w:lang w:val="en-US"/>
              </w:rPr>
              <w:t xml:space="preserve"> session of the Committee</w:t>
            </w:r>
          </w:p>
        </w:tc>
        <w:tc>
          <w:tcPr>
            <w:tcW w:w="833" w:type="dxa"/>
          </w:tcPr>
          <w:p w:rsidR="001F79D2" w:rsidRPr="006171BF" w:rsidRDefault="001F79D2" w:rsidP="00341EC4">
            <w:pPr>
              <w:adjustRightInd w:val="0"/>
              <w:spacing w:before="120" w:after="160"/>
              <w:outlineLvl w:val="0"/>
              <w:rPr>
                <w:rFonts w:ascii="Arial" w:hAnsi="Arial" w:cs="Arial"/>
                <w:sz w:val="22"/>
                <w:szCs w:val="22"/>
              </w:rPr>
            </w:pPr>
          </w:p>
        </w:tc>
        <w:tc>
          <w:tcPr>
            <w:tcW w:w="4130" w:type="dxa"/>
          </w:tcPr>
          <w:p w:rsidR="001F79D2" w:rsidRPr="006171BF" w:rsidRDefault="001F79D2" w:rsidP="00341EC4">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6/11</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sidRPr="00030737">
              <w:rPr>
                <w:rFonts w:ascii="Arial" w:hAnsi="Arial" w:cs="Arial"/>
                <w:sz w:val="22"/>
                <w:szCs w:val="22"/>
              </w:rPr>
              <w:t>/3</w:t>
            </w:r>
          </w:p>
        </w:tc>
      </w:tr>
      <w:tr w:rsidR="001F79D2" w:rsidRPr="006171BF" w:rsidTr="000C167A">
        <w:tc>
          <w:tcPr>
            <w:tcW w:w="567" w:type="dxa"/>
          </w:tcPr>
          <w:p w:rsidR="001F79D2" w:rsidRPr="006171BF" w:rsidRDefault="001F79D2" w:rsidP="00341EC4">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3728" w:type="dxa"/>
          </w:tcPr>
          <w:p w:rsidR="001F79D2" w:rsidRPr="009C5BA9" w:rsidRDefault="001F79D2" w:rsidP="00341EC4">
            <w:pPr>
              <w:adjustRightInd w:val="0"/>
              <w:spacing w:before="120" w:after="160"/>
              <w:outlineLvl w:val="0"/>
              <w:rPr>
                <w:rFonts w:ascii="Arial" w:eastAsia="SimSun" w:hAnsi="Arial" w:cs="Arial"/>
                <w:sz w:val="22"/>
                <w:szCs w:val="22"/>
              </w:rPr>
            </w:pPr>
            <w:r w:rsidRPr="009C5BA9">
              <w:rPr>
                <w:rFonts w:ascii="Arial" w:eastAsia="SimSun" w:hAnsi="Arial" w:cs="Arial"/>
                <w:bCs/>
                <w:sz w:val="22"/>
                <w:szCs w:val="22"/>
                <w:lang w:eastAsia="zh-CN"/>
              </w:rPr>
              <w:t xml:space="preserve">Examination </w:t>
            </w:r>
            <w:r w:rsidRPr="00074DA8">
              <w:rPr>
                <w:rFonts w:ascii="Arial" w:eastAsia="SimSun" w:hAnsi="Arial" w:cs="Arial"/>
                <w:bCs/>
                <w:sz w:val="22"/>
                <w:szCs w:val="22"/>
                <w:lang w:eastAsia="zh-CN"/>
              </w:rPr>
              <w:t xml:space="preserve">of an </w:t>
            </w:r>
            <w:r>
              <w:rPr>
                <w:rFonts w:ascii="Arial" w:eastAsia="SimSun" w:hAnsi="Arial" w:cs="Arial"/>
                <w:bCs/>
                <w:sz w:val="22"/>
                <w:szCs w:val="22"/>
                <w:lang w:eastAsia="zh-CN"/>
              </w:rPr>
              <w:t>i</w:t>
            </w:r>
            <w:r w:rsidRPr="00074DA8">
              <w:rPr>
                <w:rFonts w:ascii="Arial" w:eastAsia="SimSun" w:hAnsi="Arial" w:cs="Arial"/>
                <w:bCs/>
                <w:sz w:val="22"/>
                <w:szCs w:val="22"/>
                <w:lang w:eastAsia="zh-CN"/>
              </w:rPr>
              <w:t>nternational</w:t>
            </w:r>
            <w:r>
              <w:rPr>
                <w:rFonts w:ascii="Arial" w:eastAsia="SimSun" w:hAnsi="Arial" w:cs="Arial"/>
                <w:bCs/>
                <w:sz w:val="22"/>
                <w:szCs w:val="22"/>
                <w:lang w:eastAsia="zh-CN"/>
              </w:rPr>
              <w:t xml:space="preserve"> assistance request greater than US$100,000</w:t>
            </w:r>
            <w:r w:rsidRPr="009C5BA9">
              <w:rPr>
                <w:rFonts w:ascii="Arial" w:eastAsia="SimSun" w:hAnsi="Arial" w:cs="Arial"/>
                <w:sz w:val="22"/>
                <w:szCs w:val="22"/>
              </w:rPr>
              <w:t xml:space="preserve"> </w:t>
            </w:r>
          </w:p>
        </w:tc>
        <w:tc>
          <w:tcPr>
            <w:tcW w:w="833" w:type="dxa"/>
          </w:tcPr>
          <w:p w:rsidR="001F79D2" w:rsidRPr="009C5BA9" w:rsidRDefault="001F79D2" w:rsidP="00341EC4">
            <w:pPr>
              <w:adjustRightInd w:val="0"/>
              <w:spacing w:before="120" w:after="160"/>
              <w:outlineLvl w:val="0"/>
              <w:rPr>
                <w:rFonts w:ascii="Arial" w:hAnsi="Arial" w:cs="Arial"/>
                <w:sz w:val="22"/>
                <w:szCs w:val="22"/>
              </w:rPr>
            </w:pPr>
          </w:p>
        </w:tc>
        <w:tc>
          <w:tcPr>
            <w:tcW w:w="4130" w:type="dxa"/>
          </w:tcPr>
          <w:p w:rsidR="001F79D2" w:rsidRPr="009C5BA9" w:rsidRDefault="001F79D2" w:rsidP="00341EC4">
            <w:pPr>
              <w:adjustRightInd w:val="0"/>
              <w:spacing w:before="120" w:after="160"/>
              <w:outlineLvl w:val="0"/>
              <w:rPr>
                <w:rFonts w:ascii="Arial" w:eastAsia="SimSun" w:hAnsi="Arial" w:cs="Arial"/>
                <w:sz w:val="22"/>
                <w:szCs w:val="22"/>
              </w:rPr>
            </w:pPr>
            <w:r w:rsidRPr="00257A6E">
              <w:rPr>
                <w:rFonts w:ascii="Arial" w:hAnsi="Arial" w:cs="Arial"/>
                <w:sz w:val="22"/>
                <w:szCs w:val="22"/>
              </w:rPr>
              <w:t>ITH/16/11.COM 3.BUR/4</w:t>
            </w:r>
          </w:p>
        </w:tc>
      </w:tr>
      <w:tr w:rsidR="001F79D2" w:rsidRPr="006171BF" w:rsidTr="000C167A">
        <w:tc>
          <w:tcPr>
            <w:tcW w:w="567" w:type="dxa"/>
          </w:tcPr>
          <w:p w:rsidR="001F79D2" w:rsidRPr="006171BF" w:rsidRDefault="001F79D2" w:rsidP="00341EC4">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3728" w:type="dxa"/>
          </w:tcPr>
          <w:p w:rsidR="001F79D2" w:rsidRPr="00F2515B" w:rsidRDefault="001F79D2" w:rsidP="00341EC4">
            <w:pPr>
              <w:adjustRightInd w:val="0"/>
              <w:spacing w:before="120" w:after="160"/>
              <w:outlineLvl w:val="0"/>
              <w:rPr>
                <w:rFonts w:ascii="Arial" w:eastAsia="SimSun" w:hAnsi="Arial" w:cs="Arial"/>
                <w:bCs/>
                <w:sz w:val="22"/>
                <w:szCs w:val="22"/>
                <w:lang w:eastAsia="zh-CN"/>
              </w:rPr>
            </w:pPr>
            <w:r w:rsidRPr="009C5BA9">
              <w:rPr>
                <w:rFonts w:ascii="Arial" w:eastAsia="SimSun" w:hAnsi="Arial" w:cs="Arial"/>
                <w:bCs/>
                <w:sz w:val="22"/>
                <w:szCs w:val="22"/>
                <w:lang w:eastAsia="zh-CN"/>
              </w:rPr>
              <w:t xml:space="preserve">Examination of </w:t>
            </w:r>
            <w:r>
              <w:rPr>
                <w:rFonts w:ascii="Arial" w:eastAsia="SimSun" w:hAnsi="Arial" w:cs="Arial"/>
                <w:bCs/>
                <w:sz w:val="22"/>
                <w:szCs w:val="22"/>
                <w:lang w:eastAsia="zh-CN"/>
              </w:rPr>
              <w:t>three i</w:t>
            </w:r>
            <w:r w:rsidRPr="009C5BA9">
              <w:rPr>
                <w:rFonts w:ascii="Arial" w:eastAsia="SimSun" w:hAnsi="Arial" w:cs="Arial"/>
                <w:bCs/>
                <w:sz w:val="22"/>
                <w:szCs w:val="22"/>
                <w:lang w:eastAsia="zh-CN"/>
              </w:rPr>
              <w:t>nternational</w:t>
            </w:r>
            <w:r>
              <w:rPr>
                <w:rFonts w:ascii="Arial" w:eastAsia="SimSun" w:hAnsi="Arial" w:cs="Arial"/>
                <w:bCs/>
                <w:sz w:val="22"/>
                <w:szCs w:val="22"/>
                <w:lang w:eastAsia="zh-CN"/>
              </w:rPr>
              <w:t xml:space="preserve"> assistance requests up to US$100,000</w:t>
            </w:r>
          </w:p>
        </w:tc>
        <w:tc>
          <w:tcPr>
            <w:tcW w:w="833" w:type="dxa"/>
          </w:tcPr>
          <w:p w:rsidR="001F79D2" w:rsidRPr="009C5BA9" w:rsidRDefault="001F79D2" w:rsidP="00341EC4">
            <w:pPr>
              <w:adjustRightInd w:val="0"/>
              <w:spacing w:before="120" w:after="160"/>
              <w:outlineLvl w:val="0"/>
              <w:rPr>
                <w:rFonts w:ascii="Arial" w:hAnsi="Arial" w:cs="Arial"/>
                <w:sz w:val="22"/>
                <w:szCs w:val="22"/>
              </w:rPr>
            </w:pPr>
          </w:p>
        </w:tc>
        <w:tc>
          <w:tcPr>
            <w:tcW w:w="4130" w:type="dxa"/>
          </w:tcPr>
          <w:p w:rsidR="001F79D2" w:rsidRPr="009C5BA9" w:rsidRDefault="001F79D2" w:rsidP="00341EC4">
            <w:pPr>
              <w:adjustRightInd w:val="0"/>
              <w:spacing w:before="120" w:after="160"/>
              <w:outlineLvl w:val="0"/>
              <w:rPr>
                <w:rFonts w:ascii="Arial" w:eastAsia="SimSun" w:hAnsi="Arial" w:cs="Arial"/>
                <w:sz w:val="22"/>
                <w:szCs w:val="22"/>
              </w:rPr>
            </w:pPr>
            <w:r w:rsidRPr="00257A6E">
              <w:rPr>
                <w:rFonts w:ascii="Arial" w:hAnsi="Arial" w:cs="Arial"/>
                <w:sz w:val="22"/>
                <w:szCs w:val="22"/>
              </w:rPr>
              <w:t>ITH/16/11.COM 3.BUR/5</w:t>
            </w:r>
          </w:p>
        </w:tc>
      </w:tr>
      <w:tr w:rsidR="001F79D2" w:rsidRPr="006171BF" w:rsidTr="000C167A">
        <w:tc>
          <w:tcPr>
            <w:tcW w:w="567" w:type="dxa"/>
          </w:tcPr>
          <w:p w:rsidR="001F79D2" w:rsidRPr="006171BF" w:rsidRDefault="001F79D2" w:rsidP="00341EC4">
            <w:pPr>
              <w:adjustRightInd w:val="0"/>
              <w:spacing w:before="120" w:after="160"/>
              <w:outlineLvl w:val="0"/>
              <w:rPr>
                <w:rFonts w:ascii="Arial" w:eastAsia="SimSun" w:hAnsi="Arial" w:cs="Arial"/>
                <w:sz w:val="22"/>
                <w:szCs w:val="22"/>
              </w:rPr>
            </w:pPr>
            <w:r>
              <w:rPr>
                <w:rFonts w:ascii="Arial" w:eastAsia="SimSun" w:hAnsi="Arial" w:cs="Arial"/>
                <w:sz w:val="22"/>
                <w:szCs w:val="22"/>
              </w:rPr>
              <w:t>6</w:t>
            </w:r>
            <w:r w:rsidRPr="006171BF">
              <w:rPr>
                <w:rFonts w:ascii="Arial" w:eastAsia="SimSun" w:hAnsi="Arial" w:cs="Arial"/>
                <w:sz w:val="22"/>
                <w:szCs w:val="22"/>
              </w:rPr>
              <w:t>.</w:t>
            </w:r>
          </w:p>
        </w:tc>
        <w:tc>
          <w:tcPr>
            <w:tcW w:w="3728" w:type="dxa"/>
          </w:tcPr>
          <w:p w:rsidR="001F79D2" w:rsidRPr="006171BF" w:rsidRDefault="001F79D2" w:rsidP="00341EC4">
            <w:pPr>
              <w:adjustRightInd w:val="0"/>
              <w:spacing w:before="120" w:after="160"/>
              <w:outlineLvl w:val="0"/>
              <w:rPr>
                <w:rFonts w:ascii="Arial" w:eastAsia="SimSun" w:hAnsi="Arial" w:cs="Arial"/>
                <w:sz w:val="22"/>
                <w:szCs w:val="22"/>
              </w:rPr>
            </w:pPr>
            <w:r w:rsidRPr="00805B17">
              <w:rPr>
                <w:rFonts w:ascii="Arial" w:hAnsi="Arial" w:cs="Arial"/>
                <w:sz w:val="22"/>
                <w:szCs w:val="22"/>
              </w:rPr>
              <w:t>Other business</w:t>
            </w:r>
          </w:p>
        </w:tc>
        <w:tc>
          <w:tcPr>
            <w:tcW w:w="833" w:type="dxa"/>
          </w:tcPr>
          <w:p w:rsidR="001F79D2" w:rsidRPr="006171BF" w:rsidRDefault="001F79D2" w:rsidP="00341EC4">
            <w:pPr>
              <w:adjustRightInd w:val="0"/>
              <w:spacing w:before="120" w:after="160"/>
              <w:outlineLvl w:val="0"/>
              <w:rPr>
                <w:rFonts w:ascii="Arial" w:hAnsi="Arial" w:cs="Arial"/>
                <w:sz w:val="22"/>
                <w:szCs w:val="22"/>
              </w:rPr>
            </w:pPr>
          </w:p>
        </w:tc>
        <w:tc>
          <w:tcPr>
            <w:tcW w:w="4130" w:type="dxa"/>
          </w:tcPr>
          <w:p w:rsidR="001F79D2" w:rsidRPr="006171BF" w:rsidRDefault="001F79D2" w:rsidP="00341EC4">
            <w:pPr>
              <w:adjustRightInd w:val="0"/>
              <w:spacing w:before="120" w:after="160"/>
              <w:outlineLvl w:val="0"/>
              <w:rPr>
                <w:rFonts w:ascii="Arial" w:hAnsi="Arial" w:cs="Arial"/>
                <w:sz w:val="22"/>
                <w:szCs w:val="22"/>
              </w:rPr>
            </w:pPr>
          </w:p>
        </w:tc>
      </w:tr>
      <w:tr w:rsidR="001F79D2" w:rsidRPr="00837B64" w:rsidTr="000C167A">
        <w:tc>
          <w:tcPr>
            <w:tcW w:w="567" w:type="dxa"/>
          </w:tcPr>
          <w:p w:rsidR="001F79D2" w:rsidRPr="006171BF" w:rsidRDefault="001F79D2" w:rsidP="00341EC4">
            <w:pPr>
              <w:adjustRightInd w:val="0"/>
              <w:spacing w:before="120" w:after="160"/>
              <w:outlineLvl w:val="0"/>
              <w:rPr>
                <w:rFonts w:ascii="Arial" w:eastAsia="SimSun" w:hAnsi="Arial" w:cs="Arial"/>
                <w:sz w:val="22"/>
                <w:szCs w:val="22"/>
              </w:rPr>
            </w:pPr>
            <w:r>
              <w:rPr>
                <w:rFonts w:ascii="Arial" w:eastAsia="SimSun" w:hAnsi="Arial" w:cs="Arial"/>
                <w:sz w:val="22"/>
                <w:szCs w:val="22"/>
              </w:rPr>
              <w:t>7</w:t>
            </w:r>
            <w:r w:rsidRPr="006171BF">
              <w:rPr>
                <w:rFonts w:ascii="Arial" w:eastAsia="SimSun" w:hAnsi="Arial" w:cs="Arial"/>
                <w:sz w:val="22"/>
                <w:szCs w:val="22"/>
              </w:rPr>
              <w:t>.</w:t>
            </w:r>
          </w:p>
        </w:tc>
        <w:tc>
          <w:tcPr>
            <w:tcW w:w="3728" w:type="dxa"/>
          </w:tcPr>
          <w:p w:rsidR="001F79D2" w:rsidRPr="00837B64" w:rsidRDefault="001F79D2" w:rsidP="00341EC4">
            <w:pPr>
              <w:adjustRightInd w:val="0"/>
              <w:spacing w:before="120" w:after="160"/>
              <w:outlineLvl w:val="0"/>
              <w:rPr>
                <w:rFonts w:ascii="Arial" w:eastAsia="SimSun" w:hAnsi="Arial" w:cs="Arial"/>
                <w:sz w:val="22"/>
                <w:szCs w:val="22"/>
              </w:rPr>
            </w:pPr>
            <w:r>
              <w:rPr>
                <w:rFonts w:ascii="Arial" w:eastAsia="SimSun" w:hAnsi="Arial" w:cs="Arial"/>
                <w:sz w:val="22"/>
                <w:szCs w:val="22"/>
              </w:rPr>
              <w:t>Closure</w:t>
            </w:r>
          </w:p>
        </w:tc>
        <w:tc>
          <w:tcPr>
            <w:tcW w:w="833" w:type="dxa"/>
          </w:tcPr>
          <w:p w:rsidR="001F79D2" w:rsidRPr="00837B64" w:rsidRDefault="001F79D2" w:rsidP="00341EC4">
            <w:pPr>
              <w:adjustRightInd w:val="0"/>
              <w:spacing w:before="120" w:after="160"/>
              <w:outlineLvl w:val="0"/>
              <w:rPr>
                <w:rFonts w:ascii="Arial" w:hAnsi="Arial" w:cs="Arial"/>
                <w:sz w:val="22"/>
                <w:szCs w:val="22"/>
              </w:rPr>
            </w:pPr>
          </w:p>
        </w:tc>
        <w:tc>
          <w:tcPr>
            <w:tcW w:w="4130" w:type="dxa"/>
          </w:tcPr>
          <w:p w:rsidR="001F79D2" w:rsidRPr="00837B64" w:rsidRDefault="001F79D2" w:rsidP="00341EC4">
            <w:pPr>
              <w:adjustRightInd w:val="0"/>
              <w:spacing w:before="120" w:after="160"/>
              <w:outlineLvl w:val="0"/>
              <w:rPr>
                <w:rFonts w:ascii="Arial" w:hAnsi="Arial" w:cs="Arial"/>
                <w:sz w:val="22"/>
                <w:szCs w:val="22"/>
              </w:rPr>
            </w:pPr>
          </w:p>
        </w:tc>
      </w:tr>
    </w:tbl>
    <w:p w:rsidR="003650A4" w:rsidRDefault="003650A4" w:rsidP="000C167A">
      <w:pPr>
        <w:pStyle w:val="COMTitleDecision"/>
        <w:spacing w:before="360" w:after="240"/>
        <w:ind w:left="0"/>
      </w:pPr>
      <w:r w:rsidRPr="00AB524C">
        <w:t>DECISION 11.COM </w:t>
      </w:r>
      <w:r w:rsidR="001F79D2">
        <w:t>3</w:t>
      </w:r>
      <w:r w:rsidRPr="00AB524C">
        <w:t>.BUR </w:t>
      </w:r>
      <w:r w:rsidR="001F79D2">
        <w:t>3</w:t>
      </w:r>
    </w:p>
    <w:p w:rsidR="001F79D2" w:rsidRPr="001D1EA7" w:rsidRDefault="001F79D2" w:rsidP="001F79D2">
      <w:pPr>
        <w:spacing w:after="120"/>
        <w:jc w:val="both"/>
        <w:rPr>
          <w:rFonts w:ascii="Arial" w:eastAsia="SimSun" w:hAnsi="Arial" w:cs="Arial"/>
          <w:noProof/>
          <w:sz w:val="22"/>
          <w:szCs w:val="22"/>
        </w:rPr>
      </w:pPr>
      <w:r w:rsidRPr="001D1EA7">
        <w:rPr>
          <w:rFonts w:ascii="Arial" w:hAnsi="Arial" w:cs="Arial"/>
          <w:noProof/>
          <w:sz w:val="22"/>
          <w:szCs w:val="22"/>
        </w:rPr>
        <w:t>The Bureau,</w:t>
      </w:r>
    </w:p>
    <w:p w:rsidR="001F79D2" w:rsidRPr="00C64C04" w:rsidRDefault="001F79D2" w:rsidP="001F79D2">
      <w:pPr>
        <w:numPr>
          <w:ilvl w:val="0"/>
          <w:numId w:val="16"/>
        </w:numPr>
        <w:spacing w:before="120" w:after="120" w:line="240" w:lineRule="exact"/>
        <w:ind w:left="567" w:hanging="567"/>
        <w:jc w:val="both"/>
        <w:rPr>
          <w:rFonts w:ascii="Arial" w:eastAsia="SimSun" w:hAnsi="Arial" w:cs="Arial"/>
          <w:noProof/>
          <w:sz w:val="22"/>
          <w:szCs w:val="22"/>
        </w:rPr>
      </w:pPr>
      <w:r w:rsidRPr="003710C5">
        <w:rPr>
          <w:rFonts w:ascii="Arial" w:eastAsia="SimSun" w:hAnsi="Arial" w:cs="Arial"/>
          <w:noProof/>
          <w:sz w:val="22"/>
          <w:szCs w:val="22"/>
          <w:u w:val="single"/>
        </w:rPr>
        <w:t>Having examined</w:t>
      </w:r>
      <w:r w:rsidRPr="003710C5">
        <w:rPr>
          <w:rFonts w:ascii="Arial" w:eastAsia="SimSun" w:hAnsi="Arial" w:cs="Arial"/>
          <w:noProof/>
          <w:sz w:val="22"/>
          <w:szCs w:val="22"/>
        </w:rPr>
        <w:t xml:space="preserve"> document </w:t>
      </w:r>
      <w:r>
        <w:rPr>
          <w:rFonts w:ascii="Arial" w:hAnsi="Arial" w:cs="Arial"/>
          <w:sz w:val="22"/>
          <w:szCs w:val="22"/>
          <w:lang w:val="en-US"/>
        </w:rPr>
        <w:t>ITH/16/11.COM 3</w:t>
      </w:r>
      <w:r w:rsidRPr="003710C5">
        <w:rPr>
          <w:rFonts w:ascii="Arial" w:hAnsi="Arial" w:cs="Arial"/>
          <w:sz w:val="22"/>
          <w:szCs w:val="22"/>
          <w:lang w:val="en-US"/>
        </w:rPr>
        <w:t>.BUR</w:t>
      </w:r>
      <w:r w:rsidRPr="00C64C04">
        <w:rPr>
          <w:rFonts w:ascii="Arial" w:hAnsi="Arial" w:cs="Arial"/>
          <w:sz w:val="22"/>
          <w:szCs w:val="22"/>
          <w:lang w:val="en-US"/>
        </w:rPr>
        <w:t>/3</w:t>
      </w:r>
      <w:r w:rsidRPr="00C64C04">
        <w:rPr>
          <w:rFonts w:ascii="Arial" w:hAnsi="Arial" w:cs="Arial"/>
          <w:noProof/>
          <w:sz w:val="22"/>
          <w:szCs w:val="22"/>
        </w:rPr>
        <w:t>,</w:t>
      </w:r>
    </w:p>
    <w:p w:rsidR="001F79D2" w:rsidRPr="00502131" w:rsidRDefault="001F79D2" w:rsidP="001F79D2">
      <w:pPr>
        <w:numPr>
          <w:ilvl w:val="0"/>
          <w:numId w:val="16"/>
        </w:numPr>
        <w:spacing w:before="120" w:after="120" w:line="240" w:lineRule="exact"/>
        <w:ind w:left="567" w:hanging="567"/>
        <w:jc w:val="both"/>
        <w:rPr>
          <w:rFonts w:ascii="Arial" w:eastAsia="SimSun" w:hAnsi="Arial" w:cs="Arial"/>
          <w:noProof/>
          <w:sz w:val="22"/>
          <w:szCs w:val="22"/>
        </w:rPr>
      </w:pPr>
      <w:r w:rsidRPr="001D1EA7">
        <w:rPr>
          <w:rFonts w:ascii="Arial" w:hAnsi="Arial" w:cs="Arial"/>
          <w:sz w:val="22"/>
          <w:szCs w:val="22"/>
          <w:u w:val="single"/>
        </w:rPr>
        <w:t>Takes note</w:t>
      </w:r>
      <w:r w:rsidRPr="00502131">
        <w:rPr>
          <w:rFonts w:ascii="Arial" w:hAnsi="Arial" w:cs="Arial"/>
          <w:sz w:val="22"/>
          <w:szCs w:val="22"/>
        </w:rPr>
        <w:t xml:space="preserve"> of the </w:t>
      </w:r>
      <w:r w:rsidRPr="00FB47BB">
        <w:rPr>
          <w:rFonts w:ascii="Arial" w:hAnsi="Arial" w:cs="Arial"/>
          <w:sz w:val="22"/>
          <w:szCs w:val="22"/>
        </w:rPr>
        <w:t xml:space="preserve">provisional </w:t>
      </w:r>
      <w:r w:rsidRPr="00C12CA0">
        <w:rPr>
          <w:rFonts w:ascii="Arial" w:hAnsi="Arial" w:cs="Arial"/>
          <w:sz w:val="22"/>
          <w:szCs w:val="22"/>
        </w:rPr>
        <w:t>agenda</w:t>
      </w:r>
      <w:r w:rsidRPr="00FB47BB">
        <w:rPr>
          <w:rFonts w:ascii="Arial" w:hAnsi="Arial" w:cs="Arial"/>
          <w:sz w:val="22"/>
          <w:szCs w:val="22"/>
        </w:rPr>
        <w:t xml:space="preserve"> of the</w:t>
      </w:r>
      <w:r w:rsidRPr="00502131">
        <w:rPr>
          <w:rFonts w:ascii="Arial" w:hAnsi="Arial" w:cs="Arial"/>
          <w:sz w:val="22"/>
          <w:szCs w:val="22"/>
        </w:rPr>
        <w:t xml:space="preserve"> </w:t>
      </w:r>
      <w:r>
        <w:rPr>
          <w:rFonts w:ascii="Arial" w:hAnsi="Arial" w:cs="Arial"/>
          <w:sz w:val="22"/>
          <w:szCs w:val="22"/>
        </w:rPr>
        <w:t>eleventh</w:t>
      </w:r>
      <w:r w:rsidRPr="00502131">
        <w:rPr>
          <w:rFonts w:ascii="Arial" w:hAnsi="Arial" w:cs="Arial"/>
          <w:sz w:val="22"/>
          <w:szCs w:val="22"/>
        </w:rPr>
        <w:t xml:space="preserve"> session of the Committee;</w:t>
      </w:r>
    </w:p>
    <w:p w:rsidR="001F79D2" w:rsidRPr="003710C5" w:rsidRDefault="001F79D2" w:rsidP="001F79D2">
      <w:pPr>
        <w:numPr>
          <w:ilvl w:val="0"/>
          <w:numId w:val="16"/>
        </w:numPr>
        <w:spacing w:before="120" w:after="240"/>
        <w:ind w:left="567" w:hanging="567"/>
        <w:jc w:val="both"/>
        <w:rPr>
          <w:rFonts w:ascii="Arial" w:eastAsia="SimSun" w:hAnsi="Arial" w:cs="Arial"/>
          <w:noProof/>
          <w:sz w:val="22"/>
          <w:szCs w:val="22"/>
        </w:rPr>
      </w:pPr>
      <w:r w:rsidRPr="001D1EA7">
        <w:rPr>
          <w:rFonts w:ascii="Arial" w:eastAsia="SimSun" w:hAnsi="Arial" w:cs="Arial"/>
          <w:noProof/>
          <w:sz w:val="22"/>
          <w:szCs w:val="22"/>
          <w:u w:val="single"/>
        </w:rPr>
        <w:t>Submits</w:t>
      </w:r>
      <w:r w:rsidRPr="001D1EA7">
        <w:rPr>
          <w:rFonts w:ascii="Arial" w:eastAsia="SimSun" w:hAnsi="Arial" w:cs="Arial"/>
          <w:noProof/>
          <w:sz w:val="22"/>
          <w:szCs w:val="22"/>
        </w:rPr>
        <w:t xml:space="preserve"> to the Committee the </w:t>
      </w:r>
      <w:r w:rsidRPr="00FB47BB">
        <w:rPr>
          <w:rFonts w:ascii="Arial" w:eastAsia="SimSun" w:hAnsi="Arial" w:cs="Arial"/>
          <w:noProof/>
          <w:sz w:val="22"/>
          <w:szCs w:val="22"/>
        </w:rPr>
        <w:t>provisional timetable of its works</w:t>
      </w:r>
      <w:r>
        <w:rPr>
          <w:rFonts w:ascii="Arial" w:eastAsia="SimSun" w:hAnsi="Arial" w:cs="Arial"/>
          <w:noProof/>
          <w:sz w:val="22"/>
          <w:szCs w:val="22"/>
        </w:rPr>
        <w:t xml:space="preserve"> at</w:t>
      </w:r>
      <w:r w:rsidRPr="001D1EA7">
        <w:rPr>
          <w:rFonts w:ascii="Arial" w:eastAsia="SimSun" w:hAnsi="Arial" w:cs="Arial"/>
          <w:noProof/>
          <w:sz w:val="22"/>
          <w:szCs w:val="22"/>
        </w:rPr>
        <w:t xml:space="preserve"> its </w:t>
      </w:r>
      <w:r>
        <w:rPr>
          <w:rFonts w:ascii="Arial" w:eastAsia="SimSun" w:hAnsi="Arial" w:cs="Arial"/>
          <w:noProof/>
          <w:sz w:val="22"/>
          <w:szCs w:val="22"/>
        </w:rPr>
        <w:t>eleventh</w:t>
      </w:r>
      <w:r w:rsidRPr="001D1EA7">
        <w:rPr>
          <w:rFonts w:ascii="Arial" w:eastAsia="SimSun" w:hAnsi="Arial" w:cs="Arial"/>
          <w:noProof/>
          <w:sz w:val="22"/>
          <w:szCs w:val="22"/>
        </w:rPr>
        <w:t xml:space="preserve"> session </w:t>
      </w:r>
      <w:r w:rsidRPr="001D1EA7">
        <w:rPr>
          <w:rFonts w:ascii="Arial" w:hAnsi="Arial" w:cs="Arial"/>
          <w:noProof/>
          <w:sz w:val="22"/>
          <w:szCs w:val="22"/>
        </w:rPr>
        <w:t>as annexed to this Decision.</w:t>
      </w:r>
    </w:p>
    <w:p w:rsidR="001F79D2" w:rsidRDefault="001F79D2" w:rsidP="001F79D2">
      <w:pPr>
        <w:spacing w:before="240" w:after="240"/>
        <w:jc w:val="center"/>
        <w:rPr>
          <w:rFonts w:ascii="Arial" w:eastAsia="SimSun" w:hAnsi="Arial" w:cs="Arial"/>
          <w:b/>
          <w:noProof/>
          <w:sz w:val="22"/>
          <w:szCs w:val="22"/>
          <w:u w:val="single"/>
        </w:rPr>
      </w:pPr>
      <w:r w:rsidRPr="003710C5">
        <w:rPr>
          <w:rFonts w:ascii="Arial" w:eastAsia="SimSun" w:hAnsi="Arial" w:cs="Arial"/>
          <w:b/>
          <w:noProof/>
          <w:sz w:val="22"/>
          <w:szCs w:val="22"/>
          <w:u w:val="single"/>
        </w:rPr>
        <w:t>ANNEX</w:t>
      </w:r>
    </w:p>
    <w:tbl>
      <w:tblPr>
        <w:tblW w:w="4945" w:type="pct"/>
        <w:tblInd w:w="108" w:type="dxa"/>
        <w:tblLayout w:type="fixed"/>
        <w:tblLook w:val="01E0" w:firstRow="1" w:lastRow="1" w:firstColumn="1" w:lastColumn="1" w:noHBand="0" w:noVBand="0"/>
      </w:tblPr>
      <w:tblGrid>
        <w:gridCol w:w="2409"/>
        <w:gridCol w:w="741"/>
        <w:gridCol w:w="6596"/>
      </w:tblGrid>
      <w:tr w:rsidR="001F79D2" w:rsidRPr="0024519D" w:rsidTr="00341EC4">
        <w:trPr>
          <w:cantSplit/>
        </w:trPr>
        <w:tc>
          <w:tcPr>
            <w:tcW w:w="5000" w:type="pct"/>
            <w:gridSpan w:val="3"/>
            <w:shd w:val="clear" w:color="auto" w:fill="BFBFBF"/>
          </w:tcPr>
          <w:p w:rsidR="001F79D2" w:rsidRPr="0024519D" w:rsidRDefault="001F79D2" w:rsidP="00341EC4">
            <w:pPr>
              <w:spacing w:before="60" w:after="60"/>
              <w:rPr>
                <w:rFonts w:ascii="Arial" w:hAnsi="Arial" w:cs="Arial"/>
                <w:b/>
                <w:sz w:val="20"/>
                <w:szCs w:val="20"/>
                <w:u w:val="single"/>
              </w:rPr>
            </w:pPr>
            <w:r w:rsidRPr="0024519D">
              <w:rPr>
                <w:rFonts w:ascii="Arial" w:hAnsi="Arial" w:cs="Arial"/>
                <w:b/>
                <w:sz w:val="20"/>
                <w:szCs w:val="20"/>
                <w:u w:val="single"/>
              </w:rPr>
              <w:t>Monday, 28 November 2016</w:t>
            </w:r>
          </w:p>
        </w:tc>
      </w:tr>
      <w:tr w:rsidR="001F79D2" w:rsidRPr="0024519D" w:rsidTr="00341EC4">
        <w:trPr>
          <w:cantSplit/>
        </w:trPr>
        <w:tc>
          <w:tcPr>
            <w:tcW w:w="1236" w:type="pct"/>
            <w:vAlign w:val="center"/>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As of 8.30 a.m.</w:t>
            </w:r>
          </w:p>
        </w:tc>
        <w:tc>
          <w:tcPr>
            <w:tcW w:w="3764" w:type="pct"/>
            <w:gridSpan w:val="2"/>
            <w:vAlign w:val="center"/>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Registration of participants</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9.30 a.m. – 12.30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Opening</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2.</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 xml:space="preserve">Adoption of the agenda </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3.</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Observers</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4.</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Adoption of the summary records of the tenth session of the Committee</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5.</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Report by the Secretariat on its activities</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6.</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Voluntary supplementary contributions to the Intangible Cultural Heritage Fund</w:t>
            </w:r>
          </w:p>
        </w:tc>
      </w:tr>
      <w:tr w:rsidR="001F79D2" w:rsidRPr="0024519D" w:rsidTr="00341EC4">
        <w:trPr>
          <w:cantSplit/>
        </w:trPr>
        <w:tc>
          <w:tcPr>
            <w:tcW w:w="1236" w:type="pct"/>
            <w:shd w:val="clear" w:color="auto" w:fill="D9D9D9"/>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12.30 – 2.30 p.m.</w:t>
            </w:r>
          </w:p>
        </w:tc>
        <w:tc>
          <w:tcPr>
            <w:tcW w:w="3764" w:type="pct"/>
            <w:gridSpan w:val="2"/>
            <w:shd w:val="clear" w:color="auto" w:fill="D9D9D9"/>
            <w:vAlign w:val="center"/>
          </w:tcPr>
          <w:p w:rsidR="001F79D2" w:rsidRPr="0024519D" w:rsidRDefault="001F79D2" w:rsidP="00341EC4">
            <w:pPr>
              <w:tabs>
                <w:tab w:val="num" w:pos="1080"/>
              </w:tabs>
              <w:autoSpaceDE w:val="0"/>
              <w:autoSpaceDN w:val="0"/>
              <w:spacing w:before="60" w:after="60"/>
              <w:ind w:right="-2"/>
              <w:rPr>
                <w:rFonts w:ascii="Arial" w:hAnsi="Arial" w:cs="Arial"/>
                <w:sz w:val="20"/>
                <w:szCs w:val="20"/>
              </w:rPr>
            </w:pPr>
            <w:r w:rsidRPr="0024519D">
              <w:rPr>
                <w:rFonts w:ascii="Arial" w:eastAsia="SimSun" w:hAnsi="Arial" w:cs="Arial"/>
                <w:bCs/>
                <w:sz w:val="20"/>
                <w:szCs w:val="20"/>
                <w:lang w:eastAsia="zh-CN"/>
              </w:rPr>
              <w:t>Lunch</w:t>
            </w:r>
          </w:p>
        </w:tc>
      </w:tr>
      <w:tr w:rsidR="001F79D2" w:rsidRPr="0024519D" w:rsidTr="001F79D2">
        <w:trPr>
          <w:cantSplit/>
        </w:trPr>
        <w:tc>
          <w:tcPr>
            <w:tcW w:w="1236" w:type="pct"/>
          </w:tcPr>
          <w:p w:rsidR="001F79D2" w:rsidRPr="0024519D" w:rsidRDefault="001F79D2" w:rsidP="00341EC4">
            <w:pPr>
              <w:spacing w:before="60" w:after="60"/>
              <w:ind w:left="567" w:hanging="567"/>
              <w:rPr>
                <w:rFonts w:ascii="Arial" w:hAnsi="Arial" w:cs="Arial"/>
                <w:sz w:val="20"/>
                <w:szCs w:val="20"/>
              </w:rPr>
            </w:pPr>
            <w:r w:rsidRPr="0024519D">
              <w:rPr>
                <w:rFonts w:ascii="Arial" w:hAnsi="Arial" w:cs="Arial"/>
                <w:sz w:val="20"/>
                <w:szCs w:val="20"/>
              </w:rPr>
              <w:t>2.30 – 5.30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7.</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Follow-up to the recommendations of the External Auditor’s ‘Report on the governance of UNESCO and dependant funds, programmes and entities’ (Document 38C/23)</w:t>
            </w:r>
          </w:p>
        </w:tc>
      </w:tr>
      <w:tr w:rsidR="001F79D2" w:rsidRPr="0024519D" w:rsidTr="001F79D2">
        <w:trPr>
          <w:cantSplit/>
        </w:trPr>
        <w:tc>
          <w:tcPr>
            <w:tcW w:w="1236" w:type="pct"/>
          </w:tcPr>
          <w:p w:rsidR="001F79D2" w:rsidRPr="0024519D" w:rsidRDefault="001F79D2" w:rsidP="00341EC4">
            <w:pPr>
              <w:spacing w:before="60" w:after="60"/>
              <w:ind w:left="567" w:hanging="567"/>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8.</w:t>
            </w:r>
          </w:p>
        </w:tc>
        <w:tc>
          <w:tcPr>
            <w:tcW w:w="3384" w:type="pct"/>
          </w:tcPr>
          <w:p w:rsidR="001F79D2" w:rsidRPr="0024519D" w:rsidRDefault="001F79D2" w:rsidP="00341EC4">
            <w:pPr>
              <w:adjustRightInd w:val="0"/>
              <w:spacing w:before="60" w:after="60"/>
              <w:rPr>
                <w:rFonts w:ascii="Arial" w:hAnsi="Arial" w:cs="Arial"/>
                <w:sz w:val="20"/>
                <w:szCs w:val="20"/>
              </w:rPr>
            </w:pPr>
            <w:r w:rsidRPr="00C12CA0">
              <w:rPr>
                <w:rFonts w:ascii="Arial" w:hAnsi="Arial" w:cs="Arial"/>
                <w:sz w:val="20"/>
                <w:szCs w:val="20"/>
              </w:rPr>
              <w:t>Clarification on the decision making process concerning inscription, selection, or approval, of nominations, proposals and requests</w:t>
            </w:r>
          </w:p>
        </w:tc>
      </w:tr>
      <w:tr w:rsidR="001F79D2" w:rsidRPr="0024519D" w:rsidTr="001F79D2">
        <w:trPr>
          <w:cantSplit/>
        </w:trPr>
        <w:tc>
          <w:tcPr>
            <w:tcW w:w="1236" w:type="pct"/>
          </w:tcPr>
          <w:p w:rsidR="001F79D2" w:rsidRPr="0024519D" w:rsidRDefault="001F79D2" w:rsidP="00341EC4">
            <w:pPr>
              <w:spacing w:before="60" w:after="60"/>
              <w:ind w:left="567" w:hanging="567"/>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9.</w:t>
            </w:r>
          </w:p>
        </w:tc>
        <w:tc>
          <w:tcPr>
            <w:tcW w:w="3384" w:type="pct"/>
          </w:tcPr>
          <w:p w:rsidR="001F79D2" w:rsidRPr="0024519D" w:rsidRDefault="001F79D2" w:rsidP="00341EC4">
            <w:pPr>
              <w:adjustRightInd w:val="0"/>
              <w:spacing w:before="60" w:after="60"/>
              <w:rPr>
                <w:rFonts w:ascii="Arial" w:hAnsi="Arial" w:cs="Arial"/>
                <w:bCs/>
                <w:noProof/>
                <w:snapToGrid w:val="0"/>
                <w:sz w:val="22"/>
                <w:szCs w:val="22"/>
                <w:lang w:eastAsia="en-US"/>
              </w:rPr>
            </w:pPr>
            <w:r w:rsidRPr="0024519D">
              <w:rPr>
                <w:rFonts w:ascii="Arial" w:hAnsi="Arial" w:cs="Arial"/>
                <w:sz w:val="20"/>
                <w:szCs w:val="20"/>
              </w:rPr>
              <w:t>Reports of States Parties</w:t>
            </w:r>
          </w:p>
        </w:tc>
      </w:tr>
      <w:tr w:rsidR="001F79D2" w:rsidRPr="0024519D" w:rsidTr="001F79D2">
        <w:trPr>
          <w:cantSplit/>
        </w:trPr>
        <w:tc>
          <w:tcPr>
            <w:tcW w:w="1236" w:type="pct"/>
          </w:tcPr>
          <w:p w:rsidR="001F79D2" w:rsidRPr="0024519D" w:rsidRDefault="001F79D2" w:rsidP="00341EC4">
            <w:pPr>
              <w:spacing w:before="60" w:after="60"/>
              <w:ind w:left="567" w:hanging="567"/>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9.a</w:t>
            </w:r>
          </w:p>
        </w:tc>
        <w:tc>
          <w:tcPr>
            <w:tcW w:w="3384" w:type="pct"/>
          </w:tcPr>
          <w:p w:rsidR="001F79D2" w:rsidRPr="0024519D" w:rsidRDefault="001F79D2" w:rsidP="00341EC4">
            <w:pPr>
              <w:spacing w:before="60" w:after="60"/>
              <w:rPr>
                <w:rFonts w:ascii="Arial" w:hAnsi="Arial" w:cs="Arial"/>
                <w:bCs/>
                <w:noProof/>
                <w:snapToGrid w:val="0"/>
                <w:sz w:val="20"/>
                <w:szCs w:val="20"/>
                <w:lang w:eastAsia="en-US"/>
              </w:rPr>
            </w:pPr>
            <w:r w:rsidRPr="0024519D">
              <w:rPr>
                <w:rFonts w:ascii="Arial" w:hAnsi="Arial" w:cs="Arial"/>
                <w:bCs/>
                <w:noProof/>
                <w:snapToGrid w:val="0"/>
                <w:sz w:val="20"/>
                <w:szCs w:val="20"/>
                <w:lang w:eastAsia="en-US"/>
              </w:rPr>
              <w:t>Examination of the reports of States Parties on the implementation of the Convention and on the current status of elements inscribed on the Representative List of the Intangible Cultural Heritage of Humanity</w:t>
            </w:r>
          </w:p>
        </w:tc>
      </w:tr>
      <w:tr w:rsidR="001F79D2" w:rsidRPr="0024519D" w:rsidTr="00341EC4">
        <w:trPr>
          <w:cantSplit/>
        </w:trPr>
        <w:tc>
          <w:tcPr>
            <w:tcW w:w="5000" w:type="pct"/>
            <w:gridSpan w:val="3"/>
            <w:shd w:val="clear" w:color="auto" w:fill="BFBFBF"/>
          </w:tcPr>
          <w:p w:rsidR="001F79D2" w:rsidRPr="0024519D" w:rsidRDefault="001F79D2" w:rsidP="00341EC4">
            <w:pPr>
              <w:spacing w:before="60" w:after="60"/>
              <w:rPr>
                <w:rFonts w:ascii="Arial" w:hAnsi="Arial" w:cs="Arial"/>
                <w:b/>
                <w:sz w:val="20"/>
                <w:szCs w:val="20"/>
                <w:u w:val="single"/>
              </w:rPr>
            </w:pPr>
            <w:r w:rsidRPr="0024519D">
              <w:rPr>
                <w:rFonts w:ascii="Arial" w:hAnsi="Arial" w:cs="Arial"/>
                <w:b/>
                <w:sz w:val="20"/>
                <w:szCs w:val="20"/>
                <w:u w:val="single"/>
              </w:rPr>
              <w:t>Tuesday, 29 November 2016</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 – 9.30 a.m.</w:t>
            </w:r>
          </w:p>
        </w:tc>
        <w:tc>
          <w:tcPr>
            <w:tcW w:w="380" w:type="pct"/>
          </w:tcPr>
          <w:p w:rsidR="001F79D2" w:rsidRPr="0024519D" w:rsidRDefault="001F79D2" w:rsidP="00341EC4">
            <w:pPr>
              <w:autoSpaceDE w:val="0"/>
              <w:autoSpaceDN w:val="0"/>
              <w:spacing w:before="60" w:after="60"/>
              <w:ind w:left="567" w:hanging="567"/>
              <w:jc w:val="center"/>
              <w:rPr>
                <w:rFonts w:ascii="Arial" w:hAnsi="Arial" w:cs="Arial"/>
                <w:snapToGrid w:val="0"/>
                <w:sz w:val="20"/>
                <w:szCs w:val="20"/>
              </w:rPr>
            </w:pPr>
          </w:p>
        </w:tc>
        <w:tc>
          <w:tcPr>
            <w:tcW w:w="3384" w:type="pct"/>
          </w:tcPr>
          <w:p w:rsidR="001F79D2" w:rsidRPr="0024519D" w:rsidRDefault="001F79D2" w:rsidP="00341EC4">
            <w:pPr>
              <w:autoSpaceDE w:val="0"/>
              <w:autoSpaceDN w:val="0"/>
              <w:spacing w:before="60" w:after="60"/>
              <w:rPr>
                <w:rFonts w:ascii="Arial" w:hAnsi="Arial" w:cs="Arial"/>
                <w:sz w:val="20"/>
                <w:szCs w:val="20"/>
              </w:rPr>
            </w:pPr>
            <w:r w:rsidRPr="0024519D">
              <w:rPr>
                <w:rFonts w:ascii="Arial" w:hAnsi="Arial" w:cs="Arial"/>
                <w:sz w:val="20"/>
                <w:szCs w:val="20"/>
              </w:rPr>
              <w:t>Meeting of the Bureau</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9.30 a.m. – 12.30 p.m.</w:t>
            </w:r>
          </w:p>
        </w:tc>
        <w:tc>
          <w:tcPr>
            <w:tcW w:w="380" w:type="pct"/>
          </w:tcPr>
          <w:p w:rsidR="001F79D2" w:rsidRPr="0024519D" w:rsidRDefault="001F79D2" w:rsidP="00341EC4">
            <w:pPr>
              <w:autoSpaceDE w:val="0"/>
              <w:autoSpaceDN w:val="0"/>
              <w:spacing w:before="60" w:after="60"/>
              <w:ind w:left="567" w:hanging="567"/>
              <w:jc w:val="right"/>
              <w:rPr>
                <w:rFonts w:ascii="Arial" w:hAnsi="Arial" w:cs="Arial"/>
                <w:sz w:val="20"/>
                <w:szCs w:val="20"/>
              </w:rPr>
            </w:pPr>
            <w:r w:rsidRPr="0024519D">
              <w:rPr>
                <w:rFonts w:ascii="Arial" w:hAnsi="Arial" w:cs="Arial"/>
                <w:sz w:val="20"/>
                <w:szCs w:val="20"/>
              </w:rPr>
              <w:t>9.b</w:t>
            </w:r>
          </w:p>
        </w:tc>
        <w:tc>
          <w:tcPr>
            <w:tcW w:w="3384" w:type="pct"/>
          </w:tcPr>
          <w:p w:rsidR="001F79D2" w:rsidRPr="0024519D" w:rsidRDefault="001F79D2" w:rsidP="00341EC4">
            <w:pPr>
              <w:spacing w:before="60" w:after="60"/>
              <w:rPr>
                <w:rFonts w:ascii="Arial" w:hAnsi="Arial" w:cs="Arial"/>
                <w:bCs/>
                <w:noProof/>
                <w:snapToGrid w:val="0"/>
                <w:sz w:val="20"/>
                <w:szCs w:val="20"/>
                <w:lang w:eastAsia="en-US"/>
              </w:rPr>
            </w:pPr>
            <w:r w:rsidRPr="0024519D">
              <w:rPr>
                <w:rFonts w:ascii="Arial" w:hAnsi="Arial" w:cs="Arial"/>
                <w:bCs/>
                <w:noProof/>
                <w:snapToGrid w:val="0"/>
                <w:sz w:val="20"/>
                <w:szCs w:val="20"/>
                <w:lang w:val="en" w:eastAsia="en-US"/>
              </w:rPr>
              <w:t>Examination of the reports of States Parties on the current status of elements inscribed on the List of Intangible Cultural Heritage in Need of Urgent Safeguarding</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autoSpaceDE w:val="0"/>
              <w:autoSpaceDN w:val="0"/>
              <w:spacing w:before="60" w:after="60"/>
              <w:ind w:left="567" w:hanging="567"/>
              <w:jc w:val="right"/>
              <w:rPr>
                <w:rFonts w:ascii="Arial" w:hAnsi="Arial" w:cs="Arial"/>
                <w:snapToGrid w:val="0"/>
                <w:sz w:val="20"/>
                <w:szCs w:val="20"/>
              </w:rPr>
            </w:pPr>
            <w:r w:rsidRPr="0024519D">
              <w:rPr>
                <w:rFonts w:ascii="Arial" w:hAnsi="Arial" w:cs="Arial"/>
                <w:snapToGrid w:val="0"/>
                <w:sz w:val="20"/>
                <w:szCs w:val="20"/>
              </w:rPr>
              <w:t>9.c</w:t>
            </w:r>
          </w:p>
        </w:tc>
        <w:tc>
          <w:tcPr>
            <w:tcW w:w="3384" w:type="pct"/>
          </w:tcPr>
          <w:p w:rsidR="001F79D2" w:rsidRPr="0024519D" w:rsidRDefault="001F79D2" w:rsidP="00341EC4">
            <w:pPr>
              <w:spacing w:before="60" w:after="60"/>
              <w:rPr>
                <w:rFonts w:ascii="Arial" w:hAnsi="Arial"/>
                <w:bCs/>
                <w:snapToGrid w:val="0"/>
                <w:sz w:val="22"/>
                <w:szCs w:val="22"/>
                <w:lang w:val="en" w:eastAsia="en-US"/>
              </w:rPr>
            </w:pPr>
            <w:r w:rsidRPr="0024519D">
              <w:rPr>
                <w:rFonts w:ascii="Arial" w:hAnsi="Arial" w:cs="Arial"/>
                <w:bCs/>
                <w:noProof/>
                <w:snapToGrid w:val="0"/>
                <w:sz w:val="20"/>
                <w:szCs w:val="20"/>
                <w:lang w:val="en" w:eastAsia="en-US"/>
              </w:rPr>
              <w:t xml:space="preserve">Reports of States Parties on the use of </w:t>
            </w:r>
            <w:r>
              <w:rPr>
                <w:rFonts w:ascii="Arial" w:hAnsi="Arial" w:cs="Arial"/>
                <w:bCs/>
                <w:noProof/>
                <w:snapToGrid w:val="0"/>
                <w:sz w:val="20"/>
                <w:szCs w:val="20"/>
                <w:lang w:val="en" w:eastAsia="en-US"/>
              </w:rPr>
              <w:t>I</w:t>
            </w:r>
            <w:r w:rsidRPr="0024519D">
              <w:rPr>
                <w:rFonts w:ascii="Arial" w:hAnsi="Arial" w:cs="Arial"/>
                <w:bCs/>
                <w:noProof/>
                <w:snapToGrid w:val="0"/>
                <w:sz w:val="20"/>
                <w:szCs w:val="20"/>
                <w:lang w:val="en" w:eastAsia="en-US"/>
              </w:rPr>
              <w:t xml:space="preserve">nternational </w:t>
            </w:r>
            <w:r>
              <w:rPr>
                <w:rFonts w:ascii="Arial" w:hAnsi="Arial" w:cs="Arial"/>
                <w:bCs/>
                <w:noProof/>
                <w:snapToGrid w:val="0"/>
                <w:sz w:val="20"/>
                <w:szCs w:val="20"/>
                <w:lang w:val="en" w:eastAsia="en-US"/>
              </w:rPr>
              <w:t>A</w:t>
            </w:r>
            <w:r w:rsidRPr="0024519D">
              <w:rPr>
                <w:rFonts w:ascii="Arial" w:hAnsi="Arial" w:cs="Arial"/>
                <w:bCs/>
                <w:noProof/>
                <w:snapToGrid w:val="0"/>
                <w:sz w:val="20"/>
                <w:szCs w:val="20"/>
                <w:lang w:val="en" w:eastAsia="en-US"/>
              </w:rPr>
              <w:t>ssistance from the Intangible Cultural Heritage Fund</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autoSpaceDE w:val="0"/>
              <w:autoSpaceDN w:val="0"/>
              <w:spacing w:before="60" w:after="60"/>
              <w:ind w:left="567" w:hanging="567"/>
              <w:jc w:val="right"/>
              <w:rPr>
                <w:rFonts w:ascii="Arial" w:hAnsi="Arial" w:cs="Arial"/>
                <w:snapToGrid w:val="0"/>
                <w:sz w:val="20"/>
                <w:szCs w:val="20"/>
              </w:rPr>
            </w:pPr>
            <w:r w:rsidRPr="0024519D">
              <w:rPr>
                <w:rFonts w:ascii="Arial" w:hAnsi="Arial" w:cs="Arial"/>
                <w:snapToGrid w:val="0"/>
                <w:sz w:val="20"/>
                <w:szCs w:val="20"/>
              </w:rPr>
              <w:t>10.</w:t>
            </w:r>
          </w:p>
        </w:tc>
        <w:tc>
          <w:tcPr>
            <w:tcW w:w="3384" w:type="pct"/>
          </w:tcPr>
          <w:p w:rsidR="001F79D2" w:rsidRPr="0024519D" w:rsidRDefault="001F79D2" w:rsidP="00341EC4">
            <w:pPr>
              <w:spacing w:before="60" w:after="60"/>
              <w:rPr>
                <w:rFonts w:ascii="Arial" w:hAnsi="Arial" w:cs="Arial"/>
                <w:bCs/>
                <w:noProof/>
                <w:snapToGrid w:val="0"/>
                <w:sz w:val="20"/>
                <w:szCs w:val="20"/>
                <w:lang w:val="en" w:eastAsia="en-US"/>
              </w:rPr>
            </w:pPr>
            <w:r w:rsidRPr="0024519D">
              <w:rPr>
                <w:rFonts w:ascii="Arial" w:hAnsi="Arial" w:cs="Arial"/>
                <w:bCs/>
                <w:noProof/>
                <w:snapToGrid w:val="0"/>
                <w:sz w:val="20"/>
                <w:szCs w:val="20"/>
                <w:lang w:val="en" w:eastAsia="en-US"/>
              </w:rPr>
              <w:t>Report of the Evaluation Body on its work in 2016</w:t>
            </w:r>
          </w:p>
        </w:tc>
      </w:tr>
      <w:tr w:rsidR="001F79D2" w:rsidRPr="0024519D" w:rsidTr="00341EC4">
        <w:trPr>
          <w:cantSplit/>
        </w:trPr>
        <w:tc>
          <w:tcPr>
            <w:tcW w:w="1236" w:type="pct"/>
            <w:shd w:val="clear" w:color="auto" w:fill="D9D9D9"/>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12.30 – 2.30 p.m.</w:t>
            </w:r>
          </w:p>
        </w:tc>
        <w:tc>
          <w:tcPr>
            <w:tcW w:w="3764" w:type="pct"/>
            <w:gridSpan w:val="2"/>
            <w:shd w:val="clear" w:color="auto" w:fill="D9D9D9"/>
          </w:tcPr>
          <w:p w:rsidR="001F79D2" w:rsidRPr="0024519D" w:rsidRDefault="001F79D2" w:rsidP="00341EC4">
            <w:pPr>
              <w:keepNext/>
              <w:pageBreakBefore/>
              <w:tabs>
                <w:tab w:val="num" w:pos="1080"/>
              </w:tabs>
              <w:autoSpaceDE w:val="0"/>
              <w:autoSpaceDN w:val="0"/>
              <w:spacing w:before="60" w:after="60"/>
              <w:jc w:val="both"/>
              <w:rPr>
                <w:rFonts w:ascii="Arial" w:hAnsi="Arial" w:cs="Arial"/>
                <w:sz w:val="20"/>
                <w:szCs w:val="20"/>
              </w:rPr>
            </w:pPr>
            <w:r w:rsidRPr="0024519D">
              <w:rPr>
                <w:rFonts w:ascii="Arial" w:eastAsia="SimSun" w:hAnsi="Arial" w:cs="Arial"/>
                <w:bCs/>
                <w:sz w:val="20"/>
                <w:szCs w:val="20"/>
                <w:lang w:eastAsia="zh-CN"/>
              </w:rPr>
              <w:t>Lunch</w:t>
            </w:r>
          </w:p>
        </w:tc>
      </w:tr>
      <w:tr w:rsidR="001F79D2" w:rsidRPr="0024519D" w:rsidTr="001F79D2">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2.30 – 5.30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10.a</w:t>
            </w:r>
          </w:p>
        </w:tc>
        <w:tc>
          <w:tcPr>
            <w:tcW w:w="3384" w:type="pct"/>
            <w:vAlign w:val="center"/>
          </w:tcPr>
          <w:p w:rsidR="001F79D2" w:rsidRPr="0024519D" w:rsidRDefault="001F79D2" w:rsidP="00341EC4">
            <w:pPr>
              <w:keepNext/>
              <w:spacing w:before="60" w:after="60"/>
              <w:rPr>
                <w:rFonts w:ascii="Arial" w:hAnsi="Arial" w:cs="Arial"/>
                <w:sz w:val="20"/>
                <w:szCs w:val="20"/>
              </w:rPr>
            </w:pPr>
            <w:r w:rsidRPr="0024519D">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1F79D2" w:rsidRPr="0024519D" w:rsidTr="00341EC4">
        <w:trPr>
          <w:cantSplit/>
        </w:trPr>
        <w:tc>
          <w:tcPr>
            <w:tcW w:w="5000" w:type="pct"/>
            <w:gridSpan w:val="3"/>
            <w:shd w:val="clear" w:color="auto" w:fill="BFBFBF"/>
          </w:tcPr>
          <w:p w:rsidR="001F79D2" w:rsidRPr="0024519D" w:rsidRDefault="001F79D2" w:rsidP="00341EC4">
            <w:pPr>
              <w:spacing w:before="60" w:after="60"/>
              <w:rPr>
                <w:rFonts w:ascii="Arial" w:hAnsi="Arial" w:cs="Arial"/>
                <w:b/>
                <w:sz w:val="20"/>
                <w:szCs w:val="20"/>
                <w:u w:val="single"/>
              </w:rPr>
            </w:pPr>
            <w:r w:rsidRPr="0024519D">
              <w:rPr>
                <w:rFonts w:ascii="Arial" w:hAnsi="Arial" w:cs="Arial"/>
                <w:b/>
                <w:sz w:val="20"/>
                <w:szCs w:val="20"/>
                <w:u w:val="single"/>
              </w:rPr>
              <w:t>Wednesday, 30 November 2016</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 – 9.30 a.m.</w:t>
            </w:r>
          </w:p>
        </w:tc>
        <w:tc>
          <w:tcPr>
            <w:tcW w:w="380" w:type="pct"/>
          </w:tcPr>
          <w:p w:rsidR="001F79D2" w:rsidRPr="0024519D" w:rsidRDefault="001F79D2" w:rsidP="00341EC4">
            <w:pPr>
              <w:autoSpaceDE w:val="0"/>
              <w:autoSpaceDN w:val="0"/>
              <w:spacing w:before="60" w:after="60"/>
              <w:ind w:left="567" w:hanging="567"/>
              <w:jc w:val="center"/>
              <w:rPr>
                <w:rFonts w:ascii="Arial" w:hAnsi="Arial" w:cs="Arial"/>
                <w:snapToGrid w:val="0"/>
                <w:sz w:val="20"/>
                <w:szCs w:val="20"/>
              </w:rPr>
            </w:pPr>
          </w:p>
        </w:tc>
        <w:tc>
          <w:tcPr>
            <w:tcW w:w="3384" w:type="pct"/>
          </w:tcPr>
          <w:p w:rsidR="001F79D2" w:rsidRPr="0024519D" w:rsidRDefault="001F79D2" w:rsidP="00341EC4">
            <w:pPr>
              <w:autoSpaceDE w:val="0"/>
              <w:autoSpaceDN w:val="0"/>
              <w:spacing w:before="60" w:after="60"/>
              <w:rPr>
                <w:rFonts w:ascii="Arial" w:hAnsi="Arial" w:cs="Arial"/>
                <w:sz w:val="20"/>
                <w:szCs w:val="20"/>
              </w:rPr>
            </w:pPr>
            <w:r w:rsidRPr="0024519D">
              <w:rPr>
                <w:rFonts w:ascii="Arial" w:hAnsi="Arial" w:cs="Arial"/>
                <w:sz w:val="20"/>
                <w:szCs w:val="20"/>
              </w:rPr>
              <w:t>Meeting of the Bureau</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9.30 a.m. – 12.30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10.b</w:t>
            </w:r>
          </w:p>
        </w:tc>
        <w:tc>
          <w:tcPr>
            <w:tcW w:w="3384" w:type="pct"/>
          </w:tcPr>
          <w:p w:rsidR="001F79D2" w:rsidRPr="0024519D" w:rsidRDefault="001F79D2" w:rsidP="00341EC4">
            <w:pPr>
              <w:spacing w:before="60" w:after="60"/>
              <w:rPr>
                <w:rFonts w:ascii="Arial" w:hAnsi="Arial" w:cs="Arial"/>
                <w:noProof/>
                <w:sz w:val="22"/>
                <w:szCs w:val="22"/>
              </w:rPr>
            </w:pPr>
            <w:r w:rsidRPr="0024519D">
              <w:rPr>
                <w:rFonts w:ascii="Arial" w:hAnsi="Arial" w:cs="Arial"/>
                <w:sz w:val="20"/>
                <w:szCs w:val="20"/>
              </w:rPr>
              <w:t>Examination of nominations for inscription on the Representative List of the Intangible Cultural Heritage of Humanity</w:t>
            </w:r>
          </w:p>
        </w:tc>
      </w:tr>
      <w:tr w:rsidR="001F79D2" w:rsidRPr="0024519D" w:rsidTr="00341EC4">
        <w:trPr>
          <w:cantSplit/>
        </w:trPr>
        <w:tc>
          <w:tcPr>
            <w:tcW w:w="1236" w:type="pct"/>
            <w:shd w:val="clear" w:color="auto" w:fill="D9D9D9"/>
          </w:tcPr>
          <w:p w:rsidR="001F79D2" w:rsidRPr="0024519D" w:rsidRDefault="001F79D2" w:rsidP="00341EC4">
            <w:pPr>
              <w:keepNext/>
              <w:spacing w:before="60" w:after="60"/>
              <w:rPr>
                <w:rFonts w:ascii="Arial" w:hAnsi="Arial" w:cs="Arial"/>
                <w:sz w:val="20"/>
                <w:szCs w:val="20"/>
              </w:rPr>
            </w:pPr>
            <w:r w:rsidRPr="0024519D">
              <w:rPr>
                <w:rFonts w:ascii="Arial" w:hAnsi="Arial" w:cs="Arial"/>
                <w:sz w:val="20"/>
                <w:szCs w:val="20"/>
              </w:rPr>
              <w:t>12.30 – 2.30 p.m.</w:t>
            </w:r>
          </w:p>
        </w:tc>
        <w:tc>
          <w:tcPr>
            <w:tcW w:w="3764" w:type="pct"/>
            <w:gridSpan w:val="2"/>
            <w:shd w:val="clear" w:color="auto" w:fill="D9D9D9"/>
          </w:tcPr>
          <w:p w:rsidR="001F79D2" w:rsidRPr="0024519D" w:rsidRDefault="001F79D2" w:rsidP="00341EC4">
            <w:pPr>
              <w:tabs>
                <w:tab w:val="num" w:pos="1080"/>
              </w:tabs>
              <w:autoSpaceDE w:val="0"/>
              <w:autoSpaceDN w:val="0"/>
              <w:spacing w:before="60" w:after="60"/>
              <w:ind w:right="198"/>
              <w:rPr>
                <w:rFonts w:ascii="Arial" w:hAnsi="Arial" w:cs="Arial"/>
                <w:sz w:val="20"/>
                <w:szCs w:val="20"/>
              </w:rPr>
            </w:pPr>
            <w:r w:rsidRPr="0024519D">
              <w:rPr>
                <w:rFonts w:ascii="Arial" w:eastAsia="SimSun" w:hAnsi="Arial" w:cs="Arial"/>
                <w:bCs/>
                <w:sz w:val="20"/>
                <w:szCs w:val="20"/>
                <w:lang w:eastAsia="zh-CN"/>
              </w:rPr>
              <w:t>Lunch</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2.30 – 5.30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10.b</w:t>
            </w:r>
          </w:p>
        </w:tc>
        <w:tc>
          <w:tcPr>
            <w:tcW w:w="3384" w:type="pct"/>
          </w:tcPr>
          <w:p w:rsidR="001F79D2" w:rsidRPr="0024519D" w:rsidRDefault="001F79D2" w:rsidP="00341EC4">
            <w:pPr>
              <w:spacing w:before="60" w:after="60"/>
              <w:rPr>
                <w:rFonts w:ascii="Arial" w:hAnsi="Arial" w:cs="Arial"/>
                <w:noProof/>
                <w:sz w:val="22"/>
                <w:szCs w:val="22"/>
              </w:rPr>
            </w:pPr>
            <w:r w:rsidRPr="0024519D">
              <w:rPr>
                <w:rFonts w:ascii="Arial" w:hAnsi="Arial" w:cs="Arial"/>
                <w:sz w:val="20"/>
                <w:szCs w:val="20"/>
              </w:rPr>
              <w:t>Examination of nominations for inscription on the Representative List of the Intangible Cultural Heritage of Humanity</w:t>
            </w:r>
          </w:p>
        </w:tc>
      </w:tr>
      <w:tr w:rsidR="001F79D2" w:rsidRPr="0024519D" w:rsidTr="00341EC4">
        <w:trPr>
          <w:cantSplit/>
        </w:trPr>
        <w:tc>
          <w:tcPr>
            <w:tcW w:w="5000" w:type="pct"/>
            <w:gridSpan w:val="3"/>
            <w:shd w:val="clear" w:color="auto" w:fill="BFBFBF"/>
          </w:tcPr>
          <w:p w:rsidR="001F79D2" w:rsidRPr="0024519D" w:rsidRDefault="001F79D2" w:rsidP="00341EC4">
            <w:pPr>
              <w:keepNext/>
              <w:spacing w:before="60" w:after="60"/>
              <w:rPr>
                <w:rFonts w:ascii="Arial" w:hAnsi="Arial" w:cs="Arial"/>
                <w:b/>
                <w:sz w:val="20"/>
                <w:szCs w:val="20"/>
                <w:u w:val="single"/>
              </w:rPr>
            </w:pPr>
            <w:r w:rsidRPr="0024519D">
              <w:rPr>
                <w:rFonts w:ascii="Arial" w:hAnsi="Arial" w:cs="Arial"/>
                <w:b/>
                <w:sz w:val="20"/>
                <w:szCs w:val="20"/>
                <w:u w:val="single"/>
              </w:rPr>
              <w:t>Thursday, 1 December 2016</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 – 9.30 a.m.</w:t>
            </w:r>
          </w:p>
        </w:tc>
        <w:tc>
          <w:tcPr>
            <w:tcW w:w="380" w:type="pct"/>
          </w:tcPr>
          <w:p w:rsidR="001F79D2" w:rsidRPr="0024519D" w:rsidRDefault="001F79D2" w:rsidP="00341EC4">
            <w:pPr>
              <w:autoSpaceDE w:val="0"/>
              <w:autoSpaceDN w:val="0"/>
              <w:spacing w:before="60" w:after="60"/>
              <w:ind w:left="567" w:hanging="567"/>
              <w:jc w:val="center"/>
              <w:rPr>
                <w:rFonts w:ascii="Arial" w:hAnsi="Arial" w:cs="Arial"/>
                <w:sz w:val="20"/>
                <w:szCs w:val="20"/>
              </w:rPr>
            </w:pP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Meeting of the Bureau</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9.30 a.m. – 12.30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10.b</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Examination of nominations for inscription on the Representative List of the Intangible Cultural Heritage of Humanity</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10.c</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Examination of proposals to the Register of Best Safeguarding Practices</w:t>
            </w:r>
          </w:p>
        </w:tc>
      </w:tr>
      <w:tr w:rsidR="001F79D2" w:rsidRPr="0024519D" w:rsidTr="00341EC4">
        <w:trPr>
          <w:cantSplit/>
        </w:trPr>
        <w:tc>
          <w:tcPr>
            <w:tcW w:w="1236" w:type="pct"/>
            <w:shd w:val="clear" w:color="auto" w:fill="D9D9D9"/>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12.30 – 2.30 p.m.</w:t>
            </w:r>
          </w:p>
        </w:tc>
        <w:tc>
          <w:tcPr>
            <w:tcW w:w="3764" w:type="pct"/>
            <w:gridSpan w:val="2"/>
            <w:shd w:val="clear" w:color="auto" w:fill="D9D9D9"/>
          </w:tcPr>
          <w:p w:rsidR="001F79D2" w:rsidRPr="0024519D" w:rsidRDefault="001F79D2" w:rsidP="00341EC4">
            <w:pPr>
              <w:tabs>
                <w:tab w:val="num" w:pos="1080"/>
              </w:tabs>
              <w:autoSpaceDE w:val="0"/>
              <w:autoSpaceDN w:val="0"/>
              <w:spacing w:before="60" w:after="60"/>
              <w:ind w:right="-2"/>
              <w:jc w:val="both"/>
              <w:rPr>
                <w:rFonts w:ascii="Arial" w:hAnsi="Arial" w:cs="Arial"/>
                <w:sz w:val="20"/>
                <w:szCs w:val="20"/>
              </w:rPr>
            </w:pPr>
            <w:r w:rsidRPr="0024519D">
              <w:rPr>
                <w:rFonts w:ascii="Arial" w:eastAsia="SimSun" w:hAnsi="Arial" w:cs="Arial"/>
                <w:bCs/>
                <w:sz w:val="20"/>
                <w:szCs w:val="20"/>
                <w:lang w:eastAsia="zh-CN"/>
              </w:rPr>
              <w:t>Lunch</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2.30 – 5.30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11.</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Establishment of the Evaluation Body for the 2017 cycle</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12.</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Number of files submitted for the 2017 cycle and number of files that can be treated in the 2018 and 2019 cycles</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13.</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 xml:space="preserve">Reflection on </w:t>
            </w:r>
            <w:r>
              <w:rPr>
                <w:rFonts w:ascii="Arial" w:hAnsi="Arial" w:cs="Arial"/>
                <w:sz w:val="20"/>
                <w:szCs w:val="20"/>
              </w:rPr>
              <w:t xml:space="preserve">the </w:t>
            </w:r>
            <w:r w:rsidRPr="0024519D">
              <w:rPr>
                <w:rFonts w:ascii="Arial" w:hAnsi="Arial" w:cs="Arial"/>
                <w:sz w:val="20"/>
                <w:szCs w:val="20"/>
              </w:rPr>
              <w:t xml:space="preserve">transfer </w:t>
            </w:r>
            <w:r>
              <w:rPr>
                <w:rFonts w:ascii="Arial" w:hAnsi="Arial" w:cs="Arial"/>
                <w:sz w:val="20"/>
                <w:szCs w:val="20"/>
              </w:rPr>
              <w:t xml:space="preserve">of </w:t>
            </w:r>
            <w:r w:rsidRPr="0024519D">
              <w:rPr>
                <w:rFonts w:ascii="Arial" w:hAnsi="Arial" w:cs="Arial"/>
                <w:sz w:val="20"/>
                <w:szCs w:val="20"/>
              </w:rPr>
              <w:t>an element from one List to the other and</w:t>
            </w:r>
            <w:r>
              <w:rPr>
                <w:rFonts w:ascii="Arial" w:hAnsi="Arial" w:cs="Arial"/>
                <w:sz w:val="20"/>
                <w:szCs w:val="20"/>
              </w:rPr>
              <w:t xml:space="preserve"> the</w:t>
            </w:r>
            <w:r w:rsidRPr="0024519D">
              <w:rPr>
                <w:rFonts w:ascii="Arial" w:hAnsi="Arial" w:cs="Arial"/>
                <w:sz w:val="20"/>
                <w:szCs w:val="20"/>
              </w:rPr>
              <w:t xml:space="preserve"> removal of an element from a List </w:t>
            </w:r>
          </w:p>
        </w:tc>
      </w:tr>
      <w:tr w:rsidR="001F79D2" w:rsidRPr="0024519D" w:rsidTr="00341EC4">
        <w:trPr>
          <w:cantSplit/>
        </w:trPr>
        <w:tc>
          <w:tcPr>
            <w:tcW w:w="5000" w:type="pct"/>
            <w:gridSpan w:val="3"/>
            <w:shd w:val="clear" w:color="auto" w:fill="BFBFBF"/>
          </w:tcPr>
          <w:p w:rsidR="001F79D2" w:rsidRPr="0024519D" w:rsidRDefault="001F79D2" w:rsidP="00341EC4">
            <w:pPr>
              <w:spacing w:before="60" w:after="60"/>
              <w:rPr>
                <w:rFonts w:ascii="Arial" w:hAnsi="Arial" w:cs="Arial"/>
                <w:b/>
                <w:sz w:val="20"/>
                <w:szCs w:val="20"/>
                <w:u w:val="single"/>
              </w:rPr>
            </w:pPr>
            <w:r w:rsidRPr="0024519D">
              <w:rPr>
                <w:rFonts w:ascii="Arial" w:hAnsi="Arial" w:cs="Arial"/>
                <w:b/>
                <w:sz w:val="20"/>
                <w:szCs w:val="20"/>
                <w:u w:val="single"/>
              </w:rPr>
              <w:t>Friday, 2 December 2016</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9 – 9.30 a.m.</w:t>
            </w:r>
          </w:p>
        </w:tc>
        <w:tc>
          <w:tcPr>
            <w:tcW w:w="380" w:type="pct"/>
          </w:tcPr>
          <w:p w:rsidR="001F79D2" w:rsidRPr="0024519D" w:rsidRDefault="001F79D2" w:rsidP="00341EC4">
            <w:pPr>
              <w:autoSpaceDE w:val="0"/>
              <w:autoSpaceDN w:val="0"/>
              <w:spacing w:before="60" w:after="60"/>
              <w:ind w:left="567" w:hanging="567"/>
              <w:jc w:val="center"/>
              <w:rPr>
                <w:rFonts w:ascii="Arial" w:hAnsi="Arial" w:cs="Arial"/>
                <w:sz w:val="20"/>
                <w:szCs w:val="20"/>
              </w:rPr>
            </w:pP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Meeting of the Bureau</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lastRenderedPageBreak/>
              <w:t>9.30 a.m. – 12.30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14.</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Preliminary expert meeting on developing an overall results framework for the Convention</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15.</w:t>
            </w:r>
          </w:p>
        </w:tc>
        <w:tc>
          <w:tcPr>
            <w:tcW w:w="3384" w:type="pct"/>
          </w:tcPr>
          <w:p w:rsidR="001F79D2" w:rsidRPr="0024519D" w:rsidRDefault="001F79D2" w:rsidP="00341EC4">
            <w:pPr>
              <w:adjustRightInd w:val="0"/>
              <w:spacing w:before="60" w:after="60"/>
              <w:rPr>
                <w:rFonts w:ascii="Arial" w:hAnsi="Arial" w:cs="Arial"/>
                <w:sz w:val="20"/>
                <w:szCs w:val="20"/>
              </w:rPr>
            </w:pPr>
            <w:r w:rsidRPr="0024519D">
              <w:rPr>
                <w:rFonts w:ascii="Arial" w:hAnsi="Arial" w:cs="Arial"/>
                <w:sz w:val="20"/>
                <w:szCs w:val="20"/>
              </w:rPr>
              <w:t>Intangible Cultural Heritage in emergencies</w:t>
            </w:r>
          </w:p>
        </w:tc>
      </w:tr>
      <w:tr w:rsidR="001F79D2" w:rsidRPr="0024519D" w:rsidTr="00341EC4">
        <w:trPr>
          <w:cantSplit/>
        </w:trPr>
        <w:tc>
          <w:tcPr>
            <w:tcW w:w="1236" w:type="pct"/>
            <w:shd w:val="clear" w:color="auto" w:fill="D9D9D9"/>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12.30 – 2.30 p.m.</w:t>
            </w:r>
          </w:p>
        </w:tc>
        <w:tc>
          <w:tcPr>
            <w:tcW w:w="3764" w:type="pct"/>
            <w:gridSpan w:val="2"/>
            <w:shd w:val="clear" w:color="auto" w:fill="D9D9D9"/>
          </w:tcPr>
          <w:p w:rsidR="001F79D2" w:rsidRPr="0024519D" w:rsidRDefault="001F79D2" w:rsidP="00341EC4">
            <w:pPr>
              <w:tabs>
                <w:tab w:val="num" w:pos="1080"/>
              </w:tabs>
              <w:autoSpaceDE w:val="0"/>
              <w:autoSpaceDN w:val="0"/>
              <w:spacing w:before="60" w:after="60"/>
              <w:ind w:right="-2"/>
              <w:jc w:val="both"/>
              <w:rPr>
                <w:rFonts w:ascii="Arial" w:hAnsi="Arial" w:cs="Arial"/>
                <w:sz w:val="20"/>
                <w:szCs w:val="20"/>
              </w:rPr>
            </w:pPr>
            <w:r w:rsidRPr="0024519D">
              <w:rPr>
                <w:rFonts w:ascii="Arial" w:eastAsia="SimSun" w:hAnsi="Arial" w:cs="Arial"/>
                <w:bCs/>
                <w:sz w:val="20"/>
                <w:szCs w:val="20"/>
                <w:lang w:eastAsia="zh-CN"/>
              </w:rPr>
              <w:t>Lunch</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2.30 – 5.30 p.m.</w:t>
            </w: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16.</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Date and venue of the twelfth session of the Committee</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17.</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Election of the members of the Bureau of the twelfth session of the Committee</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18.</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Other business</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19.</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Adoption of the list of decisions</w:t>
            </w:r>
          </w:p>
        </w:tc>
      </w:tr>
      <w:tr w:rsidR="001F79D2" w:rsidRPr="0024519D" w:rsidTr="00341EC4">
        <w:trPr>
          <w:cantSplit/>
        </w:trPr>
        <w:tc>
          <w:tcPr>
            <w:tcW w:w="1236" w:type="pct"/>
          </w:tcPr>
          <w:p w:rsidR="001F79D2" w:rsidRPr="0024519D" w:rsidRDefault="001F79D2" w:rsidP="00341EC4">
            <w:pPr>
              <w:spacing w:before="60" w:after="60"/>
              <w:rPr>
                <w:rFonts w:ascii="Arial" w:hAnsi="Arial" w:cs="Arial"/>
                <w:sz w:val="20"/>
                <w:szCs w:val="20"/>
              </w:rPr>
            </w:pPr>
          </w:p>
        </w:tc>
        <w:tc>
          <w:tcPr>
            <w:tcW w:w="380" w:type="pct"/>
          </w:tcPr>
          <w:p w:rsidR="001F79D2" w:rsidRPr="0024519D" w:rsidRDefault="001F79D2" w:rsidP="00341EC4">
            <w:pPr>
              <w:tabs>
                <w:tab w:val="decimal" w:pos="284"/>
              </w:tabs>
              <w:spacing w:before="60" w:after="60"/>
              <w:jc w:val="right"/>
              <w:rPr>
                <w:rFonts w:ascii="Arial" w:hAnsi="Arial" w:cs="Arial"/>
                <w:sz w:val="20"/>
                <w:szCs w:val="20"/>
              </w:rPr>
            </w:pPr>
            <w:r w:rsidRPr="0024519D">
              <w:rPr>
                <w:rFonts w:ascii="Arial" w:hAnsi="Arial" w:cs="Arial"/>
                <w:sz w:val="20"/>
                <w:szCs w:val="20"/>
              </w:rPr>
              <w:t>20.</w:t>
            </w:r>
          </w:p>
        </w:tc>
        <w:tc>
          <w:tcPr>
            <w:tcW w:w="3384" w:type="pct"/>
          </w:tcPr>
          <w:p w:rsidR="001F79D2" w:rsidRPr="0024519D" w:rsidRDefault="001F79D2" w:rsidP="00341EC4">
            <w:pPr>
              <w:spacing w:before="60" w:after="60"/>
              <w:rPr>
                <w:rFonts w:ascii="Arial" w:hAnsi="Arial" w:cs="Arial"/>
                <w:sz w:val="20"/>
                <w:szCs w:val="20"/>
              </w:rPr>
            </w:pPr>
            <w:r w:rsidRPr="0024519D">
              <w:rPr>
                <w:rFonts w:ascii="Arial" w:hAnsi="Arial" w:cs="Arial"/>
                <w:sz w:val="20"/>
                <w:szCs w:val="20"/>
              </w:rPr>
              <w:t>Closure</w:t>
            </w:r>
          </w:p>
        </w:tc>
      </w:tr>
    </w:tbl>
    <w:p w:rsidR="001F79D2" w:rsidRPr="001F79D2" w:rsidRDefault="001F79D2" w:rsidP="001F79D2">
      <w:pPr>
        <w:keepNext/>
        <w:tabs>
          <w:tab w:val="left" w:pos="567"/>
        </w:tabs>
        <w:snapToGrid w:val="0"/>
        <w:spacing w:before="360" w:after="240"/>
        <w:ind w:left="567" w:hanging="567"/>
        <w:jc w:val="both"/>
        <w:rPr>
          <w:rFonts w:ascii="Arial" w:hAnsi="Arial" w:cs="Arial"/>
          <w:b/>
          <w:caps/>
          <w:snapToGrid w:val="0"/>
          <w:sz w:val="22"/>
          <w:szCs w:val="22"/>
          <w:lang w:val="en-US" w:eastAsia="en-US"/>
        </w:rPr>
      </w:pPr>
      <w:r w:rsidRPr="001F79D2">
        <w:rPr>
          <w:rFonts w:ascii="Arial" w:hAnsi="Arial" w:cs="Arial"/>
          <w:b/>
          <w:caps/>
          <w:snapToGrid w:val="0"/>
          <w:sz w:val="22"/>
          <w:szCs w:val="22"/>
          <w:lang w:val="en-US" w:eastAsia="en-US"/>
        </w:rPr>
        <w:t>Decision 1</w:t>
      </w:r>
      <w:r>
        <w:rPr>
          <w:rFonts w:ascii="Arial" w:hAnsi="Arial" w:cs="Arial"/>
          <w:b/>
          <w:caps/>
          <w:snapToGrid w:val="0"/>
          <w:sz w:val="22"/>
          <w:szCs w:val="22"/>
          <w:lang w:val="en-US" w:eastAsia="en-US"/>
        </w:rPr>
        <w:t>1</w:t>
      </w:r>
      <w:r w:rsidRPr="001F79D2">
        <w:rPr>
          <w:rFonts w:ascii="Arial" w:hAnsi="Arial" w:cs="Arial"/>
          <w:b/>
          <w:caps/>
          <w:snapToGrid w:val="0"/>
          <w:sz w:val="22"/>
          <w:szCs w:val="22"/>
          <w:lang w:val="en-US" w:eastAsia="en-US"/>
        </w:rPr>
        <w:t>.COM </w:t>
      </w:r>
      <w:r>
        <w:rPr>
          <w:rFonts w:ascii="Arial" w:hAnsi="Arial" w:cs="Arial"/>
          <w:b/>
          <w:caps/>
          <w:snapToGrid w:val="0"/>
          <w:sz w:val="22"/>
          <w:szCs w:val="22"/>
          <w:lang w:val="en-US" w:eastAsia="en-US"/>
        </w:rPr>
        <w:t>3</w:t>
      </w:r>
      <w:r w:rsidRPr="001F79D2">
        <w:rPr>
          <w:rFonts w:ascii="Arial" w:hAnsi="Arial" w:cs="Arial"/>
          <w:b/>
          <w:caps/>
          <w:snapToGrid w:val="0"/>
          <w:sz w:val="22"/>
          <w:szCs w:val="22"/>
          <w:lang w:val="en-US" w:eastAsia="en-US"/>
        </w:rPr>
        <w:t>.BUR 4</w:t>
      </w:r>
    </w:p>
    <w:p w:rsidR="00346C0B" w:rsidRPr="00346C0B" w:rsidRDefault="00346C0B" w:rsidP="00346C0B">
      <w:pPr>
        <w:keepNext/>
        <w:tabs>
          <w:tab w:val="left" w:pos="567"/>
        </w:tabs>
        <w:snapToGrid w:val="0"/>
        <w:spacing w:before="240" w:after="120"/>
        <w:ind w:left="567" w:hanging="567"/>
        <w:jc w:val="both"/>
        <w:rPr>
          <w:rFonts w:ascii="Arial" w:hAnsi="Arial" w:cs="Arial"/>
          <w:caps/>
          <w:snapToGrid w:val="0"/>
          <w:sz w:val="22"/>
          <w:szCs w:val="22"/>
          <w:lang w:eastAsia="en-US"/>
        </w:rPr>
      </w:pPr>
      <w:r w:rsidRPr="00346C0B">
        <w:rPr>
          <w:rFonts w:ascii="Arial" w:hAnsi="Arial" w:cs="Arial"/>
          <w:snapToGrid w:val="0"/>
          <w:sz w:val="22"/>
          <w:szCs w:val="22"/>
          <w:lang w:eastAsia="en-US"/>
        </w:rPr>
        <w:t>The Bureau,</w:t>
      </w:r>
    </w:p>
    <w:p w:rsidR="00346C0B" w:rsidRPr="00346C0B" w:rsidRDefault="00346C0B" w:rsidP="000C167A">
      <w:pPr>
        <w:pStyle w:val="ListParagraph"/>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Recalling</w:t>
      </w:r>
      <w:r w:rsidRPr="00346C0B">
        <w:rPr>
          <w:rFonts w:ascii="Arial" w:eastAsia="SimSun" w:hAnsi="Arial" w:cs="Arial"/>
          <w:sz w:val="22"/>
          <w:szCs w:val="22"/>
        </w:rPr>
        <w:t xml:space="preserve"> Chapter V of the Convention and Chapter I of the Operational Directives,</w:t>
      </w:r>
    </w:p>
    <w:p w:rsidR="00346C0B" w:rsidRPr="00346C0B" w:rsidRDefault="00346C0B" w:rsidP="000C167A">
      <w:pPr>
        <w:pStyle w:val="ListParagraph"/>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Further recalling</w:t>
      </w:r>
      <w:r w:rsidRPr="00346C0B">
        <w:rPr>
          <w:rFonts w:ascii="Arial" w:eastAsia="SimSun" w:hAnsi="Arial" w:cs="Arial"/>
          <w:sz w:val="22"/>
          <w:szCs w:val="22"/>
        </w:rPr>
        <w:t xml:space="preserve"> Document ITH/15/10.COM 10.c, as well as Decision 10.COM</w:t>
      </w:r>
      <w:r w:rsidRPr="00346C0B">
        <w:rPr>
          <w:rFonts w:ascii="Arial" w:eastAsia="SimSun" w:hAnsi="Arial" w:cs="Arial"/>
          <w:b/>
          <w:caps/>
          <w:sz w:val="22"/>
          <w:szCs w:val="22"/>
        </w:rPr>
        <w:t> </w:t>
      </w:r>
      <w:r w:rsidRPr="00346C0B">
        <w:rPr>
          <w:rFonts w:ascii="Arial" w:eastAsia="SimSun" w:hAnsi="Arial" w:cs="Arial"/>
          <w:caps/>
          <w:sz w:val="22"/>
          <w:szCs w:val="22"/>
        </w:rPr>
        <w:t>10</w:t>
      </w:r>
      <w:r w:rsidRPr="00346C0B">
        <w:rPr>
          <w:rFonts w:ascii="Arial" w:eastAsia="SimSun" w:hAnsi="Arial" w:cs="Arial"/>
          <w:sz w:val="22"/>
          <w:szCs w:val="22"/>
        </w:rPr>
        <w:t>.c.2,</w:t>
      </w:r>
    </w:p>
    <w:p w:rsidR="00346C0B" w:rsidRPr="00346C0B" w:rsidRDefault="00346C0B" w:rsidP="000C167A">
      <w:pPr>
        <w:pStyle w:val="ListParagraph"/>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Having examined</w:t>
      </w:r>
      <w:r w:rsidRPr="00346C0B">
        <w:rPr>
          <w:rFonts w:ascii="Arial" w:eastAsia="SimSun" w:hAnsi="Arial" w:cs="Arial"/>
          <w:sz w:val="22"/>
          <w:szCs w:val="22"/>
        </w:rPr>
        <w:t xml:space="preserve"> Document ITH/16/11.COM 3.BUR/4, as well as the international assistance request no. 00888,</w:t>
      </w:r>
    </w:p>
    <w:p w:rsidR="00346C0B" w:rsidRPr="00346C0B" w:rsidRDefault="00346C0B" w:rsidP="000C167A">
      <w:pPr>
        <w:pStyle w:val="ListParagraph"/>
        <w:numPr>
          <w:ilvl w:val="0"/>
          <w:numId w:val="17"/>
        </w:numPr>
        <w:autoSpaceDE w:val="0"/>
        <w:autoSpaceDN w:val="0"/>
        <w:adjustRightInd w:val="0"/>
        <w:spacing w:after="120"/>
        <w:ind w:left="567" w:hanging="567"/>
        <w:jc w:val="both"/>
        <w:rPr>
          <w:rFonts w:ascii="Arial" w:eastAsia="SimSun" w:hAnsi="Arial" w:cs="Arial"/>
          <w:sz w:val="22"/>
          <w:szCs w:val="22"/>
        </w:rPr>
      </w:pPr>
      <w:r w:rsidRPr="00346C0B">
        <w:rPr>
          <w:rFonts w:ascii="Arial" w:eastAsia="SimSun" w:hAnsi="Arial" w:cs="Arial"/>
          <w:sz w:val="22"/>
          <w:szCs w:val="22"/>
          <w:u w:val="single"/>
        </w:rPr>
        <w:t>Takes note</w:t>
      </w:r>
      <w:r w:rsidRPr="00346C0B">
        <w:rPr>
          <w:rFonts w:ascii="Arial" w:eastAsia="SimSun" w:hAnsi="Arial" w:cs="Arial"/>
          <w:sz w:val="22"/>
          <w:szCs w:val="22"/>
        </w:rPr>
        <w:t xml:space="preserve"> that Kenya has requested International Assistance for a project entitled </w:t>
      </w:r>
      <w:r w:rsidRPr="00346C0B">
        <w:rPr>
          <w:rFonts w:ascii="Arial" w:eastAsia="SimSun" w:hAnsi="Arial" w:cs="Arial"/>
          <w:b/>
          <w:sz w:val="22"/>
          <w:szCs w:val="22"/>
        </w:rPr>
        <w:t>Safeguarding of Enkipaata, Eunoto and Olng’esherr, three male rites of passage of the Maasai community</w:t>
      </w:r>
      <w:r w:rsidRPr="00346C0B">
        <w:rPr>
          <w:rFonts w:ascii="Arial" w:eastAsia="SimSun" w:hAnsi="Arial" w:cs="Arial"/>
          <w:sz w:val="22"/>
          <w:szCs w:val="22"/>
        </w:rPr>
        <w:t>:</w:t>
      </w:r>
    </w:p>
    <w:p w:rsidR="00346C0B" w:rsidRPr="00346C0B" w:rsidRDefault="00346C0B" w:rsidP="000C167A">
      <w:pPr>
        <w:shd w:val="clear" w:color="auto" w:fill="FFFFFF"/>
        <w:spacing w:before="120" w:after="120"/>
        <w:ind w:left="567" w:hanging="567"/>
        <w:jc w:val="both"/>
        <w:rPr>
          <w:rFonts w:ascii="Arial" w:hAnsi="Arial" w:cs="Arial"/>
          <w:sz w:val="22"/>
        </w:rPr>
      </w:pPr>
      <w:r w:rsidRPr="00346C0B">
        <w:rPr>
          <w:rFonts w:ascii="Arial" w:hAnsi="Arial" w:cs="Arial"/>
          <w:sz w:val="22"/>
        </w:rPr>
        <w:tab/>
        <w:t>The three male rites of the Maasai community represent stages in the preparation of boys for adulthood – a process called moranism that involves the transmission of indigenous knowledge, including Maasai rituals, legends, traditions and life skills. Enkipaata is the name for the induction ceremony, Eunoto heralds the shaving of initiates before their seclusion in the bush for training, and Olng’esherr is the meat</w:t>
      </w:r>
      <w:r w:rsidRPr="00346C0B">
        <w:rPr>
          <w:rFonts w:ascii="Arial" w:hAnsi="Arial" w:cs="Arial"/>
          <w:sz w:val="22"/>
        </w:rPr>
        <w:noBreakHyphen/>
        <w:t xml:space="preserve">eating ceremony marking the end of moranism and the beginning of eldership. The rites involve the whole community and feature songs, folktales, proverbs, riddles and events, thus providing the Maasai community with a sense of cultural identity and continuity. However, traditional modes of transmission have greatly weakened since the beginning of the 1980s as a result of reduced frequency and participation, with an increasing number of boys </w:t>
      </w:r>
      <w:r w:rsidRPr="00346C0B">
        <w:rPr>
          <w:rFonts w:ascii="Arial" w:hAnsi="Arial" w:cs="Arial"/>
          <w:sz w:val="22"/>
          <w:szCs w:val="22"/>
        </w:rPr>
        <w:t xml:space="preserve">remaining at home and occupied with formal education. Implemented by the </w:t>
      </w:r>
      <w:r w:rsidRPr="00346C0B">
        <w:rPr>
          <w:rFonts w:ascii="Arial" w:hAnsi="Arial" w:cs="Arial"/>
          <w:bCs/>
          <w:sz w:val="22"/>
          <w:szCs w:val="22"/>
        </w:rPr>
        <w:t>Department of Culture of the Ministry of Sports, Culture and the Arts in all nine clans of Maasai communities</w:t>
      </w:r>
      <w:r w:rsidRPr="00346C0B">
        <w:rPr>
          <w:rFonts w:ascii="Arial" w:hAnsi="Arial" w:cs="Arial"/>
          <w:sz w:val="22"/>
          <w:szCs w:val="22"/>
        </w:rPr>
        <w:t>, the project activities include: workshops to promote community</w:t>
      </w:r>
      <w:r w:rsidRPr="00346C0B">
        <w:rPr>
          <w:rFonts w:ascii="Arial" w:hAnsi="Arial" w:cs="Arial"/>
          <w:sz w:val="22"/>
          <w:szCs w:val="22"/>
        </w:rPr>
        <w:noBreakHyphen/>
        <w:t xml:space="preserve">based inventorying of intangible cultural heritage, a </w:t>
      </w:r>
      <w:r w:rsidRPr="00346C0B">
        <w:rPr>
          <w:rFonts w:ascii="Arial" w:hAnsi="Arial" w:cs="Arial"/>
          <w:sz w:val="22"/>
        </w:rPr>
        <w:t xml:space="preserve">mapping exercise to protect the associated natural spaces, research and documentation of the practice, </w:t>
      </w:r>
      <w:r w:rsidRPr="00346C0B">
        <w:rPr>
          <w:rFonts w:ascii="Arial" w:hAnsi="Arial" w:cs="Arial"/>
          <w:sz w:val="22"/>
          <w:szCs w:val="22"/>
        </w:rPr>
        <w:t xml:space="preserve">community meetings between elders and youth </w:t>
      </w:r>
      <w:r w:rsidRPr="00346C0B">
        <w:rPr>
          <w:rFonts w:ascii="Arial" w:hAnsi="Arial" w:cs="Arial"/>
          <w:sz w:val="22"/>
        </w:rPr>
        <w:t>to empower the young people with knowledge and skills relevant for safeguarding the practice, as well as mentoring of youth for future transmission.</w:t>
      </w:r>
    </w:p>
    <w:p w:rsidR="00346C0B" w:rsidRPr="00346C0B" w:rsidRDefault="00346C0B" w:rsidP="000C167A">
      <w:pPr>
        <w:pStyle w:val="ListParagraph"/>
        <w:keepLines/>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Further takes note</w:t>
      </w:r>
      <w:r w:rsidRPr="00346C0B">
        <w:rPr>
          <w:rFonts w:ascii="Arial" w:eastAsia="SimSun" w:hAnsi="Arial" w:cs="Arial"/>
          <w:sz w:val="22"/>
          <w:szCs w:val="22"/>
        </w:rPr>
        <w:t xml:space="preserve"> that this assistance concerns support for a project carried out at local level aimed at safeguarding intangible cultural heritage in accordance with Article 20 (c) of the Convention, and that it takes the form of the granting of a donation in line with Article 21 (g) of the Convention;</w:t>
      </w:r>
    </w:p>
    <w:p w:rsidR="00346C0B" w:rsidRPr="00346C0B" w:rsidRDefault="00346C0B" w:rsidP="000C167A">
      <w:pPr>
        <w:pStyle w:val="ListParagraph"/>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Also takes note</w:t>
      </w:r>
      <w:r w:rsidRPr="00346C0B">
        <w:rPr>
          <w:rFonts w:ascii="Arial" w:eastAsia="SimSun" w:hAnsi="Arial" w:cs="Arial"/>
          <w:sz w:val="22"/>
          <w:szCs w:val="22"/>
        </w:rPr>
        <w:t xml:space="preserve"> that Kenya requested an allocation of </w:t>
      </w:r>
      <w:r w:rsidRPr="00346C0B">
        <w:rPr>
          <w:rFonts w:ascii="Arial" w:eastAsia="SimSun" w:hAnsi="Arial" w:cs="Arial"/>
          <w:snapToGrid w:val="0"/>
          <w:sz w:val="22"/>
          <w:szCs w:val="22"/>
          <w:lang w:eastAsia="en-US"/>
        </w:rPr>
        <w:t xml:space="preserve">US$144,430 </w:t>
      </w:r>
      <w:r w:rsidRPr="00346C0B">
        <w:rPr>
          <w:rFonts w:ascii="Arial" w:eastAsia="SimSun" w:hAnsi="Arial" w:cs="Arial"/>
          <w:sz w:val="22"/>
          <w:szCs w:val="22"/>
        </w:rPr>
        <w:t>from the Intangible Cultural Heritage Fund for implementation of the project;</w:t>
      </w:r>
    </w:p>
    <w:p w:rsidR="00346C0B" w:rsidRPr="00346C0B" w:rsidRDefault="00346C0B" w:rsidP="000C167A">
      <w:pPr>
        <w:pStyle w:val="ListParagraph"/>
        <w:numPr>
          <w:ilvl w:val="0"/>
          <w:numId w:val="17"/>
        </w:numPr>
        <w:autoSpaceDE w:val="0"/>
        <w:autoSpaceDN w:val="0"/>
        <w:adjustRightInd w:val="0"/>
        <w:spacing w:after="120"/>
        <w:ind w:left="567" w:hanging="567"/>
        <w:jc w:val="both"/>
        <w:rPr>
          <w:rFonts w:ascii="Arial" w:eastAsia="SimSun" w:hAnsi="Arial" w:cs="Arial"/>
          <w:sz w:val="22"/>
          <w:szCs w:val="22"/>
        </w:rPr>
      </w:pPr>
      <w:r w:rsidRPr="00346C0B">
        <w:rPr>
          <w:rFonts w:ascii="Arial" w:eastAsia="SimSun" w:hAnsi="Arial" w:cs="Arial"/>
          <w:sz w:val="22"/>
          <w:szCs w:val="22"/>
          <w:u w:val="single"/>
        </w:rPr>
        <w:t>Decides</w:t>
      </w:r>
      <w:r w:rsidRPr="00346C0B">
        <w:rPr>
          <w:rFonts w:ascii="Arial" w:eastAsia="SimSun" w:hAnsi="Arial" w:cs="Arial"/>
          <w:sz w:val="22"/>
          <w:szCs w:val="22"/>
        </w:rPr>
        <w:t xml:space="preserve"> that from the information provided in the revised file no. 00888, the request responds as follows to the criteria for granting International Assistance given in paragraphs 10 and 12 of the Operational Directives:</w:t>
      </w:r>
    </w:p>
    <w:p w:rsidR="00346C0B" w:rsidRPr="00346C0B" w:rsidRDefault="00346C0B" w:rsidP="000C167A">
      <w:pPr>
        <w:autoSpaceDE w:val="0"/>
        <w:autoSpaceDN w:val="0"/>
        <w:adjustRightInd w:val="0"/>
        <w:spacing w:after="120"/>
        <w:ind w:left="567"/>
        <w:jc w:val="both"/>
        <w:rPr>
          <w:rFonts w:ascii="Arial" w:eastAsia="SimSun" w:hAnsi="Arial" w:cs="Arial"/>
          <w:bCs/>
          <w:sz w:val="22"/>
          <w:szCs w:val="22"/>
        </w:rPr>
      </w:pPr>
      <w:r w:rsidRPr="00346C0B">
        <w:rPr>
          <w:rFonts w:ascii="Arial" w:eastAsia="SimSun" w:hAnsi="Arial" w:cs="Arial"/>
          <w:b/>
          <w:sz w:val="22"/>
          <w:szCs w:val="22"/>
        </w:rPr>
        <w:lastRenderedPageBreak/>
        <w:t>Criterion A.1</w:t>
      </w:r>
      <w:r w:rsidRPr="00346C0B">
        <w:rPr>
          <w:rFonts w:ascii="Arial" w:eastAsia="SimSun" w:hAnsi="Arial" w:cs="Arial"/>
          <w:sz w:val="22"/>
          <w:szCs w:val="22"/>
        </w:rPr>
        <w:t xml:space="preserve">: </w:t>
      </w:r>
      <w:r w:rsidRPr="00346C0B">
        <w:rPr>
          <w:rFonts w:ascii="Arial" w:eastAsia="SimSun" w:hAnsi="Arial" w:cs="Arial"/>
          <w:bCs/>
          <w:sz w:val="22"/>
          <w:szCs w:val="22"/>
        </w:rPr>
        <w:t xml:space="preserve">The request clearly demonstrates active involvement of the Maasai communities in the preparation, implementation and evaluation of the project; the Council of elders from the nine clans of Maasai community worked with the Department of Culture to prepare the request; the central role of the Maasai communities throughout the different phases of the project </w:t>
      </w:r>
      <w:r w:rsidRPr="00346C0B">
        <w:rPr>
          <w:rFonts w:ascii="Arial" w:eastAsia="SimSun" w:hAnsi="Arial" w:cs="Arial"/>
          <w:sz w:val="22"/>
          <w:szCs w:val="22"/>
        </w:rPr>
        <w:t>is adequately outlined in the request</w:t>
      </w:r>
      <w:r w:rsidRPr="00346C0B">
        <w:rPr>
          <w:rFonts w:ascii="Arial" w:eastAsia="SimSun" w:hAnsi="Arial" w:cs="Arial"/>
          <w:bCs/>
          <w:sz w:val="22"/>
          <w:szCs w:val="22"/>
        </w:rPr>
        <w:t xml:space="preserve"> including their participation in research, documentation and inventorying activities,  their free, prior and informed consent on collected data, and in their involvement in mentorship programmes during school holidays.</w:t>
      </w:r>
    </w:p>
    <w:p w:rsidR="00346C0B" w:rsidRPr="00346C0B" w:rsidRDefault="00346C0B" w:rsidP="000C167A">
      <w:pPr>
        <w:tabs>
          <w:tab w:val="left" w:pos="567"/>
        </w:tabs>
        <w:snapToGrid w:val="0"/>
        <w:spacing w:after="120"/>
        <w:ind w:left="567"/>
        <w:jc w:val="both"/>
        <w:rPr>
          <w:rFonts w:ascii="Arial" w:hAnsi="Arial"/>
          <w:snapToGrid w:val="0"/>
          <w:sz w:val="22"/>
          <w:lang w:eastAsia="en-US"/>
        </w:rPr>
      </w:pPr>
      <w:r w:rsidRPr="00346C0B">
        <w:rPr>
          <w:rFonts w:ascii="Arial" w:hAnsi="Arial"/>
          <w:b/>
          <w:snapToGrid w:val="0"/>
          <w:sz w:val="22"/>
          <w:lang w:eastAsia="en-US"/>
        </w:rPr>
        <w:t>Criterion A.2</w:t>
      </w:r>
      <w:r w:rsidRPr="00346C0B">
        <w:rPr>
          <w:rFonts w:ascii="Arial" w:hAnsi="Arial"/>
          <w:snapToGrid w:val="0"/>
          <w:sz w:val="22"/>
          <w:lang w:eastAsia="en-US"/>
        </w:rPr>
        <w:t xml:space="preserve">: </w:t>
      </w:r>
      <w:r w:rsidRPr="00346C0B">
        <w:rPr>
          <w:rFonts w:ascii="Arial" w:hAnsi="Arial" w:cs="Arial"/>
          <w:snapToGrid w:val="0"/>
          <w:sz w:val="22"/>
          <w:szCs w:val="22"/>
          <w:lang w:eastAsia="en-US"/>
        </w:rPr>
        <w:t xml:space="preserve">The proposed budget is broken down in sufficient detail and is consistent with the planned activities, thereby demonstrating </w:t>
      </w:r>
      <w:r w:rsidRPr="00346C0B">
        <w:rPr>
          <w:rFonts w:ascii="Arial" w:hAnsi="Arial"/>
          <w:snapToGrid w:val="0"/>
          <w:sz w:val="22"/>
          <w:lang w:eastAsia="en-US"/>
        </w:rPr>
        <w:t xml:space="preserve">the appropriateness of the amount of assistance requested. </w:t>
      </w:r>
    </w:p>
    <w:p w:rsidR="00346C0B" w:rsidRPr="00346C0B" w:rsidRDefault="00346C0B" w:rsidP="000C167A">
      <w:pPr>
        <w:tabs>
          <w:tab w:val="left" w:pos="567"/>
        </w:tabs>
        <w:snapToGrid w:val="0"/>
        <w:spacing w:after="120"/>
        <w:ind w:left="567"/>
        <w:jc w:val="both"/>
        <w:rPr>
          <w:rFonts w:ascii="Arial" w:hAnsi="Arial" w:cs="Arial"/>
          <w:snapToGrid w:val="0"/>
          <w:sz w:val="22"/>
          <w:szCs w:val="22"/>
          <w:lang w:eastAsia="en-US"/>
        </w:rPr>
      </w:pPr>
      <w:r w:rsidRPr="00346C0B">
        <w:rPr>
          <w:rFonts w:ascii="Arial" w:hAnsi="Arial"/>
          <w:b/>
          <w:snapToGrid w:val="0"/>
          <w:sz w:val="22"/>
          <w:lang w:eastAsia="en-US"/>
        </w:rPr>
        <w:t>Criterion A.3</w:t>
      </w:r>
      <w:r w:rsidRPr="00346C0B">
        <w:rPr>
          <w:rFonts w:ascii="Arial" w:hAnsi="Arial"/>
          <w:snapToGrid w:val="0"/>
          <w:sz w:val="22"/>
          <w:lang w:eastAsia="en-US"/>
        </w:rPr>
        <w:t xml:space="preserve">: </w:t>
      </w:r>
      <w:r w:rsidRPr="00346C0B">
        <w:rPr>
          <w:rFonts w:ascii="Arial" w:hAnsi="Arial" w:cs="Arial"/>
          <w:snapToGrid w:val="0"/>
          <w:sz w:val="22"/>
          <w:szCs w:val="22"/>
          <w:lang w:eastAsia="en-US"/>
        </w:rPr>
        <w:t xml:space="preserve">The project is well structured </w:t>
      </w:r>
      <w:r w:rsidRPr="00346C0B">
        <w:rPr>
          <w:rFonts w:ascii="Arial" w:hAnsi="Arial"/>
          <w:snapToGrid w:val="0"/>
          <w:sz w:val="22"/>
          <w:lang w:eastAsia="en-US"/>
        </w:rPr>
        <w:t>and describes a series of eight activities from p</w:t>
      </w:r>
      <w:r w:rsidRPr="00346C0B">
        <w:rPr>
          <w:rFonts w:ascii="Arial" w:hAnsi="Arial" w:cs="Arial"/>
          <w:snapToGrid w:val="0"/>
          <w:sz w:val="22"/>
          <w:szCs w:val="22"/>
          <w:lang w:eastAsia="en-US"/>
        </w:rPr>
        <w:t xml:space="preserve">reliminary meetings, training on community-based inventorying, a mapping exercise, research and documentation as well as educational activities to </w:t>
      </w:r>
      <w:r w:rsidRPr="00346C0B">
        <w:rPr>
          <w:rFonts w:ascii="Arial" w:hAnsi="Arial"/>
          <w:snapToGrid w:val="0"/>
          <w:sz w:val="22"/>
          <w:lang w:eastAsia="en-US"/>
        </w:rPr>
        <w:t>monitoring and evaluation of the project</w:t>
      </w:r>
      <w:r w:rsidRPr="00346C0B">
        <w:rPr>
          <w:rFonts w:ascii="Arial" w:hAnsi="Arial" w:cs="Arial"/>
          <w:snapToGrid w:val="0"/>
          <w:sz w:val="22"/>
          <w:szCs w:val="22"/>
          <w:lang w:eastAsia="en-US"/>
        </w:rPr>
        <w:t xml:space="preserve">; activities seem adequately conceived to achieve the expected results according to a calendar, </w:t>
      </w:r>
      <w:r w:rsidRPr="00346C0B">
        <w:rPr>
          <w:rFonts w:ascii="Arial" w:hAnsi="Arial"/>
          <w:snapToGrid w:val="0"/>
          <w:sz w:val="22"/>
          <w:lang w:eastAsia="en-US"/>
        </w:rPr>
        <w:t>which seems</w:t>
      </w:r>
      <w:r w:rsidRPr="00346C0B">
        <w:rPr>
          <w:rFonts w:ascii="Arial" w:hAnsi="Arial" w:cs="Arial"/>
          <w:snapToGrid w:val="0"/>
          <w:sz w:val="22"/>
          <w:szCs w:val="22"/>
          <w:lang w:eastAsia="en-US"/>
        </w:rPr>
        <w:t xml:space="preserve"> realistic within the expected duration of three years. </w:t>
      </w:r>
    </w:p>
    <w:p w:rsidR="00346C0B" w:rsidRPr="00346C0B" w:rsidRDefault="00346C0B" w:rsidP="000C167A">
      <w:pPr>
        <w:tabs>
          <w:tab w:val="left" w:pos="567"/>
        </w:tabs>
        <w:snapToGrid w:val="0"/>
        <w:spacing w:after="120"/>
        <w:ind w:left="567"/>
        <w:jc w:val="both"/>
        <w:rPr>
          <w:rFonts w:ascii="Arial" w:hAnsi="Arial"/>
          <w:snapToGrid w:val="0"/>
          <w:sz w:val="22"/>
          <w:lang w:eastAsia="en-US"/>
        </w:rPr>
      </w:pPr>
      <w:r w:rsidRPr="00346C0B">
        <w:rPr>
          <w:rFonts w:ascii="Arial" w:hAnsi="Arial"/>
          <w:b/>
          <w:snapToGrid w:val="0"/>
          <w:sz w:val="22"/>
          <w:lang w:eastAsia="en-US"/>
        </w:rPr>
        <w:t>Criterion A.4</w:t>
      </w:r>
      <w:r w:rsidRPr="00346C0B">
        <w:rPr>
          <w:rFonts w:ascii="Arial" w:hAnsi="Arial"/>
          <w:snapToGrid w:val="0"/>
          <w:sz w:val="22"/>
          <w:lang w:eastAsia="en-US"/>
        </w:rPr>
        <w:t xml:space="preserve">: </w:t>
      </w:r>
      <w:r w:rsidRPr="00346C0B">
        <w:rPr>
          <w:rFonts w:ascii="Arial" w:hAnsi="Arial" w:cs="Arial"/>
          <w:snapToGrid w:val="0"/>
          <w:sz w:val="22"/>
          <w:szCs w:val="22"/>
          <w:lang w:eastAsia="en-US"/>
        </w:rPr>
        <w:t xml:space="preserve">The active involvement of communities, including young people, is expected to contribute to the project’s sustainability after its completion, through their </w:t>
      </w:r>
      <w:r w:rsidRPr="00346C0B">
        <w:rPr>
          <w:rFonts w:ascii="Arial" w:eastAsia="SimSun" w:hAnsi="Arial" w:cs="Arial"/>
          <w:snapToGrid w:val="0"/>
          <w:sz w:val="22"/>
          <w:szCs w:val="22"/>
          <w:lang w:eastAsia="en-US"/>
        </w:rPr>
        <w:t>improved</w:t>
      </w:r>
      <w:r w:rsidRPr="00346C0B">
        <w:rPr>
          <w:rFonts w:ascii="Arial" w:hAnsi="Arial" w:cs="Arial"/>
          <w:snapToGrid w:val="0"/>
          <w:sz w:val="22"/>
          <w:szCs w:val="22"/>
          <w:lang w:eastAsia="en-US"/>
        </w:rPr>
        <w:t xml:space="preserve"> knowledge and skills </w:t>
      </w:r>
      <w:r w:rsidRPr="00346C0B">
        <w:rPr>
          <w:rFonts w:ascii="Arial" w:eastAsia="SimSun" w:hAnsi="Arial" w:cs="Arial"/>
          <w:snapToGrid w:val="0"/>
          <w:sz w:val="22"/>
          <w:szCs w:val="22"/>
          <w:lang w:eastAsia="en-US"/>
        </w:rPr>
        <w:t xml:space="preserve">on community-based inventorying and safeguarding; </w:t>
      </w:r>
      <w:r w:rsidRPr="00346C0B">
        <w:rPr>
          <w:rFonts w:ascii="Arial" w:hAnsi="Arial" w:cs="Arial"/>
          <w:snapToGrid w:val="0"/>
          <w:sz w:val="22"/>
          <w:szCs w:val="22"/>
          <w:lang w:eastAsia="en-US"/>
        </w:rPr>
        <w:t>the project also seeks to ensure continued transmission to the young generation through the dissemination of written and audiovisual materials on</w:t>
      </w:r>
      <w:r w:rsidRPr="00346C0B">
        <w:rPr>
          <w:rFonts w:ascii="Arial" w:eastAsia="SimSun" w:hAnsi="Arial" w:cs="Arial"/>
          <w:snapToGrid w:val="0"/>
          <w:sz w:val="22"/>
          <w:szCs w:val="22"/>
          <w:lang w:eastAsia="en-US"/>
        </w:rPr>
        <w:t xml:space="preserve"> the three male rites of passage </w:t>
      </w:r>
      <w:r w:rsidRPr="00346C0B">
        <w:rPr>
          <w:rFonts w:ascii="Arial" w:hAnsi="Arial" w:cs="Arial"/>
          <w:snapToGrid w:val="0"/>
          <w:sz w:val="22"/>
          <w:szCs w:val="22"/>
          <w:lang w:eastAsia="en-US"/>
        </w:rPr>
        <w:t>in schools as well as through o</w:t>
      </w:r>
      <w:r w:rsidRPr="00346C0B">
        <w:rPr>
          <w:rFonts w:ascii="Arial" w:hAnsi="Arial" w:cs="Arial"/>
          <w:bCs/>
          <w:snapToGrid w:val="0"/>
          <w:sz w:val="22"/>
          <w:szCs w:val="22"/>
          <w:lang w:eastAsia="en-US"/>
        </w:rPr>
        <w:t xml:space="preserve">ther government-funded initiatives, such as the </w:t>
      </w:r>
      <w:r w:rsidRPr="00346C0B">
        <w:rPr>
          <w:rFonts w:ascii="Arial" w:eastAsia="SimSun" w:hAnsi="Arial" w:cs="Arial"/>
          <w:snapToGrid w:val="0"/>
          <w:sz w:val="22"/>
          <w:szCs w:val="22"/>
          <w:lang w:eastAsia="en-US"/>
        </w:rPr>
        <w:t xml:space="preserve">annual Kenya Music and Cultural Festivals; measures are planned to extend the cooperation mechanisms established under the project between the Maasai communities and the Department of Culture beyond its end. </w:t>
      </w:r>
    </w:p>
    <w:p w:rsidR="00346C0B" w:rsidRPr="00346C0B" w:rsidRDefault="00346C0B" w:rsidP="000C167A">
      <w:pPr>
        <w:tabs>
          <w:tab w:val="left" w:pos="567"/>
        </w:tabs>
        <w:snapToGrid w:val="0"/>
        <w:spacing w:after="120"/>
        <w:ind w:left="567"/>
        <w:jc w:val="both"/>
        <w:rPr>
          <w:rFonts w:ascii="Arial" w:hAnsi="Arial" w:cs="Arial"/>
          <w:bCs/>
          <w:snapToGrid w:val="0"/>
          <w:sz w:val="22"/>
          <w:szCs w:val="22"/>
          <w:lang w:eastAsia="en-US"/>
        </w:rPr>
      </w:pPr>
      <w:r w:rsidRPr="00346C0B">
        <w:rPr>
          <w:rFonts w:ascii="Arial" w:hAnsi="Arial"/>
          <w:b/>
          <w:snapToGrid w:val="0"/>
          <w:sz w:val="22"/>
          <w:lang w:eastAsia="en-US"/>
        </w:rPr>
        <w:t>Criterion A.5</w:t>
      </w:r>
      <w:r w:rsidRPr="00346C0B">
        <w:rPr>
          <w:rFonts w:ascii="Arial" w:hAnsi="Arial"/>
          <w:snapToGrid w:val="0"/>
          <w:sz w:val="22"/>
          <w:lang w:eastAsia="en-US"/>
        </w:rPr>
        <w:t xml:space="preserve">: </w:t>
      </w:r>
      <w:r w:rsidRPr="00346C0B">
        <w:rPr>
          <w:rFonts w:ascii="Arial" w:hAnsi="Arial" w:cs="Arial"/>
          <w:bCs/>
          <w:snapToGrid w:val="0"/>
          <w:sz w:val="22"/>
          <w:szCs w:val="22"/>
          <w:lang w:eastAsia="en-US"/>
        </w:rPr>
        <w:t>The submitting State will share 19% of the total amount of the project for which International Assistance is requested, and additional 13% will be covered by the Maasai communities themselves.</w:t>
      </w:r>
    </w:p>
    <w:p w:rsidR="00346C0B" w:rsidRPr="00346C0B" w:rsidRDefault="00346C0B" w:rsidP="000C167A">
      <w:pPr>
        <w:tabs>
          <w:tab w:val="left" w:pos="567"/>
        </w:tabs>
        <w:snapToGrid w:val="0"/>
        <w:spacing w:after="120"/>
        <w:ind w:left="567"/>
        <w:jc w:val="both"/>
        <w:rPr>
          <w:rFonts w:ascii="Arial" w:hAnsi="Arial"/>
          <w:snapToGrid w:val="0"/>
          <w:sz w:val="22"/>
          <w:highlight w:val="cyan"/>
          <w:lang w:eastAsia="en-US"/>
        </w:rPr>
      </w:pPr>
      <w:r w:rsidRPr="00346C0B">
        <w:rPr>
          <w:rFonts w:ascii="Arial" w:hAnsi="Arial"/>
          <w:b/>
          <w:snapToGrid w:val="0"/>
          <w:sz w:val="22"/>
          <w:lang w:eastAsia="en-US"/>
        </w:rPr>
        <w:t>Criterion A.6</w:t>
      </w:r>
      <w:r w:rsidRPr="00346C0B">
        <w:rPr>
          <w:rFonts w:ascii="Arial" w:hAnsi="Arial"/>
          <w:snapToGrid w:val="0"/>
          <w:sz w:val="22"/>
          <w:lang w:eastAsia="en-US"/>
        </w:rPr>
        <w:t xml:space="preserve">: </w:t>
      </w:r>
      <w:r w:rsidRPr="00346C0B">
        <w:rPr>
          <w:rFonts w:ascii="Arial" w:hAnsi="Arial" w:cs="Arial"/>
          <w:bCs/>
          <w:snapToGrid w:val="0"/>
          <w:sz w:val="22"/>
          <w:szCs w:val="22"/>
          <w:lang w:eastAsia="en-US"/>
        </w:rPr>
        <w:t xml:space="preserve">The request demonstrates that the proposed activities will build up capacities in the field of safeguarding intangible heritage of </w:t>
      </w:r>
      <w:r w:rsidRPr="00346C0B">
        <w:rPr>
          <w:rFonts w:ascii="Arial" w:hAnsi="Arial"/>
          <w:snapToGrid w:val="0"/>
          <w:sz w:val="22"/>
          <w:lang w:eastAsia="en-US"/>
        </w:rPr>
        <w:t xml:space="preserve">different stakeholders concerned, including all age segments of the nine clans of the Maasai community and officers from the Department of Culture and its partners; </w:t>
      </w:r>
      <w:r w:rsidRPr="00346C0B">
        <w:rPr>
          <w:rFonts w:ascii="Arial" w:hAnsi="Arial" w:cs="Arial"/>
          <w:bCs/>
          <w:snapToGrid w:val="0"/>
          <w:sz w:val="22"/>
          <w:szCs w:val="22"/>
          <w:lang w:eastAsia="en-US"/>
        </w:rPr>
        <w:t xml:space="preserve">communities will acquire </w:t>
      </w:r>
      <w:r w:rsidRPr="00346C0B">
        <w:rPr>
          <w:rFonts w:ascii="Arial" w:hAnsi="Arial"/>
          <w:snapToGrid w:val="0"/>
          <w:sz w:val="22"/>
          <w:lang w:eastAsia="en-US"/>
        </w:rPr>
        <w:t xml:space="preserve">safeguarding knowledge and skills related to community-based inventorying, including to the identification and securing of natural spaces associated to the practice; younger members of the Maasai community will benefit from transmission of knowledge related to the </w:t>
      </w:r>
      <w:r w:rsidRPr="00346C0B">
        <w:rPr>
          <w:rFonts w:ascii="Arial" w:hAnsi="Arial" w:cs="Arial"/>
          <w:snapToGrid w:val="0"/>
          <w:sz w:val="22"/>
          <w:lang w:eastAsia="en-US"/>
        </w:rPr>
        <w:t xml:space="preserve">three male rites </w:t>
      </w:r>
      <w:r w:rsidRPr="00346C0B">
        <w:rPr>
          <w:rFonts w:ascii="Arial" w:hAnsi="Arial"/>
          <w:snapToGrid w:val="0"/>
          <w:sz w:val="22"/>
          <w:lang w:eastAsia="en-US"/>
        </w:rPr>
        <w:t>from the elders</w:t>
      </w:r>
      <w:r w:rsidRPr="00346C0B" w:rsidDel="00FA73CA">
        <w:rPr>
          <w:rFonts w:ascii="Arial" w:hAnsi="Arial"/>
          <w:snapToGrid w:val="0"/>
          <w:sz w:val="22"/>
          <w:lang w:eastAsia="en-US"/>
        </w:rPr>
        <w:t xml:space="preserve"> </w:t>
      </w:r>
      <w:r w:rsidRPr="00346C0B">
        <w:rPr>
          <w:rFonts w:ascii="Arial" w:hAnsi="Arial"/>
          <w:snapToGrid w:val="0"/>
          <w:sz w:val="22"/>
          <w:lang w:eastAsia="en-US"/>
        </w:rPr>
        <w:t xml:space="preserve">through education and mentorship programmes while officers from concerned institutions will have the opportunity to enhance their capacities on research and documentation of intangible cultural heritage through their participation in recording, data collection and analysis. </w:t>
      </w:r>
    </w:p>
    <w:p w:rsidR="00346C0B" w:rsidRPr="00346C0B" w:rsidRDefault="00346C0B" w:rsidP="000C167A">
      <w:pPr>
        <w:tabs>
          <w:tab w:val="left" w:pos="567"/>
        </w:tabs>
        <w:snapToGrid w:val="0"/>
        <w:spacing w:after="120"/>
        <w:ind w:left="567"/>
        <w:jc w:val="both"/>
        <w:rPr>
          <w:rFonts w:ascii="Arial" w:hAnsi="Arial" w:cs="Arial"/>
          <w:bCs/>
          <w:snapToGrid w:val="0"/>
          <w:sz w:val="22"/>
          <w:szCs w:val="22"/>
          <w:lang w:eastAsia="en-US"/>
        </w:rPr>
      </w:pPr>
      <w:r w:rsidRPr="00346C0B">
        <w:rPr>
          <w:rFonts w:ascii="Arial" w:hAnsi="Arial"/>
          <w:b/>
          <w:snapToGrid w:val="0"/>
          <w:sz w:val="22"/>
          <w:lang w:eastAsia="en-US"/>
        </w:rPr>
        <w:t>Criterion A.7</w:t>
      </w:r>
      <w:r w:rsidRPr="00346C0B">
        <w:rPr>
          <w:rFonts w:ascii="Arial" w:hAnsi="Arial"/>
          <w:snapToGrid w:val="0"/>
          <w:sz w:val="22"/>
          <w:lang w:eastAsia="en-US"/>
        </w:rPr>
        <w:t xml:space="preserve">: </w:t>
      </w:r>
      <w:r w:rsidRPr="00346C0B">
        <w:rPr>
          <w:rFonts w:ascii="Arial" w:hAnsi="Arial" w:cs="Arial"/>
          <w:bCs/>
          <w:snapToGrid w:val="0"/>
          <w:sz w:val="22"/>
          <w:szCs w:val="22"/>
          <w:lang w:eastAsia="en-US"/>
        </w:rPr>
        <w:t xml:space="preserve">Kenya has been a beneficiary of International Assistance from the Intangible Cultural Heritage Fund five times – twice in the form of preparatory assistance for nomination files for the List of Intangible Cultural Heritage in Need of Urgent Safeguarding, namely on ‘Traditions and practices associated to the Kayas’ (2009–10; US$6,000) inscribed in 2009 and on ‘Rituals and practices associated with Kit Mikayi shrine of the Luo community in Kenya’ (2013–15; US$17,668) to be examined by the eleventh session of the Committee at the end of 2016; and three times in the form of financial assistance for projects entitled ‘Traditions and practices associated with the Kayas in the sacred forests of the Mijikenda’ (2011–14; US$126,580) carried out by the same implementing agency as with the present project, ‘Documenting and inventorying intangible cultural heritage of the pastoralist Samburu community in northern Kenya: a focus on the region of Mount Kulal biosphere reserve’ (2015-16; US$24,038) and </w:t>
      </w:r>
      <w:r w:rsidRPr="00346C0B">
        <w:rPr>
          <w:rFonts w:ascii="Arial" w:hAnsi="Arial"/>
          <w:snapToGrid w:val="0"/>
          <w:sz w:val="22"/>
          <w:lang w:eastAsia="en-US"/>
        </w:rPr>
        <w:t xml:space="preserve">‘Promotion of traditional pottery making practices in Eastern Kenya’ </w:t>
      </w:r>
      <w:r w:rsidRPr="00346C0B">
        <w:rPr>
          <w:rFonts w:ascii="Arial" w:hAnsi="Arial" w:cs="Arial"/>
          <w:bCs/>
          <w:snapToGrid w:val="0"/>
          <w:sz w:val="22"/>
          <w:szCs w:val="22"/>
          <w:lang w:eastAsia="en-US"/>
        </w:rPr>
        <w:t xml:space="preserve">(2016-ongoing; </w:t>
      </w:r>
      <w:r w:rsidRPr="00346C0B">
        <w:rPr>
          <w:rFonts w:ascii="Arial" w:hAnsi="Arial"/>
          <w:snapToGrid w:val="0"/>
          <w:sz w:val="22"/>
          <w:lang w:eastAsia="en-US"/>
        </w:rPr>
        <w:t>US$23,388</w:t>
      </w:r>
      <w:r w:rsidRPr="00346C0B">
        <w:rPr>
          <w:rFonts w:ascii="Arial" w:hAnsi="Arial" w:cs="Arial"/>
          <w:bCs/>
          <w:snapToGrid w:val="0"/>
          <w:sz w:val="22"/>
          <w:szCs w:val="22"/>
          <w:lang w:eastAsia="en-US"/>
        </w:rPr>
        <w:t>) both implemented by the National Museums of Kenya; work stipulated by contracts related to completed projects was carried out in compliance with UNESCO regulations.</w:t>
      </w:r>
    </w:p>
    <w:p w:rsidR="00346C0B" w:rsidRPr="00346C0B" w:rsidRDefault="00346C0B" w:rsidP="000C167A">
      <w:pPr>
        <w:snapToGrid w:val="0"/>
        <w:spacing w:after="120"/>
        <w:ind w:left="567"/>
        <w:jc w:val="both"/>
        <w:rPr>
          <w:rFonts w:ascii="Arial" w:hAnsi="Arial"/>
          <w:snapToGrid w:val="0"/>
          <w:sz w:val="22"/>
          <w:lang w:eastAsia="en-US"/>
        </w:rPr>
      </w:pPr>
      <w:r w:rsidRPr="00346C0B">
        <w:rPr>
          <w:rFonts w:ascii="Arial" w:hAnsi="Arial"/>
          <w:b/>
          <w:snapToGrid w:val="0"/>
          <w:sz w:val="22"/>
          <w:lang w:eastAsia="en-US"/>
        </w:rPr>
        <w:lastRenderedPageBreak/>
        <w:t>Paragraph 10(a)</w:t>
      </w:r>
      <w:r w:rsidRPr="00346C0B">
        <w:rPr>
          <w:rFonts w:ascii="Arial" w:hAnsi="Arial"/>
          <w:snapToGrid w:val="0"/>
          <w:sz w:val="22"/>
          <w:lang w:eastAsia="en-US"/>
        </w:rPr>
        <w:t>: The project is local in scope and involves national partners such as the National Museums of Kenya, the Permanent Presidential Music Commission, the Cultural Initiative for Biodiversity Conservation and the Kenya National Commission for UNESCO as well as the Kajiado and Narok County Governments.</w:t>
      </w:r>
    </w:p>
    <w:p w:rsidR="00346C0B" w:rsidRPr="00346C0B" w:rsidRDefault="00346C0B" w:rsidP="000C167A">
      <w:pPr>
        <w:snapToGrid w:val="0"/>
        <w:spacing w:after="120"/>
        <w:ind w:left="567"/>
        <w:jc w:val="both"/>
        <w:rPr>
          <w:rFonts w:ascii="Arial" w:hAnsi="Arial"/>
          <w:snapToGrid w:val="0"/>
          <w:sz w:val="22"/>
          <w:lang w:eastAsia="en-US"/>
        </w:rPr>
      </w:pPr>
      <w:r w:rsidRPr="00346C0B">
        <w:rPr>
          <w:rFonts w:ascii="Arial" w:hAnsi="Arial"/>
          <w:b/>
          <w:snapToGrid w:val="0"/>
          <w:sz w:val="22"/>
          <w:lang w:eastAsia="en-US"/>
        </w:rPr>
        <w:t>Paragraph 10(b):</w:t>
      </w:r>
      <w:r w:rsidRPr="00346C0B">
        <w:rPr>
          <w:rFonts w:ascii="Arial" w:hAnsi="Arial"/>
          <w:snapToGrid w:val="0"/>
          <w:sz w:val="22"/>
          <w:lang w:eastAsia="en-US"/>
        </w:rPr>
        <w:t xml:space="preserve"> </w:t>
      </w:r>
      <w:r w:rsidRPr="00346C0B">
        <w:rPr>
          <w:rFonts w:ascii="Arial" w:hAnsi="Arial" w:cs="Arial"/>
          <w:snapToGrid w:val="0"/>
          <w:sz w:val="22"/>
          <w:szCs w:val="22"/>
          <w:lang w:eastAsia="en-US"/>
        </w:rPr>
        <w:t xml:space="preserve">The request indicates a potential multiplier effect in terms of future funding and support from existing partners to the project or new partners who could join in the future such as the </w:t>
      </w:r>
      <w:r w:rsidRPr="00346C0B">
        <w:rPr>
          <w:rFonts w:ascii="Arial" w:eastAsia="SimSun" w:hAnsi="Arial" w:cs="Arial"/>
          <w:snapToGrid w:val="0"/>
          <w:sz w:val="22"/>
          <w:szCs w:val="22"/>
          <w:lang w:eastAsia="en-US"/>
        </w:rPr>
        <w:t xml:space="preserve">Ministry of Education; they all have pledged to either continue documenting the </w:t>
      </w:r>
      <w:r w:rsidRPr="00346C0B">
        <w:rPr>
          <w:rFonts w:ascii="Arial" w:hAnsi="Arial" w:cs="Arial"/>
          <w:snapToGrid w:val="0"/>
          <w:sz w:val="22"/>
          <w:lang w:eastAsia="en-US"/>
        </w:rPr>
        <w:t xml:space="preserve">three male rites of the Maasai community </w:t>
      </w:r>
      <w:r w:rsidRPr="00346C0B">
        <w:rPr>
          <w:rFonts w:ascii="Arial" w:eastAsia="SimSun" w:hAnsi="Arial" w:cs="Arial"/>
          <w:snapToGrid w:val="0"/>
          <w:sz w:val="22"/>
          <w:szCs w:val="22"/>
          <w:lang w:eastAsia="en-US"/>
        </w:rPr>
        <w:t xml:space="preserve">and disseminating knowledge about them in schools or collaborate directly with the </w:t>
      </w:r>
      <w:r w:rsidRPr="00346C0B">
        <w:rPr>
          <w:rFonts w:ascii="Arial" w:hAnsi="Arial" w:cs="Arial"/>
          <w:snapToGrid w:val="0"/>
          <w:sz w:val="22"/>
          <w:lang w:eastAsia="en-US"/>
        </w:rPr>
        <w:t xml:space="preserve">Maasai </w:t>
      </w:r>
      <w:r w:rsidRPr="00346C0B">
        <w:rPr>
          <w:rFonts w:ascii="Arial" w:eastAsia="SimSun" w:hAnsi="Arial" w:cs="Arial"/>
          <w:snapToGrid w:val="0"/>
          <w:sz w:val="22"/>
          <w:szCs w:val="22"/>
          <w:lang w:eastAsia="en-US"/>
        </w:rPr>
        <w:t xml:space="preserve">communities to safeguard them; </w:t>
      </w:r>
      <w:r w:rsidRPr="00346C0B">
        <w:rPr>
          <w:rFonts w:ascii="Arial" w:hAnsi="Arial" w:cs="Arial"/>
          <w:snapToGrid w:val="0"/>
          <w:sz w:val="22"/>
          <w:szCs w:val="22"/>
          <w:lang w:eastAsia="en-US"/>
        </w:rPr>
        <w:t xml:space="preserve">these efforts are expected to </w:t>
      </w:r>
      <w:r w:rsidRPr="00346C0B">
        <w:rPr>
          <w:rFonts w:ascii="Arial" w:eastAsia="SimSun" w:hAnsi="Arial" w:cs="Arial"/>
          <w:snapToGrid w:val="0"/>
          <w:sz w:val="22"/>
          <w:szCs w:val="22"/>
          <w:lang w:eastAsia="en-US"/>
        </w:rPr>
        <w:t>complement the Department of Culture’s ongoing commitment to allocate a budget for the safeguarding of these practices in the next financial year and to dedicate its officers with expertise in intangible cultural heritage to drive the safeguarding process.</w:t>
      </w:r>
    </w:p>
    <w:p w:rsidR="00346C0B" w:rsidRPr="00346C0B" w:rsidRDefault="00346C0B" w:rsidP="000C167A">
      <w:pPr>
        <w:pStyle w:val="ListParagraph"/>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Commends</w:t>
      </w:r>
      <w:r w:rsidRPr="00346C0B">
        <w:rPr>
          <w:rFonts w:ascii="Arial" w:eastAsia="SimSun" w:hAnsi="Arial" w:cs="Arial"/>
          <w:sz w:val="22"/>
          <w:szCs w:val="22"/>
        </w:rPr>
        <w:t xml:space="preserve"> the effort made by the State Party to revise the request </w:t>
      </w:r>
      <w:r w:rsidRPr="00346C0B">
        <w:rPr>
          <w:rFonts w:ascii="Arial" w:eastAsia="SimSun" w:hAnsi="Arial" w:cs="Arial"/>
          <w:bCs/>
          <w:sz w:val="22"/>
          <w:szCs w:val="22"/>
        </w:rPr>
        <w:t xml:space="preserve">in line with the </w:t>
      </w:r>
      <w:r w:rsidRPr="00346C0B">
        <w:rPr>
          <w:rFonts w:ascii="Arial" w:eastAsia="SimSun" w:hAnsi="Arial" w:cs="Arial"/>
          <w:snapToGrid w:val="0"/>
          <w:sz w:val="22"/>
          <w:szCs w:val="22"/>
        </w:rPr>
        <w:t>recommendations of the Evaluation Body,</w:t>
      </w:r>
      <w:r w:rsidRPr="00346C0B">
        <w:rPr>
          <w:rFonts w:ascii="Arial" w:eastAsia="SimSun" w:hAnsi="Arial" w:cs="Arial"/>
          <w:sz w:val="22"/>
          <w:szCs w:val="22"/>
        </w:rPr>
        <w:t xml:space="preserve"> as endorsed by the Committee in its Decision 10.COM 10.c.2;</w:t>
      </w:r>
    </w:p>
    <w:p w:rsidR="00346C0B" w:rsidRPr="00346C0B" w:rsidRDefault="00346C0B" w:rsidP="000C167A">
      <w:pPr>
        <w:pStyle w:val="ListParagraph"/>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Approves</w:t>
      </w:r>
      <w:r w:rsidRPr="00346C0B">
        <w:rPr>
          <w:rFonts w:ascii="Arial" w:eastAsia="SimSun" w:hAnsi="Arial" w:cs="Arial"/>
          <w:sz w:val="22"/>
          <w:szCs w:val="22"/>
        </w:rPr>
        <w:t xml:space="preserve">, as authorized body, the revised international assistance request from Kenya for a project entitled </w:t>
      </w:r>
      <w:r w:rsidRPr="00346C0B">
        <w:rPr>
          <w:rFonts w:ascii="Arial" w:eastAsia="SimSun" w:hAnsi="Arial" w:cs="Arial"/>
          <w:b/>
          <w:sz w:val="22"/>
          <w:szCs w:val="22"/>
        </w:rPr>
        <w:t xml:space="preserve">Safeguarding of Enkipaata, Eunoto and Olng’esherr, three male rites of passage of the Maasai community </w:t>
      </w:r>
      <w:r w:rsidRPr="00346C0B">
        <w:rPr>
          <w:rFonts w:ascii="Arial" w:eastAsia="SimSun" w:hAnsi="Arial" w:cs="Arial"/>
          <w:sz w:val="22"/>
          <w:szCs w:val="22"/>
        </w:rPr>
        <w:t xml:space="preserve">(No. 00888) and to </w:t>
      </w:r>
      <w:r w:rsidRPr="00346C0B">
        <w:rPr>
          <w:rFonts w:ascii="Arial" w:eastAsia="SimSun" w:hAnsi="Arial" w:cs="Arial"/>
          <w:sz w:val="22"/>
          <w:szCs w:val="22"/>
          <w:u w:val="single"/>
        </w:rPr>
        <w:t>grant</w:t>
      </w:r>
      <w:r w:rsidRPr="00346C0B">
        <w:rPr>
          <w:rFonts w:ascii="Arial" w:eastAsia="SimSun" w:hAnsi="Arial" w:cs="Arial"/>
          <w:sz w:val="22"/>
          <w:szCs w:val="22"/>
        </w:rPr>
        <w:t xml:space="preserve"> an amount of </w:t>
      </w:r>
      <w:r w:rsidRPr="00346C0B">
        <w:rPr>
          <w:rFonts w:ascii="Arial" w:eastAsia="SimSun" w:hAnsi="Arial" w:cs="Arial"/>
          <w:snapToGrid w:val="0"/>
          <w:sz w:val="22"/>
          <w:szCs w:val="22"/>
          <w:lang w:eastAsia="en-US"/>
        </w:rPr>
        <w:t xml:space="preserve">US$144,430 </w:t>
      </w:r>
      <w:r w:rsidRPr="00346C0B">
        <w:rPr>
          <w:rFonts w:ascii="Arial" w:eastAsia="SimSun" w:hAnsi="Arial" w:cs="Arial"/>
          <w:sz w:val="22"/>
          <w:szCs w:val="22"/>
        </w:rPr>
        <w:t>to the State Party to this end;</w:t>
      </w:r>
    </w:p>
    <w:p w:rsidR="00346C0B" w:rsidRPr="00346C0B" w:rsidRDefault="00346C0B" w:rsidP="000C167A">
      <w:pPr>
        <w:pStyle w:val="ListParagraph"/>
        <w:numPr>
          <w:ilvl w:val="0"/>
          <w:numId w:val="17"/>
        </w:numPr>
        <w:autoSpaceDE w:val="0"/>
        <w:autoSpaceDN w:val="0"/>
        <w:adjustRightInd w:val="0"/>
        <w:spacing w:after="120"/>
        <w:ind w:left="567" w:hanging="567"/>
        <w:contextualSpacing w:val="0"/>
        <w:jc w:val="both"/>
        <w:rPr>
          <w:rFonts w:ascii="Arial" w:eastAsia="SimSun" w:hAnsi="Arial" w:cs="Arial"/>
          <w:sz w:val="22"/>
          <w:szCs w:val="22"/>
        </w:rPr>
      </w:pPr>
      <w:r w:rsidRPr="00346C0B">
        <w:rPr>
          <w:rFonts w:ascii="Arial" w:eastAsia="SimSun" w:hAnsi="Arial" w:cs="Arial"/>
          <w:sz w:val="22"/>
          <w:szCs w:val="22"/>
          <w:u w:val="single"/>
        </w:rPr>
        <w:t>Requests</w:t>
      </w:r>
      <w:r w:rsidRPr="00346C0B">
        <w:rPr>
          <w:rFonts w:ascii="Arial" w:eastAsia="SimSun" w:hAnsi="Arial" w:cs="Arial"/>
          <w:sz w:val="22"/>
          <w:szCs w:val="22"/>
        </w:rPr>
        <w:t xml:space="preserve"> the Secretariat to reach an agreement with the requesting State Party on technical details of the assistance, paying particular attention to the detailed budget of activities to be covered by the Intangible Cultural Heritage Fund;</w:t>
      </w:r>
    </w:p>
    <w:p w:rsidR="00346C0B" w:rsidRPr="00346C0B" w:rsidRDefault="00346C0B" w:rsidP="000C167A">
      <w:pPr>
        <w:pStyle w:val="ListParagraph"/>
        <w:numPr>
          <w:ilvl w:val="0"/>
          <w:numId w:val="17"/>
        </w:numPr>
        <w:autoSpaceDE w:val="0"/>
        <w:autoSpaceDN w:val="0"/>
        <w:adjustRightInd w:val="0"/>
        <w:spacing w:after="120"/>
        <w:ind w:left="567" w:hanging="567"/>
        <w:jc w:val="both"/>
        <w:rPr>
          <w:rFonts w:ascii="Arial" w:eastAsia="SimSun" w:hAnsi="Arial" w:cs="Arial"/>
          <w:sz w:val="22"/>
          <w:szCs w:val="22"/>
        </w:rPr>
      </w:pPr>
      <w:r w:rsidRPr="00346C0B">
        <w:rPr>
          <w:rFonts w:ascii="Arial" w:eastAsia="SimSun" w:hAnsi="Arial" w:cs="Arial"/>
          <w:sz w:val="22"/>
          <w:szCs w:val="22"/>
          <w:u w:val="single"/>
        </w:rPr>
        <w:t>Invites</w:t>
      </w:r>
      <w:r w:rsidRPr="00346C0B">
        <w:rPr>
          <w:rFonts w:ascii="Arial" w:eastAsia="SimSun" w:hAnsi="Arial" w:cs="Arial"/>
          <w:sz w:val="22"/>
          <w:szCs w:val="22"/>
        </w:rPr>
        <w:t xml:space="preserve"> the State Party to use the ICH-04-Report Form when reporting on the use of assistance provided.</w:t>
      </w:r>
    </w:p>
    <w:p w:rsidR="001F79D2" w:rsidRDefault="00F774D0" w:rsidP="000C167A">
      <w:pPr>
        <w:pStyle w:val="COMTitleDecision"/>
        <w:spacing w:before="360" w:after="240"/>
        <w:ind w:left="0"/>
      </w:pPr>
      <w:r w:rsidRPr="008D4C4B">
        <w:t>DECISION 11.COM 3.BUR </w:t>
      </w:r>
      <w:r>
        <w:t>5</w:t>
      </w:r>
      <w:r w:rsidRPr="008D4C4B">
        <w:t>.1</w:t>
      </w:r>
    </w:p>
    <w:p w:rsidR="00F774D0" w:rsidRPr="008D4C4B" w:rsidRDefault="00F774D0" w:rsidP="00F774D0">
      <w:pPr>
        <w:pStyle w:val="Marge"/>
        <w:keepNext/>
        <w:tabs>
          <w:tab w:val="clear" w:pos="567"/>
        </w:tabs>
        <w:spacing w:before="240" w:after="120"/>
        <w:ind w:left="426" w:hanging="426"/>
        <w:rPr>
          <w:rFonts w:cs="Arial"/>
          <w:caps/>
          <w:szCs w:val="22"/>
        </w:rPr>
      </w:pPr>
      <w:r w:rsidRPr="008D4C4B">
        <w:rPr>
          <w:rFonts w:cs="Arial"/>
          <w:szCs w:val="22"/>
        </w:rPr>
        <w:t>The Bureau,</w:t>
      </w:r>
    </w:p>
    <w:p w:rsidR="00F774D0" w:rsidRPr="00F774D0" w:rsidRDefault="00F774D0" w:rsidP="000C167A">
      <w:pPr>
        <w:pStyle w:val="COMParaDecision"/>
        <w:ind w:left="567" w:hanging="567"/>
        <w:rPr>
          <w:u w:val="none"/>
        </w:rPr>
      </w:pPr>
      <w:r w:rsidRPr="008D4C4B">
        <w:t xml:space="preserve">Recalling </w:t>
      </w:r>
      <w:r w:rsidRPr="00F774D0">
        <w:rPr>
          <w:u w:val="none"/>
        </w:rPr>
        <w:t>Chapter V of the Convention and Chapter I of the Operational Directives,</w:t>
      </w:r>
    </w:p>
    <w:p w:rsidR="00F774D0" w:rsidRPr="00F774D0" w:rsidRDefault="00F774D0" w:rsidP="000C167A">
      <w:pPr>
        <w:pStyle w:val="COMParaDecision"/>
        <w:ind w:left="567" w:hanging="567"/>
        <w:rPr>
          <w:u w:val="none"/>
        </w:rPr>
      </w:pPr>
      <w:r w:rsidRPr="008D4C4B">
        <w:t xml:space="preserve">Having examined </w:t>
      </w:r>
      <w:r w:rsidRPr="00F774D0">
        <w:rPr>
          <w:u w:val="none"/>
        </w:rPr>
        <w:t>Document ITH/16/11.COM 3.BUR/5, as well as the international assistance request no. 01153,</w:t>
      </w:r>
    </w:p>
    <w:p w:rsidR="00F774D0" w:rsidRPr="00F774D0" w:rsidRDefault="00F774D0" w:rsidP="000C167A">
      <w:pPr>
        <w:pStyle w:val="COMParaDecision"/>
        <w:ind w:left="567" w:hanging="567"/>
        <w:rPr>
          <w:u w:val="none"/>
        </w:rPr>
      </w:pPr>
      <w:r w:rsidRPr="008D4C4B">
        <w:t xml:space="preserve">Takes note </w:t>
      </w:r>
      <w:r w:rsidRPr="00F774D0">
        <w:rPr>
          <w:u w:val="none"/>
        </w:rPr>
        <w:t xml:space="preserve">that Botswana has requested International Assistance for a project entitled the </w:t>
      </w:r>
      <w:r w:rsidRPr="00F774D0">
        <w:rPr>
          <w:b/>
          <w:u w:val="none"/>
        </w:rPr>
        <w:t>Promotion of earthen ware pottery-making skills in Kgatleng district</w:t>
      </w:r>
      <w:r w:rsidRPr="00F774D0">
        <w:rPr>
          <w:u w:val="none"/>
        </w:rPr>
        <w:t>:</w:t>
      </w:r>
    </w:p>
    <w:p w:rsidR="00F774D0" w:rsidRPr="008D4C4B" w:rsidRDefault="00F774D0" w:rsidP="000C167A">
      <w:pPr>
        <w:shd w:val="clear" w:color="auto" w:fill="FFFFFF"/>
        <w:spacing w:before="120" w:after="120"/>
        <w:ind w:left="567" w:hanging="567"/>
        <w:jc w:val="both"/>
        <w:rPr>
          <w:rFonts w:ascii="Arial" w:eastAsia="SimSun" w:hAnsi="Arial" w:cs="Arial"/>
          <w:sz w:val="22"/>
          <w:szCs w:val="22"/>
        </w:rPr>
      </w:pPr>
      <w:r w:rsidRPr="008D4C4B">
        <w:rPr>
          <w:rFonts w:ascii="Arial" w:eastAsia="SimSun" w:hAnsi="Arial" w:cs="Arial"/>
          <w:sz w:val="22"/>
          <w:szCs w:val="22"/>
        </w:rPr>
        <w:tab/>
        <w:t xml:space="preserve">Earthenware pottery-making skills were inscribed in 2012 on the List of Intangible Cultural Heritage in Need of Urgent Safeguarding. Practised among the Bakgatla ba Kgafela community in south-eastern Botswana and transmitted to daughters and granddaughters through observation and practice, earthenware pottery-making is at risk of extinction. </w:t>
      </w:r>
      <w:r>
        <w:rPr>
          <w:rFonts w:ascii="Arial" w:eastAsia="SimSun" w:hAnsi="Arial" w:cs="Arial"/>
          <w:sz w:val="22"/>
          <w:szCs w:val="22"/>
        </w:rPr>
        <w:t>The m</w:t>
      </w:r>
      <w:r w:rsidRPr="008D4C4B">
        <w:rPr>
          <w:rFonts w:ascii="Arial" w:eastAsia="SimSun" w:hAnsi="Arial" w:cs="Arial"/>
          <w:sz w:val="22"/>
          <w:szCs w:val="22"/>
        </w:rPr>
        <w:t>ain factors for its decline are the decreasing number of master potters, lack of interest in learning the skills and knowledge among youth, low prices for finished goods and increasing use of mass-produced containers. Furthermore, two key ingredients used for pottery-making, the clay soil and weathered sand stone, are found at the foot of Phuthadikobo and Tsope hills in Mochudi, the capital of the Kgatleng district, where residential plots have encroached on the cultural spaces associated with this practice. Implemented by the Phuthadikobo Museum in Mochudi, the project foresees the implementation of a number of components of the safeguarding plan included in the nomination file.</w:t>
      </w:r>
      <w:r w:rsidRPr="008D4C4B" w:rsidDel="00632008">
        <w:rPr>
          <w:rFonts w:ascii="Arial" w:eastAsia="SimSun" w:hAnsi="Arial" w:cs="Arial"/>
          <w:sz w:val="22"/>
          <w:szCs w:val="22"/>
        </w:rPr>
        <w:t xml:space="preserve"> </w:t>
      </w:r>
      <w:r w:rsidRPr="008D4C4B">
        <w:rPr>
          <w:rFonts w:ascii="Arial" w:eastAsia="SimSun" w:hAnsi="Arial" w:cs="Arial"/>
          <w:sz w:val="22"/>
          <w:szCs w:val="22"/>
        </w:rPr>
        <w:t xml:space="preserve">Strengthening the transmission of the earthenware pottery-making skills will be sought through training young potters while providing them with a temporary selling exhibition as well as through field work that should result both in the development </w:t>
      </w:r>
      <w:r>
        <w:rPr>
          <w:rFonts w:ascii="Arial" w:eastAsia="SimSun" w:hAnsi="Arial" w:cs="Arial"/>
          <w:sz w:val="22"/>
          <w:szCs w:val="22"/>
        </w:rPr>
        <w:t xml:space="preserve">of </w:t>
      </w:r>
      <w:r w:rsidRPr="008D4C4B">
        <w:rPr>
          <w:rFonts w:ascii="Arial" w:eastAsia="SimSun" w:hAnsi="Arial" w:cs="Arial"/>
          <w:sz w:val="22"/>
          <w:szCs w:val="22"/>
        </w:rPr>
        <w:t xml:space="preserve">educational materials and the fencing of spaces associated with the practice </w:t>
      </w:r>
      <w:r>
        <w:rPr>
          <w:rFonts w:ascii="Arial" w:eastAsia="SimSun" w:hAnsi="Arial" w:cs="Arial"/>
          <w:sz w:val="22"/>
          <w:szCs w:val="22"/>
        </w:rPr>
        <w:t xml:space="preserve">in order </w:t>
      </w:r>
      <w:r w:rsidRPr="008D4C4B">
        <w:rPr>
          <w:rFonts w:ascii="Arial" w:eastAsia="SimSun" w:hAnsi="Arial" w:cs="Arial"/>
          <w:sz w:val="22"/>
          <w:szCs w:val="22"/>
        </w:rPr>
        <w:t>to protect access to raw materials.</w:t>
      </w:r>
    </w:p>
    <w:p w:rsidR="00F774D0" w:rsidRPr="00F774D0" w:rsidRDefault="00F774D0" w:rsidP="000C167A">
      <w:pPr>
        <w:pStyle w:val="COMParaDecision"/>
        <w:ind w:left="567" w:hanging="567"/>
        <w:rPr>
          <w:u w:val="none"/>
        </w:rPr>
      </w:pPr>
      <w:r w:rsidRPr="008D4C4B">
        <w:t xml:space="preserve">Further takes note </w:t>
      </w:r>
      <w:r w:rsidRPr="00F774D0">
        <w:rPr>
          <w:u w:val="none"/>
        </w:rPr>
        <w:t xml:space="preserve">that this assistance concerns the safeguarding of the heritage inscribed on the List of Intangible Cultural Heritage in Need of Urgent Safeguarding in accordance with </w:t>
      </w:r>
      <w:r w:rsidRPr="00F774D0">
        <w:rPr>
          <w:u w:val="none"/>
        </w:rPr>
        <w:lastRenderedPageBreak/>
        <w:t>Article 20 (a) of the Convention, and that it takes the form of the granting of a donation in line with Article 21 (g) of the Convention;</w:t>
      </w:r>
    </w:p>
    <w:p w:rsidR="00F774D0" w:rsidRPr="00F774D0" w:rsidRDefault="00F774D0" w:rsidP="000C167A">
      <w:pPr>
        <w:pStyle w:val="COMParaDecision"/>
        <w:ind w:left="567" w:hanging="567"/>
        <w:rPr>
          <w:u w:val="none"/>
        </w:rPr>
      </w:pPr>
      <w:r w:rsidRPr="008D4C4B">
        <w:t xml:space="preserve">Also takes note </w:t>
      </w:r>
      <w:r w:rsidRPr="00F774D0">
        <w:rPr>
          <w:u w:val="none"/>
        </w:rPr>
        <w:t>that Botswana requested an allocation of US$68,261.10 from the Intangible Cultural Heritage Fund for implementation of the project;</w:t>
      </w:r>
    </w:p>
    <w:p w:rsidR="00F774D0" w:rsidRPr="00F774D0" w:rsidRDefault="00F774D0" w:rsidP="000C167A">
      <w:pPr>
        <w:pStyle w:val="COMParaDecision"/>
        <w:ind w:left="567" w:hanging="567"/>
        <w:rPr>
          <w:u w:val="none"/>
        </w:rPr>
      </w:pPr>
      <w:r w:rsidRPr="008D4C4B">
        <w:t xml:space="preserve">Decides </w:t>
      </w:r>
      <w:r w:rsidRPr="00F774D0">
        <w:rPr>
          <w:u w:val="none"/>
        </w:rPr>
        <w:t>that</w:t>
      </w:r>
      <w:r w:rsidRPr="00F774D0">
        <w:rPr>
          <w:b/>
          <w:u w:val="none"/>
        </w:rPr>
        <w:t xml:space="preserve"> </w:t>
      </w:r>
      <w:r w:rsidRPr="00F774D0">
        <w:rPr>
          <w:u w:val="none"/>
        </w:rPr>
        <w:t>from the information provided in file no. 01153, the request responds as follows to the criteria for granting International Assistance given in paragraphs 10 and 12 of the Operational Directives:</w:t>
      </w:r>
    </w:p>
    <w:p w:rsidR="00F774D0" w:rsidRPr="00F774D0" w:rsidRDefault="00F774D0" w:rsidP="000C167A">
      <w:pPr>
        <w:pStyle w:val="COMParaDecision"/>
        <w:numPr>
          <w:ilvl w:val="0"/>
          <w:numId w:val="0"/>
        </w:numPr>
        <w:ind w:left="567"/>
        <w:rPr>
          <w:bCs/>
          <w:u w:val="none"/>
        </w:rPr>
      </w:pPr>
      <w:r w:rsidRPr="00F774D0">
        <w:rPr>
          <w:b/>
          <w:u w:val="none"/>
        </w:rPr>
        <w:t>Criterion A.1</w:t>
      </w:r>
      <w:r w:rsidRPr="00F774D0">
        <w:rPr>
          <w:u w:val="none"/>
        </w:rPr>
        <w:t>: The request comes directly from two master potters as a result of their active involvement in the implementation of a pilot project on community-based intangible cultural heritage inventorying in 2010; their participation in the preparation of the request is adequately demonstrated as well as their involvement in the implementation of proposed activities such as field work and training; community participation in the implementation of the project, its evaluation and follow-up will also be ensured through the Village Development Committees responsible for the management of the cultural spaces associated with earthenware pottery-making.</w:t>
      </w:r>
    </w:p>
    <w:p w:rsidR="00F774D0" w:rsidRPr="008D4C4B" w:rsidRDefault="00F774D0" w:rsidP="000C167A">
      <w:pPr>
        <w:pStyle w:val="Marge"/>
        <w:tabs>
          <w:tab w:val="clear" w:pos="567"/>
        </w:tabs>
        <w:spacing w:after="120"/>
        <w:ind w:left="567"/>
        <w:rPr>
          <w:rFonts w:cs="Arial"/>
          <w:szCs w:val="22"/>
        </w:rPr>
      </w:pPr>
      <w:r w:rsidRPr="008D4C4B">
        <w:rPr>
          <w:b/>
        </w:rPr>
        <w:t>Criterion A.2</w:t>
      </w:r>
      <w:r w:rsidRPr="008D4C4B">
        <w:t>: Although expenditures included in the budget provide adequate level of detail, correspondence with the proposed activities is not entirely clear; with a budget only partially presented by activities, expenses related to field work or to the development of educational content are not easily identifiable.</w:t>
      </w:r>
      <w:r w:rsidRPr="008D4C4B" w:rsidDel="004870B2">
        <w:t xml:space="preserve"> </w:t>
      </w:r>
      <w:r w:rsidRPr="008D4C4B">
        <w:rPr>
          <w:rFonts w:cs="Arial"/>
          <w:szCs w:val="22"/>
        </w:rPr>
        <w:t xml:space="preserve"> </w:t>
      </w:r>
    </w:p>
    <w:p w:rsidR="00F774D0" w:rsidRPr="008D4C4B" w:rsidRDefault="00F774D0" w:rsidP="000C167A">
      <w:pPr>
        <w:pStyle w:val="Marge"/>
        <w:tabs>
          <w:tab w:val="clear" w:pos="567"/>
        </w:tabs>
        <w:spacing w:after="120"/>
        <w:ind w:left="567"/>
        <w:rPr>
          <w:rFonts w:eastAsia="SimSun" w:cs="Arial"/>
          <w:szCs w:val="22"/>
        </w:rPr>
      </w:pPr>
      <w:r w:rsidRPr="008D4C4B">
        <w:rPr>
          <w:b/>
        </w:rPr>
        <w:t>Criterion A.3</w:t>
      </w:r>
      <w:r w:rsidRPr="008D4C4B">
        <w:t xml:space="preserve">: While the primary objective of the project is clearly stated, namely to ensure the viability of </w:t>
      </w:r>
      <w:r w:rsidRPr="008D4C4B">
        <w:rPr>
          <w:rFonts w:eastAsia="SimSun" w:cs="Arial"/>
          <w:szCs w:val="22"/>
        </w:rPr>
        <w:t xml:space="preserve">earthenware pottery-making skills, the articulation between the different project components is not self-explanatory; in particular, the request does not adequately explain how the outputs of field work will be turned into educational materials nor how the latter will be used as part of the transmission workshop. </w:t>
      </w:r>
    </w:p>
    <w:p w:rsidR="00F774D0" w:rsidRPr="008D4C4B" w:rsidRDefault="00F774D0" w:rsidP="000C167A">
      <w:pPr>
        <w:pStyle w:val="Marge"/>
        <w:tabs>
          <w:tab w:val="clear" w:pos="567"/>
        </w:tabs>
        <w:spacing w:after="120"/>
        <w:ind w:left="567"/>
        <w:rPr>
          <w:rFonts w:cs="Arial"/>
          <w:b/>
          <w:bCs/>
          <w:szCs w:val="22"/>
        </w:rPr>
      </w:pPr>
      <w:r w:rsidRPr="008D4C4B">
        <w:rPr>
          <w:b/>
        </w:rPr>
        <w:t>Criterion A.4</w:t>
      </w:r>
      <w:r w:rsidRPr="008D4C4B">
        <w:t xml:space="preserve">: The project is expected to develop human and institutional resources able to sustain safeguarding efforts beyond project completion: </w:t>
      </w:r>
      <w:r w:rsidRPr="008D4C4B">
        <w:rPr>
          <w:rFonts w:cs="Arial"/>
          <w:bCs/>
          <w:szCs w:val="22"/>
        </w:rPr>
        <w:t xml:space="preserve">twenty trainees will be equipped with the necessary skills to continue the practice as a means of livelihood and to transmit it to future generations; in addition, the agency responsible for implementing the project, the </w:t>
      </w:r>
      <w:r w:rsidRPr="008D4C4B">
        <w:rPr>
          <w:rFonts w:eastAsia="SimSun" w:cs="Arial"/>
          <w:szCs w:val="22"/>
        </w:rPr>
        <w:t xml:space="preserve">Phuthadikobo Museum, not only took care to hire </w:t>
      </w:r>
      <w:r w:rsidRPr="008D4C4B">
        <w:rPr>
          <w:rFonts w:cs="Arial"/>
          <w:bCs/>
          <w:szCs w:val="22"/>
        </w:rPr>
        <w:t>a coordinator for intangible cultural heritage who will build on project results as part of a District Strategy for the Implementation of the 2003 Convention in Kgatlend but foresees the integration into its organizational structure of the four field researche</w:t>
      </w:r>
      <w:r>
        <w:rPr>
          <w:rFonts w:cs="Arial"/>
          <w:bCs/>
          <w:szCs w:val="22"/>
        </w:rPr>
        <w:t>r</w:t>
      </w:r>
      <w:r w:rsidRPr="008D4C4B">
        <w:rPr>
          <w:rFonts w:cs="Arial"/>
          <w:bCs/>
          <w:szCs w:val="22"/>
        </w:rPr>
        <w:t>s involved in the project.</w:t>
      </w:r>
    </w:p>
    <w:p w:rsidR="00F774D0" w:rsidRPr="008D4C4B" w:rsidRDefault="00F774D0" w:rsidP="000C167A">
      <w:pPr>
        <w:pStyle w:val="Marge"/>
        <w:tabs>
          <w:tab w:val="clear" w:pos="567"/>
        </w:tabs>
        <w:spacing w:after="120"/>
        <w:ind w:left="567"/>
      </w:pPr>
      <w:r w:rsidRPr="008D4C4B">
        <w:rPr>
          <w:b/>
        </w:rPr>
        <w:t>Criterion A.5</w:t>
      </w:r>
      <w:r w:rsidRPr="008D4C4B">
        <w:t xml:space="preserve">: The requesting State will share 12 per cent of the total amount of the project for which </w:t>
      </w:r>
      <w:r>
        <w:t>I</w:t>
      </w:r>
      <w:r w:rsidRPr="008D4C4B">
        <w:t xml:space="preserve">nternational </w:t>
      </w:r>
      <w:r>
        <w:t>A</w:t>
      </w:r>
      <w:r w:rsidRPr="008D4C4B">
        <w:t>ssistance is requested.</w:t>
      </w:r>
      <w:r w:rsidRPr="008D4C4B" w:rsidDel="000F0E7F">
        <w:t xml:space="preserve"> </w:t>
      </w:r>
    </w:p>
    <w:p w:rsidR="00F774D0" w:rsidRPr="008D4C4B" w:rsidRDefault="00F774D0" w:rsidP="000C167A">
      <w:pPr>
        <w:pStyle w:val="Marge"/>
        <w:tabs>
          <w:tab w:val="clear" w:pos="567"/>
        </w:tabs>
        <w:spacing w:after="120"/>
        <w:ind w:left="567"/>
        <w:rPr>
          <w:rFonts w:cs="Arial"/>
          <w:bCs/>
          <w:szCs w:val="22"/>
          <w:highlight w:val="yellow"/>
        </w:rPr>
      </w:pPr>
      <w:r w:rsidRPr="008D4C4B">
        <w:rPr>
          <w:b/>
        </w:rPr>
        <w:t>Criterion A.6</w:t>
      </w:r>
      <w:r w:rsidRPr="008D4C4B">
        <w:t>: The request adequately describes how the project will contribute to build</w:t>
      </w:r>
      <w:r>
        <w:t>ing</w:t>
      </w:r>
      <w:r w:rsidRPr="008D4C4B">
        <w:t xml:space="preserve"> the capacities of twenty young motivated potters to enable them mainly to master earthenware pottery-making skills but also to gain better understanding of the cultural significances associated with the practice; capacities of the staff from the Phuthadikobo Museum for safeguarding intangible cultural heritage in general will be strengthened through each of the project activities, thereby impacting on </w:t>
      </w:r>
      <w:r w:rsidRPr="008D4C4B">
        <w:rPr>
          <w:rFonts w:cs="Arial"/>
          <w:bCs/>
          <w:szCs w:val="22"/>
        </w:rPr>
        <w:t xml:space="preserve">the safeguarding capacities of the whole Bakgatla ba Kgafela community. </w:t>
      </w:r>
    </w:p>
    <w:p w:rsidR="00F774D0" w:rsidRPr="008D4C4B" w:rsidRDefault="00F774D0" w:rsidP="000C167A">
      <w:pPr>
        <w:pStyle w:val="Marge"/>
        <w:tabs>
          <w:tab w:val="clear" w:pos="567"/>
        </w:tabs>
        <w:spacing w:after="120"/>
        <w:ind w:left="567"/>
      </w:pPr>
      <w:r w:rsidRPr="008D4C4B">
        <w:rPr>
          <w:b/>
        </w:rPr>
        <w:t>Criterion A.7</w:t>
      </w:r>
      <w:r w:rsidRPr="008D4C4B">
        <w:t>: Botswana benefited from three multinational projects financed by the UNESCO/Flanders Funds-in-Trust from 2009 to 2015</w:t>
      </w:r>
      <w:r>
        <w:t xml:space="preserve"> </w:t>
      </w:r>
      <w:r w:rsidRPr="008D4C4B">
        <w:t xml:space="preserve">and </w:t>
      </w:r>
      <w:r w:rsidRPr="008D4C4B">
        <w:rPr>
          <w:rFonts w:cs="Arial"/>
          <w:bCs/>
          <w:szCs w:val="22"/>
        </w:rPr>
        <w:t>provided the work stipulated by the terms of reference of the contracts signed under these projects, in line with UNESCO’s regulations</w:t>
      </w:r>
      <w:r>
        <w:rPr>
          <w:rFonts w:cs="Arial"/>
          <w:bCs/>
          <w:szCs w:val="22"/>
        </w:rPr>
        <w:t>; however,</w:t>
      </w:r>
      <w:r w:rsidRPr="008D4C4B">
        <w:rPr>
          <w:rFonts w:cs="Arial"/>
          <w:bCs/>
          <w:szCs w:val="22"/>
        </w:rPr>
        <w:t xml:space="preserve"> Botswana </w:t>
      </w:r>
      <w:r w:rsidRPr="008D4C4B">
        <w:t>has never implemented activities financed by the Intangible Cultural Heritage Fund.</w:t>
      </w:r>
    </w:p>
    <w:p w:rsidR="00F774D0" w:rsidRPr="008D4C4B" w:rsidRDefault="00F774D0" w:rsidP="000C167A">
      <w:pPr>
        <w:pStyle w:val="Marge"/>
        <w:tabs>
          <w:tab w:val="clear" w:pos="567"/>
        </w:tabs>
        <w:spacing w:after="120"/>
        <w:ind w:left="567"/>
      </w:pPr>
      <w:r w:rsidRPr="008D4C4B">
        <w:rPr>
          <w:b/>
        </w:rPr>
        <w:t>Paragraph 10(a)</w:t>
      </w:r>
      <w:r w:rsidRPr="008D4C4B">
        <w:t xml:space="preserve">: The project is local in scope and involves both local implementing partners such as the Kgatleng Main Land Board and national partners such as the Department of National Museums and Monuments of the Ministry of Youth, Sports and Culture. </w:t>
      </w:r>
    </w:p>
    <w:p w:rsidR="00F774D0" w:rsidRPr="008D4C4B" w:rsidRDefault="00F774D0" w:rsidP="000C167A">
      <w:pPr>
        <w:pStyle w:val="Marge"/>
        <w:tabs>
          <w:tab w:val="clear" w:pos="567"/>
        </w:tabs>
        <w:spacing w:after="120"/>
        <w:ind w:left="567"/>
      </w:pPr>
      <w:r w:rsidRPr="008D4C4B">
        <w:rPr>
          <w:b/>
        </w:rPr>
        <w:t>Paragraph 10(b)</w:t>
      </w:r>
      <w:r w:rsidRPr="008D4C4B">
        <w:t xml:space="preserve">: The project fits into a series of regulations and initiatives at national level such us the 2001 National Policy on Culture, the purchasing standards ‘Arts and Craft’ or the </w:t>
      </w:r>
      <w:r w:rsidRPr="008D4C4B">
        <w:lastRenderedPageBreak/>
        <w:t xml:space="preserve">annual Women’s Expo organized by the Women’s Affairs Department </w:t>
      </w:r>
      <w:r>
        <w:t>of the Ministry of Labour and</w:t>
      </w:r>
      <w:r w:rsidRPr="008D4C4B">
        <w:t xml:space="preserve"> Home Affairs</w:t>
      </w:r>
      <w:r>
        <w:t>,</w:t>
      </w:r>
      <w:r w:rsidRPr="008D4C4B">
        <w:t xml:space="preserve"> which give</w:t>
      </w:r>
      <w:r>
        <w:t>s</w:t>
      </w:r>
      <w:r w:rsidRPr="008D4C4B">
        <w:t xml:space="preserve"> hope that the assistance from the Intangible Cultural Heritage Fund may stimulate other financial and technical contributions at the national level.</w:t>
      </w:r>
    </w:p>
    <w:p w:rsidR="00F774D0" w:rsidRPr="00F774D0" w:rsidRDefault="00F774D0" w:rsidP="000C167A">
      <w:pPr>
        <w:pStyle w:val="COMParaDecision"/>
        <w:ind w:left="567" w:hanging="567"/>
        <w:rPr>
          <w:u w:val="none"/>
        </w:rPr>
      </w:pPr>
      <w:r>
        <w:t>A</w:t>
      </w:r>
      <w:r w:rsidRPr="008D4C4B">
        <w:t>pprove</w:t>
      </w:r>
      <w:r>
        <w:t>s</w:t>
      </w:r>
      <w:r w:rsidRPr="00F774D0">
        <w:rPr>
          <w:u w:val="none"/>
        </w:rPr>
        <w:t xml:space="preserve"> the international assistance request from Botswana for </w:t>
      </w:r>
      <w:r w:rsidRPr="00F774D0">
        <w:rPr>
          <w:b/>
          <w:u w:val="none"/>
        </w:rPr>
        <w:t>The promotion of earthen ware pottery making skills in Kgatleng district</w:t>
      </w:r>
      <w:r w:rsidRPr="00F774D0">
        <w:rPr>
          <w:u w:val="none"/>
        </w:rPr>
        <w:t xml:space="preserve"> (No. 01153) and to </w:t>
      </w:r>
      <w:r w:rsidRPr="0019357D">
        <w:t>grant</w:t>
      </w:r>
      <w:r w:rsidRPr="00F774D0">
        <w:rPr>
          <w:u w:val="none"/>
        </w:rPr>
        <w:t xml:space="preserve"> an amount of US$68,261.10 to the State Party to this end;</w:t>
      </w:r>
    </w:p>
    <w:p w:rsidR="00F774D0" w:rsidRPr="00F774D0" w:rsidRDefault="00F774D0" w:rsidP="000C167A">
      <w:pPr>
        <w:pStyle w:val="COMParaDecision"/>
        <w:ind w:left="567" w:hanging="567"/>
        <w:rPr>
          <w:u w:val="none"/>
        </w:rPr>
      </w:pPr>
      <w:r w:rsidRPr="008D4C4B">
        <w:t>Requests</w:t>
      </w:r>
      <w:r w:rsidRPr="00F774D0">
        <w:rPr>
          <w:u w:val="none"/>
        </w:rPr>
        <w:t xml:space="preserve"> the State Party to work with the Secretariat at the earliest opportunity in order to revise, within the amount granted, the budget breakdown and make sure it corresponds exactly to the planned activities;</w:t>
      </w:r>
    </w:p>
    <w:p w:rsidR="00F774D0" w:rsidRPr="008D4C4B" w:rsidRDefault="00F774D0" w:rsidP="000C167A">
      <w:pPr>
        <w:pStyle w:val="COMParaDecision"/>
        <w:ind w:left="567" w:hanging="567"/>
      </w:pPr>
      <w:r w:rsidRPr="008D4C4B">
        <w:t>Invites</w:t>
      </w:r>
      <w:r w:rsidRPr="00F774D0">
        <w:rPr>
          <w:u w:val="none"/>
        </w:rPr>
        <w:t xml:space="preserve"> the State Party to reconsider the sequence of planned activities in light of the expected results as stated in the request and revise the work plan as appropriate;</w:t>
      </w:r>
    </w:p>
    <w:p w:rsidR="00F774D0" w:rsidRPr="00F774D0" w:rsidRDefault="00F774D0" w:rsidP="000C167A">
      <w:pPr>
        <w:pStyle w:val="COMParaDecision"/>
        <w:ind w:left="567" w:hanging="567"/>
        <w:rPr>
          <w:u w:val="none"/>
        </w:rPr>
      </w:pPr>
      <w:r w:rsidRPr="008D4C4B">
        <w:t>Recalls</w:t>
      </w:r>
      <w:r w:rsidRPr="00F774D0">
        <w:rPr>
          <w:u w:val="none"/>
        </w:rPr>
        <w:t xml:space="preserve"> the State Party that a report on the status of ‘Earthenware pottery-making skills in Botswana’s Kgatleng District’, inscribed on the List of Intangible Cultural Heritage in Need of Urgent Safeguarding, is expected at the latest by 15 December 2016 and </w:t>
      </w:r>
      <w:r w:rsidRPr="0019357D">
        <w:t>encourages</w:t>
      </w:r>
      <w:r w:rsidRPr="00F774D0">
        <w:rPr>
          <w:u w:val="none"/>
        </w:rPr>
        <w:t xml:space="preserve"> it to take into account the findings of the report in the revision requested for the present project;</w:t>
      </w:r>
    </w:p>
    <w:p w:rsidR="00F774D0" w:rsidRPr="00F774D0" w:rsidRDefault="00F774D0" w:rsidP="000C167A">
      <w:pPr>
        <w:pStyle w:val="COMParaDecision"/>
        <w:ind w:left="567" w:hanging="567"/>
        <w:rPr>
          <w:u w:val="none"/>
        </w:rPr>
      </w:pPr>
      <w:r w:rsidRPr="008D4C4B">
        <w:t>Further invites</w:t>
      </w:r>
      <w:r w:rsidRPr="00F774D0">
        <w:rPr>
          <w:u w:val="none"/>
        </w:rPr>
        <w:t xml:space="preserve"> the State Party to use the ICH-04-Report Form when reporting on the use of assistance provided.</w:t>
      </w:r>
    </w:p>
    <w:p w:rsidR="00F774D0" w:rsidRPr="008D4C4B" w:rsidRDefault="00F774D0" w:rsidP="000C167A">
      <w:pPr>
        <w:pStyle w:val="COMTitleDecision"/>
        <w:spacing w:before="360" w:after="240"/>
        <w:ind w:left="0"/>
        <w:rPr>
          <w:color w:val="C0504D" w:themeColor="accent2"/>
        </w:rPr>
      </w:pPr>
      <w:r w:rsidRPr="008D4C4B">
        <w:t>DECISION 11.COM 3.BUR </w:t>
      </w:r>
      <w:r>
        <w:t>5</w:t>
      </w:r>
      <w:r w:rsidRPr="008D4C4B">
        <w:t>.2</w:t>
      </w:r>
    </w:p>
    <w:p w:rsidR="00F774D0" w:rsidRPr="008D4C4B" w:rsidRDefault="00F774D0" w:rsidP="00F774D0">
      <w:pPr>
        <w:pStyle w:val="Marge"/>
        <w:keepNext/>
        <w:tabs>
          <w:tab w:val="clear" w:pos="567"/>
        </w:tabs>
        <w:spacing w:before="240" w:after="120"/>
        <w:rPr>
          <w:rFonts w:cs="Arial"/>
          <w:caps/>
          <w:szCs w:val="22"/>
        </w:rPr>
      </w:pPr>
      <w:r w:rsidRPr="008D4C4B">
        <w:rPr>
          <w:rFonts w:cs="Arial"/>
          <w:szCs w:val="22"/>
        </w:rPr>
        <w:t>The Bureau,</w:t>
      </w:r>
    </w:p>
    <w:p w:rsidR="00F774D0" w:rsidRPr="00F774D0" w:rsidRDefault="00F774D0" w:rsidP="000C167A">
      <w:pPr>
        <w:pStyle w:val="COMParaDecision"/>
        <w:numPr>
          <w:ilvl w:val="0"/>
          <w:numId w:val="7"/>
        </w:numPr>
        <w:ind w:left="567" w:hanging="567"/>
        <w:rPr>
          <w:u w:val="none"/>
        </w:rPr>
      </w:pPr>
      <w:r w:rsidRPr="008D4C4B">
        <w:t>Recalling</w:t>
      </w:r>
      <w:r w:rsidRPr="00F774D0">
        <w:rPr>
          <w:u w:val="none"/>
        </w:rPr>
        <w:t xml:space="preserve"> Chapter V of the Convention and Chapter I of the Operational Directives,</w:t>
      </w:r>
    </w:p>
    <w:p w:rsidR="00F774D0" w:rsidRPr="00F774D0" w:rsidRDefault="00F774D0" w:rsidP="000C167A">
      <w:pPr>
        <w:pStyle w:val="COMParaDecision"/>
        <w:ind w:left="567" w:hanging="567"/>
        <w:rPr>
          <w:u w:val="none"/>
        </w:rPr>
      </w:pPr>
      <w:r w:rsidRPr="008D4C4B">
        <w:t>Having examined</w:t>
      </w:r>
      <w:r w:rsidRPr="00F774D0">
        <w:rPr>
          <w:u w:val="none"/>
        </w:rPr>
        <w:t xml:space="preserve"> Document ITH/16/11.COM 3.BUR/5, as well as the international assistance request no. 01249,</w:t>
      </w:r>
    </w:p>
    <w:p w:rsidR="00F774D0" w:rsidRPr="00F774D0" w:rsidRDefault="00F774D0" w:rsidP="000C167A">
      <w:pPr>
        <w:pStyle w:val="COMParaDecision"/>
        <w:ind w:left="567" w:hanging="567"/>
        <w:rPr>
          <w:u w:val="none"/>
        </w:rPr>
      </w:pPr>
      <w:r w:rsidRPr="008D4C4B">
        <w:t>Takes note</w:t>
      </w:r>
      <w:r w:rsidRPr="00F774D0">
        <w:rPr>
          <w:u w:val="none"/>
        </w:rPr>
        <w:t xml:space="preserve"> that El Salvador has requested International Assistance for a project entitled </w:t>
      </w:r>
      <w:r w:rsidRPr="00F774D0">
        <w:rPr>
          <w:b/>
          <w:u w:val="none"/>
        </w:rPr>
        <w:t>Titajtakezakan. Speaking across time: oral tradition and use of information and communication technologies</w:t>
      </w:r>
      <w:r w:rsidRPr="00F774D0">
        <w:rPr>
          <w:u w:val="none"/>
        </w:rPr>
        <w:t>:</w:t>
      </w:r>
    </w:p>
    <w:p w:rsidR="00F774D0" w:rsidRPr="008D4C4B" w:rsidRDefault="00F774D0" w:rsidP="000C167A">
      <w:pPr>
        <w:shd w:val="clear" w:color="auto" w:fill="FFFFFF"/>
        <w:spacing w:before="120" w:after="120"/>
        <w:ind w:left="567"/>
        <w:jc w:val="both"/>
        <w:rPr>
          <w:rFonts w:ascii="Arial" w:eastAsia="SimSun" w:hAnsi="Arial" w:cs="Arial"/>
          <w:sz w:val="22"/>
          <w:szCs w:val="22"/>
        </w:rPr>
      </w:pPr>
      <w:r w:rsidRPr="008D4C4B">
        <w:rPr>
          <w:rFonts w:ascii="Arial" w:eastAsia="SimSun" w:hAnsi="Arial" w:cs="Arial"/>
          <w:sz w:val="22"/>
          <w:szCs w:val="22"/>
        </w:rPr>
        <w:t xml:space="preserve">The project aims to revitalize the intangible cultural heritage present in the municipality of Santo Domingo de Guzmán, in the west of El Salvador, by making use of information and communication technologies. Emphasis will be placed on oral traditions encompassed within mythology, tales and legends of Náhuat speakers. The small number and advanced age of Náhuat speakers seriously threaten the continuity of such oral traditions through which a complex body of knowledge and practices concerning nature, agriculture, ethics, health, etc., has been transmitted from generation to generation. The few initiatives led by educational institutions </w:t>
      </w:r>
      <w:r>
        <w:rPr>
          <w:rFonts w:ascii="Arial" w:eastAsia="SimSun" w:hAnsi="Arial" w:cs="Arial"/>
          <w:sz w:val="22"/>
          <w:szCs w:val="22"/>
        </w:rPr>
        <w:t xml:space="preserve">so far have </w:t>
      </w:r>
      <w:r w:rsidRPr="008D4C4B">
        <w:rPr>
          <w:rFonts w:ascii="Arial" w:eastAsia="SimSun" w:hAnsi="Arial" w:cs="Arial"/>
          <w:sz w:val="22"/>
          <w:szCs w:val="22"/>
        </w:rPr>
        <w:t>had disappointing results. Planned activities within the present project include inventory work on oral traditions by young people below 20 years’ old who will be trained on the use of information and communication technologies for data collection and processing and the development and dissemination of both printed and audio-visual materials on oral traditions in Spanish and Náhuat. Implemented by the National Directorate of Cultural Heritage of the State’s Department of Culture in close cooperation with</w:t>
      </w:r>
      <w:r w:rsidRPr="008D4C4B" w:rsidDel="007B52EC">
        <w:rPr>
          <w:rFonts w:ascii="Arial" w:eastAsia="SimSun" w:hAnsi="Arial" w:cs="Arial"/>
          <w:sz w:val="22"/>
          <w:szCs w:val="22"/>
        </w:rPr>
        <w:t xml:space="preserve"> </w:t>
      </w:r>
      <w:r w:rsidRPr="008D4C4B">
        <w:rPr>
          <w:rFonts w:ascii="Arial" w:eastAsia="SimSun" w:hAnsi="Arial" w:cs="Arial"/>
          <w:sz w:val="22"/>
          <w:szCs w:val="22"/>
        </w:rPr>
        <w:t>the Educational Complex of Santo Domingo, the Mayor’s Office of Santo Domingo de Guzmán and two community development associations, the project will encourage dialogue and exchanges between the younger and older generations throughout its duration.</w:t>
      </w:r>
    </w:p>
    <w:p w:rsidR="00F774D0" w:rsidRPr="00F774D0" w:rsidRDefault="00F774D0" w:rsidP="000C167A">
      <w:pPr>
        <w:pStyle w:val="COMParaDecision"/>
        <w:ind w:left="567" w:hanging="567"/>
        <w:rPr>
          <w:u w:val="none"/>
        </w:rPr>
      </w:pPr>
      <w:r w:rsidRPr="008D4C4B">
        <w:t>Further takes note</w:t>
      </w:r>
      <w:r w:rsidRPr="00F774D0">
        <w:rPr>
          <w:u w:val="none"/>
        </w:rPr>
        <w:t xml:space="preserve"> that this assistance concerns support for a project carried out at local level aimed at safeguarding intangible cultural heritage in accordance with</w:t>
      </w:r>
      <w:r w:rsidRPr="00F774D0">
        <w:rPr>
          <w:u w:val="none"/>
        </w:rPr>
        <w:br/>
        <w:t>Article 20 (c) of the Convention, and that it takes the form of the granting of a donation in line with Article 21 (g) of the Convention;</w:t>
      </w:r>
    </w:p>
    <w:p w:rsidR="00F774D0" w:rsidRPr="00F774D0" w:rsidRDefault="00F774D0" w:rsidP="000C167A">
      <w:pPr>
        <w:pStyle w:val="COMParaDecision"/>
        <w:ind w:left="567" w:hanging="567"/>
        <w:rPr>
          <w:u w:val="none"/>
        </w:rPr>
      </w:pPr>
      <w:r w:rsidRPr="008D4C4B">
        <w:t>Also takes note</w:t>
      </w:r>
      <w:r w:rsidRPr="00F774D0">
        <w:rPr>
          <w:u w:val="none"/>
        </w:rPr>
        <w:t xml:space="preserve"> that El Salvador requested an allocation of US$24,995 from the Intangible Cultural Heritage Fund for implementation of the project;</w:t>
      </w:r>
    </w:p>
    <w:p w:rsidR="00F774D0" w:rsidRPr="00F774D0" w:rsidRDefault="00F774D0" w:rsidP="000C167A">
      <w:pPr>
        <w:pStyle w:val="COMParaDecision"/>
        <w:ind w:left="567" w:hanging="567"/>
        <w:rPr>
          <w:u w:val="none"/>
        </w:rPr>
      </w:pPr>
      <w:r w:rsidRPr="008D4C4B">
        <w:lastRenderedPageBreak/>
        <w:t>Decides</w:t>
      </w:r>
      <w:r w:rsidRPr="00F774D0">
        <w:rPr>
          <w:u w:val="none"/>
        </w:rPr>
        <w:t xml:space="preserve"> that from the information provided in file no. 01249, the request responds as follows to the criteria for granting International Assistance given in paragraphs 10 and 12 of the Operational Directives:</w:t>
      </w:r>
    </w:p>
    <w:p w:rsidR="00F774D0" w:rsidRPr="00F774D0" w:rsidRDefault="00F774D0" w:rsidP="000C167A">
      <w:pPr>
        <w:pStyle w:val="COMParaDecision"/>
        <w:numPr>
          <w:ilvl w:val="0"/>
          <w:numId w:val="0"/>
        </w:numPr>
        <w:ind w:left="567"/>
        <w:rPr>
          <w:bCs/>
          <w:u w:val="none"/>
        </w:rPr>
      </w:pPr>
      <w:r w:rsidRPr="00F774D0">
        <w:rPr>
          <w:b/>
          <w:u w:val="none"/>
        </w:rPr>
        <w:t>Criterion A.1</w:t>
      </w:r>
      <w:r w:rsidRPr="00F774D0">
        <w:rPr>
          <w:u w:val="none"/>
        </w:rPr>
        <w:t xml:space="preserve">: </w:t>
      </w:r>
      <w:r w:rsidRPr="00F774D0">
        <w:rPr>
          <w:bCs/>
          <w:u w:val="none"/>
        </w:rPr>
        <w:t xml:space="preserve">The project for which funding is requested meets the challenges identified by the communities of </w:t>
      </w:r>
      <w:r w:rsidRPr="00F774D0">
        <w:rPr>
          <w:u w:val="none"/>
        </w:rPr>
        <w:t xml:space="preserve">Santo Domingo de Guzmán themselves </w:t>
      </w:r>
      <w:r w:rsidRPr="00F774D0">
        <w:rPr>
          <w:bCs/>
          <w:u w:val="none"/>
        </w:rPr>
        <w:t xml:space="preserve">during the process of declaration of the </w:t>
      </w:r>
      <w:r w:rsidRPr="00F774D0">
        <w:rPr>
          <w:u w:val="none"/>
        </w:rPr>
        <w:t xml:space="preserve">Náhuat </w:t>
      </w:r>
      <w:r w:rsidRPr="00F774D0">
        <w:rPr>
          <w:bCs/>
          <w:u w:val="none"/>
        </w:rPr>
        <w:t>language as a Cultural Asset under the Special Law for the Protection of Cultural Heritage of El Salvador; community members of all age segments will be involved in all project phases, including monitoring and follow-up, along with teachers from the Educational Complex of the municipality and the ‘</w:t>
      </w:r>
      <w:r w:rsidRPr="00F774D0">
        <w:rPr>
          <w:u w:val="none"/>
        </w:rPr>
        <w:t>Náhuat Cradle’ project of the University Don Bosco.</w:t>
      </w:r>
    </w:p>
    <w:p w:rsidR="00F774D0" w:rsidRPr="008D4C4B" w:rsidRDefault="00F774D0" w:rsidP="000C167A">
      <w:pPr>
        <w:pStyle w:val="Marge"/>
        <w:spacing w:after="120"/>
        <w:ind w:left="567"/>
      </w:pPr>
      <w:r w:rsidRPr="008D4C4B">
        <w:rPr>
          <w:b/>
        </w:rPr>
        <w:t>Criterion A.2</w:t>
      </w:r>
      <w:r w:rsidRPr="008D4C4B">
        <w:t xml:space="preserve">: The proposed budget is broken down in a clear and coherent manner and demonstrates the appropriateness of the amount of assistance requested for the proposed activities. </w:t>
      </w:r>
    </w:p>
    <w:p w:rsidR="00F774D0" w:rsidRPr="008D4C4B" w:rsidRDefault="00F774D0" w:rsidP="000C167A">
      <w:pPr>
        <w:pStyle w:val="Marge"/>
        <w:spacing w:after="120"/>
        <w:ind w:left="567"/>
      </w:pPr>
      <w:r w:rsidRPr="008D4C4B">
        <w:rPr>
          <w:b/>
        </w:rPr>
        <w:t>Criterion A.3</w:t>
      </w:r>
      <w:r w:rsidRPr="008D4C4B">
        <w:t xml:space="preserve">: The proposed activities are described in detail and articulated in a logical sequence from the identification and documentation work, including an important training component in inventorying intangible cultural heritage using information and communication technologies, to the selection of information with a view to developing outreach materials and disseminating them; the feasibility of the project is adequately demonstrated. </w:t>
      </w:r>
    </w:p>
    <w:p w:rsidR="00F774D0" w:rsidRPr="008D4C4B" w:rsidRDefault="00F774D0" w:rsidP="000C167A">
      <w:pPr>
        <w:pStyle w:val="Marge"/>
        <w:spacing w:after="120"/>
        <w:ind w:left="567"/>
      </w:pPr>
      <w:r w:rsidRPr="008D4C4B">
        <w:rPr>
          <w:b/>
        </w:rPr>
        <w:t>Criterion A.4</w:t>
      </w:r>
      <w:r w:rsidRPr="008D4C4B">
        <w:t xml:space="preserve">: The emphasis on intergenerational transmission as well as on youth training in the use of information and communication technologies, serving the safeguarding and awareness-raising of their intangible cultural heritage, provide reasonable guarantees of the sustainability of the project benefits beyond its end; the alignment of the project with the safeguarding measures included in the </w:t>
      </w:r>
      <w:r w:rsidRPr="008D4C4B">
        <w:rPr>
          <w:bCs/>
        </w:rPr>
        <w:t xml:space="preserve">declaration of the </w:t>
      </w:r>
      <w:r w:rsidRPr="008D4C4B">
        <w:rPr>
          <w:rFonts w:eastAsia="SimSun" w:cs="Arial"/>
          <w:szCs w:val="22"/>
        </w:rPr>
        <w:t xml:space="preserve">Náhuat </w:t>
      </w:r>
      <w:r w:rsidRPr="008D4C4B">
        <w:rPr>
          <w:bCs/>
        </w:rPr>
        <w:t>language as a Cultural Asset, whose implementation falls under the responsibility of the State, also point</w:t>
      </w:r>
      <w:r>
        <w:rPr>
          <w:bCs/>
        </w:rPr>
        <w:t>s</w:t>
      </w:r>
      <w:r w:rsidRPr="008D4C4B">
        <w:rPr>
          <w:bCs/>
        </w:rPr>
        <w:t xml:space="preserve"> in this direction, in particular regarding the inclusion of </w:t>
      </w:r>
      <w:r w:rsidRPr="008D4C4B">
        <w:rPr>
          <w:rFonts w:eastAsia="SimSun" w:cs="Arial"/>
          <w:szCs w:val="22"/>
        </w:rPr>
        <w:t xml:space="preserve">Náhuat </w:t>
      </w:r>
      <w:r w:rsidRPr="008D4C4B">
        <w:rPr>
          <w:bCs/>
        </w:rPr>
        <w:t>language in formal education that the project itself will encourage.</w:t>
      </w:r>
    </w:p>
    <w:p w:rsidR="00F774D0" w:rsidRPr="008D4C4B" w:rsidRDefault="00F774D0" w:rsidP="000C167A">
      <w:pPr>
        <w:pStyle w:val="Marge"/>
        <w:spacing w:after="120"/>
        <w:ind w:left="567"/>
      </w:pPr>
      <w:r w:rsidRPr="008D4C4B">
        <w:rPr>
          <w:b/>
        </w:rPr>
        <w:t>Criterion A.5</w:t>
      </w:r>
      <w:r w:rsidRPr="008D4C4B">
        <w:t>: The State will share 42 per cent of the overall budget of the project for which the international assistance is requested while an unidentified source will cover 1 per cent.</w:t>
      </w:r>
    </w:p>
    <w:p w:rsidR="00F774D0" w:rsidRPr="008D4C4B" w:rsidRDefault="00F774D0" w:rsidP="000C167A">
      <w:pPr>
        <w:pStyle w:val="Marge"/>
        <w:spacing w:after="120"/>
        <w:ind w:left="567"/>
      </w:pPr>
      <w:r w:rsidRPr="008D4C4B">
        <w:rPr>
          <w:b/>
        </w:rPr>
        <w:t>Criterion A.6</w:t>
      </w:r>
      <w:r w:rsidRPr="008D4C4B">
        <w:t xml:space="preserve">: Building capacities for safeguarding intangible cultural heritage of all different stakeholders involved in the implementation of the project is one of its expected results: young community members will be equipped with knowledge and techniques for community-based inventorying and </w:t>
      </w:r>
      <w:r>
        <w:t>for using</w:t>
      </w:r>
      <w:r w:rsidRPr="008D4C4B">
        <w:t xml:space="preserve"> information and communication technologies for this purpose, while adult bearers of oral traditions will count with new materials to promote awareness and respect of their intangible cultural heritage. </w:t>
      </w:r>
    </w:p>
    <w:p w:rsidR="00F774D0" w:rsidRPr="008D4C4B" w:rsidRDefault="00F774D0" w:rsidP="000C167A">
      <w:pPr>
        <w:pStyle w:val="Marge"/>
        <w:spacing w:after="120"/>
        <w:ind w:left="567"/>
      </w:pPr>
      <w:r w:rsidRPr="008D4C4B">
        <w:rPr>
          <w:b/>
        </w:rPr>
        <w:t>Criterion A.7</w:t>
      </w:r>
      <w:r w:rsidRPr="008D4C4B">
        <w:t xml:space="preserve">: El Salvador has never implemented activities financed by the Intangible Cultural Heritage Fund. </w:t>
      </w:r>
    </w:p>
    <w:p w:rsidR="00F774D0" w:rsidRPr="008D4C4B" w:rsidRDefault="00F774D0" w:rsidP="000C167A">
      <w:pPr>
        <w:pStyle w:val="Marge"/>
        <w:spacing w:after="120"/>
        <w:ind w:left="567"/>
      </w:pPr>
      <w:r w:rsidRPr="008D4C4B">
        <w:rPr>
          <w:b/>
        </w:rPr>
        <w:t>Paragraph 10(a)</w:t>
      </w:r>
      <w:r w:rsidRPr="008D4C4B">
        <w:t>: The project is local in scope and implies cooperation between local institutions such as the Educational Complex of Santo Domingo de Guzmán and the Mayor’s office and national agencies such as the National Directorate of Cultural Heritage.</w:t>
      </w:r>
    </w:p>
    <w:p w:rsidR="00F774D0" w:rsidRPr="008D4C4B" w:rsidRDefault="00F774D0" w:rsidP="000C167A">
      <w:pPr>
        <w:pStyle w:val="Marge"/>
        <w:spacing w:after="120"/>
        <w:ind w:left="567"/>
      </w:pPr>
      <w:r w:rsidRPr="008D4C4B">
        <w:rPr>
          <w:b/>
        </w:rPr>
        <w:t>Paragraph 10(b):</w:t>
      </w:r>
      <w:r w:rsidRPr="008D4C4B">
        <w:t xml:space="preserve"> Since the project aims to address the threats identified in the context of the </w:t>
      </w:r>
      <w:r w:rsidRPr="008D4C4B">
        <w:rPr>
          <w:bCs/>
        </w:rPr>
        <w:t xml:space="preserve">declaration of the </w:t>
      </w:r>
      <w:r w:rsidRPr="008D4C4B">
        <w:rPr>
          <w:rFonts w:eastAsia="SimSun" w:cs="Arial"/>
          <w:szCs w:val="22"/>
        </w:rPr>
        <w:t xml:space="preserve">Náhuat </w:t>
      </w:r>
      <w:r w:rsidRPr="008D4C4B">
        <w:rPr>
          <w:bCs/>
        </w:rPr>
        <w:t>language as a Cultural Asset</w:t>
      </w:r>
      <w:r w:rsidRPr="008D4C4B">
        <w:t xml:space="preserve"> in which three other municipalities participated and to which they gave their consent, it is</w:t>
      </w:r>
      <w:r>
        <w:t xml:space="preserve"> likely to be replicated</w:t>
      </w:r>
      <w:r w:rsidRPr="008D4C4B">
        <w:t xml:space="preserve"> </w:t>
      </w:r>
      <w:r>
        <w:t>with</w:t>
      </w:r>
      <w:r w:rsidRPr="008D4C4B">
        <w:t xml:space="preserve"> the National Directorate of Cultural Heritage be</w:t>
      </w:r>
      <w:r>
        <w:t>ing</w:t>
      </w:r>
      <w:r w:rsidRPr="008D4C4B">
        <w:t xml:space="preserve"> in a position to support them </w:t>
      </w:r>
      <w:r>
        <w:t>build</w:t>
      </w:r>
      <w:r w:rsidRPr="008D4C4B">
        <w:t xml:space="preserve"> on the experience gained in this project.</w:t>
      </w:r>
      <w:r w:rsidRPr="008D4C4B" w:rsidDel="00F64130">
        <w:t xml:space="preserve"> </w:t>
      </w:r>
    </w:p>
    <w:p w:rsidR="00F774D0" w:rsidRPr="00F774D0" w:rsidRDefault="00F774D0" w:rsidP="000C167A">
      <w:pPr>
        <w:pStyle w:val="COMParaDecision"/>
        <w:ind w:left="567" w:hanging="567"/>
        <w:rPr>
          <w:u w:val="none"/>
        </w:rPr>
      </w:pPr>
      <w:r>
        <w:t>A</w:t>
      </w:r>
      <w:r w:rsidRPr="008D4C4B">
        <w:t>pprove</w:t>
      </w:r>
      <w:r>
        <w:t>s</w:t>
      </w:r>
      <w:r w:rsidRPr="00F774D0">
        <w:rPr>
          <w:u w:val="none"/>
        </w:rPr>
        <w:t xml:space="preserve"> the international assistance request from El Salvador for a project entitled </w:t>
      </w:r>
      <w:r w:rsidRPr="00F774D0">
        <w:rPr>
          <w:b/>
          <w:u w:val="none"/>
        </w:rPr>
        <w:t>Titajtakezakan. Speaking across time: oral tradition and use of information and communication technologies (ICTs)</w:t>
      </w:r>
      <w:r w:rsidRPr="00F774D0">
        <w:rPr>
          <w:u w:val="none"/>
        </w:rPr>
        <w:t xml:space="preserve"> and to </w:t>
      </w:r>
      <w:r w:rsidRPr="0019357D">
        <w:t>grant</w:t>
      </w:r>
      <w:r w:rsidRPr="00F774D0">
        <w:rPr>
          <w:u w:val="none"/>
        </w:rPr>
        <w:t xml:space="preserve"> an amount of US$24,995 to the State Party to this end;</w:t>
      </w:r>
    </w:p>
    <w:p w:rsidR="00F774D0" w:rsidRPr="00F774D0" w:rsidRDefault="00F774D0" w:rsidP="000C167A">
      <w:pPr>
        <w:pStyle w:val="COMParaDecision"/>
        <w:ind w:left="567" w:hanging="567"/>
        <w:rPr>
          <w:u w:val="none"/>
        </w:rPr>
      </w:pPr>
      <w:r w:rsidRPr="008D4C4B">
        <w:t>Requests</w:t>
      </w:r>
      <w:r w:rsidRPr="00F774D0">
        <w:rPr>
          <w:u w:val="none"/>
        </w:rPr>
        <w:t xml:space="preserve"> the Secretariat to reach an agreement with the requesting State Party on technical details of the assistance, paying particular attention to the detailed budget of activities to be covered by the Intangible Cultural Heritage Fund and their work plan;</w:t>
      </w:r>
    </w:p>
    <w:p w:rsidR="00F774D0" w:rsidRPr="00F774D0" w:rsidRDefault="00F774D0" w:rsidP="000C167A">
      <w:pPr>
        <w:pStyle w:val="COMParaDecision"/>
        <w:ind w:left="567" w:hanging="567"/>
        <w:rPr>
          <w:u w:val="none"/>
        </w:rPr>
      </w:pPr>
      <w:r w:rsidRPr="008D4C4B">
        <w:lastRenderedPageBreak/>
        <w:t>Invites</w:t>
      </w:r>
      <w:r w:rsidRPr="00F774D0">
        <w:rPr>
          <w:u w:val="none"/>
        </w:rPr>
        <w:t xml:space="preserve"> the State Party to use the ICH-04-Report Form when reporting on the use of assistance provided.</w:t>
      </w:r>
    </w:p>
    <w:p w:rsidR="00F774D0" w:rsidRPr="008D4C4B" w:rsidRDefault="00F774D0" w:rsidP="008A5969">
      <w:pPr>
        <w:pStyle w:val="COMTitleDecision"/>
        <w:spacing w:before="360" w:after="240"/>
        <w:ind w:left="0"/>
      </w:pPr>
      <w:r w:rsidRPr="008D4C4B">
        <w:t>DECISION 11.COM 3.BUR </w:t>
      </w:r>
      <w:r>
        <w:t>5</w:t>
      </w:r>
      <w:r w:rsidRPr="008D4C4B">
        <w:t>.</w:t>
      </w:r>
      <w:r>
        <w:t>3</w:t>
      </w:r>
    </w:p>
    <w:p w:rsidR="00F774D0" w:rsidRPr="008D4C4B" w:rsidRDefault="00F774D0" w:rsidP="008A5969">
      <w:pPr>
        <w:pStyle w:val="Marge"/>
        <w:keepNext/>
        <w:spacing w:before="240" w:after="120"/>
        <w:ind w:left="567" w:hanging="567"/>
        <w:rPr>
          <w:rFonts w:cs="Arial"/>
          <w:szCs w:val="22"/>
        </w:rPr>
      </w:pPr>
      <w:r w:rsidRPr="008D4C4B">
        <w:rPr>
          <w:rFonts w:cs="Arial"/>
          <w:szCs w:val="22"/>
        </w:rPr>
        <w:t>The Bureau,</w:t>
      </w:r>
    </w:p>
    <w:p w:rsidR="00F774D0" w:rsidRPr="0019357D" w:rsidRDefault="00F774D0" w:rsidP="008A5969">
      <w:pPr>
        <w:pStyle w:val="COMParaDecision"/>
        <w:keepNext/>
        <w:numPr>
          <w:ilvl w:val="0"/>
          <w:numId w:val="19"/>
        </w:numPr>
        <w:tabs>
          <w:tab w:val="left" w:pos="567"/>
        </w:tabs>
        <w:ind w:left="567" w:hanging="567"/>
        <w:rPr>
          <w:u w:val="none"/>
        </w:rPr>
      </w:pPr>
      <w:r w:rsidRPr="008D4C4B">
        <w:t>Recalling</w:t>
      </w:r>
      <w:r w:rsidRPr="0019357D">
        <w:rPr>
          <w:u w:val="none"/>
        </w:rPr>
        <w:t xml:space="preserve"> Chapter V of the Convention and Chapter I of the Operational Directives,</w:t>
      </w:r>
    </w:p>
    <w:p w:rsidR="00F774D0" w:rsidRPr="0019357D" w:rsidRDefault="00F774D0" w:rsidP="008A5969">
      <w:pPr>
        <w:pStyle w:val="COMParaDecision"/>
        <w:tabs>
          <w:tab w:val="left" w:pos="567"/>
        </w:tabs>
        <w:ind w:left="567" w:hanging="567"/>
        <w:rPr>
          <w:u w:val="none"/>
        </w:rPr>
      </w:pPr>
      <w:r w:rsidRPr="008D4C4B">
        <w:t>Having examined</w:t>
      </w:r>
      <w:r w:rsidRPr="0019357D">
        <w:rPr>
          <w:u w:val="none"/>
        </w:rPr>
        <w:t xml:space="preserve"> Document ITH/16/11.COM 3.BUR/5, as well as the international assistance request no. 01158,</w:t>
      </w:r>
    </w:p>
    <w:p w:rsidR="00F774D0" w:rsidRPr="0019357D" w:rsidRDefault="00F774D0" w:rsidP="008A5969">
      <w:pPr>
        <w:pStyle w:val="COMParaDecision"/>
        <w:tabs>
          <w:tab w:val="left" w:pos="567"/>
        </w:tabs>
        <w:ind w:left="567" w:hanging="567"/>
        <w:rPr>
          <w:u w:val="none"/>
        </w:rPr>
      </w:pPr>
      <w:r w:rsidRPr="008D4C4B">
        <w:t>Takes note</w:t>
      </w:r>
      <w:r w:rsidRPr="0019357D">
        <w:rPr>
          <w:u w:val="none"/>
        </w:rPr>
        <w:t xml:space="preserve"> that Seychelles has requested International Assistance for a project entitled </w:t>
      </w:r>
      <w:r w:rsidRPr="0019357D">
        <w:rPr>
          <w:b/>
          <w:u w:val="none"/>
        </w:rPr>
        <w:t>Strengthening capacity in Seychelles for safeguarding intangible cultural heritage:</w:t>
      </w:r>
    </w:p>
    <w:p w:rsidR="00F774D0" w:rsidRPr="008D4C4B" w:rsidRDefault="00F774D0" w:rsidP="008A5969">
      <w:pPr>
        <w:shd w:val="clear" w:color="auto" w:fill="FFFFFF"/>
        <w:tabs>
          <w:tab w:val="left" w:pos="567"/>
        </w:tabs>
        <w:spacing w:before="120" w:after="120"/>
        <w:ind w:left="567"/>
        <w:jc w:val="both"/>
        <w:rPr>
          <w:rFonts w:ascii="Arial" w:eastAsia="SimSun" w:hAnsi="Arial" w:cs="Arial"/>
          <w:sz w:val="22"/>
          <w:szCs w:val="22"/>
        </w:rPr>
      </w:pPr>
      <w:r>
        <w:rPr>
          <w:rFonts w:ascii="Arial" w:eastAsia="SimSun" w:hAnsi="Arial" w:cs="Arial"/>
          <w:sz w:val="22"/>
          <w:szCs w:val="22"/>
        </w:rPr>
        <w:t>The project aims to strengthen the</w:t>
      </w:r>
      <w:r w:rsidRPr="008D4C4B">
        <w:rPr>
          <w:rFonts w:ascii="Arial" w:eastAsia="SimSun" w:hAnsi="Arial" w:cs="Arial"/>
          <w:sz w:val="22"/>
          <w:szCs w:val="22"/>
        </w:rPr>
        <w:t xml:space="preserve"> institutional and human capacities </w:t>
      </w:r>
      <w:r>
        <w:rPr>
          <w:rFonts w:ascii="Arial" w:eastAsia="SimSun" w:hAnsi="Arial" w:cs="Arial"/>
          <w:sz w:val="22"/>
          <w:szCs w:val="22"/>
        </w:rPr>
        <w:t>in</w:t>
      </w:r>
      <w:r w:rsidRPr="008D4C4B">
        <w:rPr>
          <w:rFonts w:ascii="Arial" w:eastAsia="SimSun" w:hAnsi="Arial" w:cs="Arial"/>
          <w:sz w:val="22"/>
          <w:szCs w:val="22"/>
        </w:rPr>
        <w:t xml:space="preserve"> Seychelles </w:t>
      </w:r>
      <w:r>
        <w:rPr>
          <w:rFonts w:ascii="Arial" w:eastAsia="SimSun" w:hAnsi="Arial" w:cs="Arial"/>
          <w:sz w:val="22"/>
          <w:szCs w:val="22"/>
        </w:rPr>
        <w:t>to safeguard the</w:t>
      </w:r>
      <w:r w:rsidRPr="008D4C4B">
        <w:rPr>
          <w:rFonts w:ascii="Arial" w:eastAsia="SimSun" w:hAnsi="Arial" w:cs="Arial"/>
          <w:sz w:val="22"/>
          <w:szCs w:val="22"/>
        </w:rPr>
        <w:t xml:space="preserve"> intangible cultural heritage</w:t>
      </w:r>
      <w:r>
        <w:rPr>
          <w:rFonts w:ascii="Arial" w:eastAsia="SimSun" w:hAnsi="Arial" w:cs="Arial"/>
          <w:sz w:val="22"/>
          <w:szCs w:val="22"/>
        </w:rPr>
        <w:t xml:space="preserve"> present in its territory. In parallel, the project also seeks to reinforce legal frameworks for the safeguarding of intangible cultural heritage, in particular through its inclusion in the National Heritage Bill which is currently being developed under the leadership of the agency responsible for the implementation of the present project, namely the Department of Culture of the Ministry of Tourism and Culture. </w:t>
      </w:r>
      <w:r w:rsidRPr="00D149F8">
        <w:rPr>
          <w:rFonts w:ascii="Arial" w:eastAsia="SimSun" w:hAnsi="Arial" w:cs="Arial"/>
          <w:sz w:val="22"/>
          <w:szCs w:val="22"/>
        </w:rPr>
        <w:t>Through all planned activities, the project intends to raise awareness</w:t>
      </w:r>
      <w:r w:rsidRPr="008D4C4B">
        <w:rPr>
          <w:rFonts w:ascii="Arial" w:eastAsia="SimSun" w:hAnsi="Arial" w:cs="Arial"/>
          <w:sz w:val="22"/>
          <w:szCs w:val="22"/>
        </w:rPr>
        <w:t xml:space="preserve"> among policy</w:t>
      </w:r>
      <w:r>
        <w:rPr>
          <w:rFonts w:ascii="Arial" w:eastAsia="SimSun" w:hAnsi="Arial" w:cs="Arial"/>
          <w:sz w:val="22"/>
          <w:szCs w:val="22"/>
        </w:rPr>
        <w:t>-</w:t>
      </w:r>
      <w:r w:rsidRPr="008D4C4B">
        <w:rPr>
          <w:rFonts w:ascii="Arial" w:eastAsia="SimSun" w:hAnsi="Arial" w:cs="Arial"/>
          <w:sz w:val="22"/>
          <w:szCs w:val="22"/>
        </w:rPr>
        <w:t xml:space="preserve">makers and </w:t>
      </w:r>
      <w:r>
        <w:rPr>
          <w:rFonts w:ascii="Arial" w:eastAsia="SimSun" w:hAnsi="Arial" w:cs="Arial"/>
          <w:sz w:val="22"/>
          <w:szCs w:val="22"/>
        </w:rPr>
        <w:t xml:space="preserve">communities from Seychelles’ three main islands, Mahe, Pralin and La Digue, </w:t>
      </w:r>
      <w:r w:rsidRPr="008D4C4B">
        <w:rPr>
          <w:rFonts w:ascii="Arial" w:eastAsia="SimSun" w:hAnsi="Arial" w:cs="Arial"/>
          <w:sz w:val="22"/>
          <w:szCs w:val="22"/>
        </w:rPr>
        <w:t xml:space="preserve">on their respective roles in </w:t>
      </w:r>
      <w:r>
        <w:rPr>
          <w:rFonts w:ascii="Arial" w:eastAsia="SimSun" w:hAnsi="Arial" w:cs="Arial"/>
          <w:sz w:val="22"/>
          <w:szCs w:val="22"/>
        </w:rPr>
        <w:t xml:space="preserve">the </w:t>
      </w:r>
      <w:r w:rsidRPr="008D4C4B">
        <w:rPr>
          <w:rFonts w:ascii="Arial" w:eastAsia="SimSun" w:hAnsi="Arial" w:cs="Arial"/>
          <w:sz w:val="22"/>
          <w:szCs w:val="22"/>
        </w:rPr>
        <w:t xml:space="preserve">safeguarding efforts </w:t>
      </w:r>
      <w:r>
        <w:rPr>
          <w:rFonts w:ascii="Arial" w:eastAsia="SimSun" w:hAnsi="Arial" w:cs="Arial"/>
          <w:sz w:val="22"/>
          <w:szCs w:val="22"/>
        </w:rPr>
        <w:t xml:space="preserve">at the national level and on the importance of safeguarding intangible cultural heritage for sustainable development, </w:t>
      </w:r>
      <w:r w:rsidRPr="00D149F8">
        <w:rPr>
          <w:rFonts w:ascii="Arial" w:eastAsia="SimSun" w:hAnsi="Arial" w:cs="Arial"/>
          <w:sz w:val="22"/>
          <w:szCs w:val="22"/>
        </w:rPr>
        <w:t xml:space="preserve">particularly </w:t>
      </w:r>
      <w:r>
        <w:rPr>
          <w:rFonts w:ascii="Arial" w:eastAsia="SimSun" w:hAnsi="Arial" w:cs="Arial"/>
          <w:sz w:val="22"/>
          <w:szCs w:val="22"/>
        </w:rPr>
        <w:t>for</w:t>
      </w:r>
      <w:r w:rsidRPr="00D149F8">
        <w:rPr>
          <w:rFonts w:ascii="Arial" w:eastAsia="SimSun" w:hAnsi="Arial" w:cs="Arial"/>
          <w:sz w:val="22"/>
          <w:szCs w:val="22"/>
        </w:rPr>
        <w:t xml:space="preserve"> adapting to climate change.</w:t>
      </w:r>
      <w:r>
        <w:rPr>
          <w:rFonts w:ascii="Arial" w:eastAsia="SimSun" w:hAnsi="Arial" w:cs="Arial"/>
          <w:sz w:val="22"/>
          <w:szCs w:val="22"/>
        </w:rPr>
        <w:t xml:space="preserve"> Planned activities include training on the implementation of the 2003 Convention at the national level, </w:t>
      </w:r>
      <w:r w:rsidRPr="008D4C4B">
        <w:rPr>
          <w:rFonts w:ascii="Arial" w:eastAsia="SimSun" w:hAnsi="Arial" w:cs="Arial"/>
          <w:sz w:val="22"/>
          <w:szCs w:val="22"/>
        </w:rPr>
        <w:t>community-based inventorying through participatory video</w:t>
      </w:r>
      <w:r>
        <w:rPr>
          <w:rFonts w:ascii="Arial" w:eastAsia="SimSun" w:hAnsi="Arial" w:cs="Arial"/>
          <w:sz w:val="22"/>
          <w:szCs w:val="22"/>
        </w:rPr>
        <w:t xml:space="preserve"> and preparation of nominations to the Convention’s list as well as policy advisory services. </w:t>
      </w:r>
      <w:r w:rsidRPr="00644A8E">
        <w:rPr>
          <w:rFonts w:ascii="Arial" w:eastAsia="SimSun" w:hAnsi="Arial" w:cs="Arial"/>
          <w:sz w:val="22"/>
          <w:szCs w:val="22"/>
        </w:rPr>
        <w:t xml:space="preserve">Over a period of </w:t>
      </w:r>
      <w:r>
        <w:rPr>
          <w:rFonts w:ascii="Arial" w:eastAsia="SimSun" w:hAnsi="Arial" w:cs="Arial"/>
          <w:sz w:val="22"/>
          <w:szCs w:val="22"/>
        </w:rPr>
        <w:t>1</w:t>
      </w:r>
      <w:r w:rsidRPr="00644A8E">
        <w:rPr>
          <w:rFonts w:ascii="Arial" w:eastAsia="SimSun" w:hAnsi="Arial" w:cs="Arial"/>
          <w:sz w:val="22"/>
          <w:szCs w:val="22"/>
        </w:rPr>
        <w:t xml:space="preserve">4 months, the Department of Culture will work closely with the administrations of </w:t>
      </w:r>
      <w:r>
        <w:rPr>
          <w:rFonts w:ascii="Arial" w:eastAsia="SimSun" w:hAnsi="Arial" w:cs="Arial"/>
          <w:sz w:val="22"/>
          <w:szCs w:val="22"/>
        </w:rPr>
        <w:t xml:space="preserve">the </w:t>
      </w:r>
      <w:r w:rsidRPr="00644A8E">
        <w:rPr>
          <w:rFonts w:ascii="Arial" w:eastAsia="SimSun" w:hAnsi="Arial" w:cs="Arial"/>
          <w:sz w:val="22"/>
          <w:szCs w:val="22"/>
        </w:rPr>
        <w:t>25 districts of the country to implement activities</w:t>
      </w:r>
      <w:r>
        <w:rPr>
          <w:rFonts w:ascii="Arial" w:eastAsia="SimSun" w:hAnsi="Arial" w:cs="Arial"/>
          <w:sz w:val="22"/>
          <w:szCs w:val="22"/>
        </w:rPr>
        <w:t>,</w:t>
      </w:r>
      <w:r w:rsidRPr="00644A8E">
        <w:rPr>
          <w:rFonts w:ascii="Arial" w:eastAsia="SimSun" w:hAnsi="Arial" w:cs="Arial"/>
          <w:sz w:val="22"/>
          <w:szCs w:val="22"/>
        </w:rPr>
        <w:t xml:space="preserve"> with the </w:t>
      </w:r>
      <w:r>
        <w:rPr>
          <w:rFonts w:ascii="Arial" w:eastAsia="SimSun" w:hAnsi="Arial" w:cs="Arial"/>
          <w:sz w:val="22"/>
          <w:szCs w:val="22"/>
        </w:rPr>
        <w:t>assistance</w:t>
      </w:r>
      <w:r w:rsidRPr="00644A8E">
        <w:rPr>
          <w:rFonts w:ascii="Arial" w:eastAsia="SimSun" w:hAnsi="Arial" w:cs="Arial"/>
          <w:sz w:val="22"/>
          <w:szCs w:val="22"/>
        </w:rPr>
        <w:t xml:space="preserve"> of national and international experts</w:t>
      </w:r>
      <w:r>
        <w:rPr>
          <w:rFonts w:ascii="Arial" w:eastAsia="SimSun" w:hAnsi="Arial" w:cs="Arial"/>
          <w:sz w:val="22"/>
          <w:szCs w:val="22"/>
        </w:rPr>
        <w:t xml:space="preserve"> </w:t>
      </w:r>
      <w:r w:rsidRPr="00644A8E">
        <w:rPr>
          <w:rFonts w:ascii="Arial" w:eastAsia="SimSun" w:hAnsi="Arial" w:cs="Arial"/>
          <w:sz w:val="22"/>
          <w:szCs w:val="22"/>
        </w:rPr>
        <w:t>in the field of cultural heritage.</w:t>
      </w:r>
      <w:r>
        <w:rPr>
          <w:rFonts w:ascii="Arial" w:eastAsia="SimSun" w:hAnsi="Arial" w:cs="Arial"/>
          <w:sz w:val="22"/>
          <w:szCs w:val="22"/>
        </w:rPr>
        <w:t xml:space="preserve"> </w:t>
      </w:r>
    </w:p>
    <w:p w:rsidR="00F774D0" w:rsidRPr="0019357D" w:rsidRDefault="00F774D0" w:rsidP="008A5969">
      <w:pPr>
        <w:pStyle w:val="COMParaDecision"/>
        <w:tabs>
          <w:tab w:val="left" w:pos="567"/>
        </w:tabs>
        <w:ind w:left="567" w:hanging="567"/>
        <w:rPr>
          <w:u w:val="none"/>
        </w:rPr>
      </w:pPr>
      <w:r w:rsidRPr="008D4C4B">
        <w:t>Further takes note</w:t>
      </w:r>
      <w:r w:rsidRPr="0019357D">
        <w:rPr>
          <w:u w:val="none"/>
        </w:rPr>
        <w:t xml:space="preserve"> that this assistance concerns support for a project carried out at national level aimed at safeguarding intangible cultural heritage in accordance with</w:t>
      </w:r>
      <w:r w:rsidRPr="0019357D">
        <w:rPr>
          <w:u w:val="none"/>
        </w:rPr>
        <w:br/>
        <w:t>Article 20 (c) of the Convention, and that it takes the form of the granting of a donation in line with Article 21 (g) of the Convention;</w:t>
      </w:r>
    </w:p>
    <w:p w:rsidR="00F774D0" w:rsidRPr="0019357D" w:rsidRDefault="00F774D0" w:rsidP="008A5969">
      <w:pPr>
        <w:pStyle w:val="COMParaDecision"/>
        <w:tabs>
          <w:tab w:val="left" w:pos="567"/>
        </w:tabs>
        <w:ind w:left="567" w:hanging="567"/>
        <w:rPr>
          <w:u w:val="none"/>
        </w:rPr>
      </w:pPr>
      <w:r>
        <w:t>Also</w:t>
      </w:r>
      <w:r w:rsidRPr="008D4C4B">
        <w:t xml:space="preserve"> takes note</w:t>
      </w:r>
      <w:r w:rsidRPr="0019357D">
        <w:rPr>
          <w:u w:val="none"/>
        </w:rPr>
        <w:t xml:space="preserve"> that Seychelles requested an allocation of US$94,718 from the Intangible Cultural Heritage Fund for implementation of the project;</w:t>
      </w:r>
    </w:p>
    <w:p w:rsidR="00F774D0" w:rsidRPr="0019357D" w:rsidRDefault="00F774D0" w:rsidP="008A5969">
      <w:pPr>
        <w:pStyle w:val="COMParaDecision"/>
        <w:tabs>
          <w:tab w:val="left" w:pos="567"/>
        </w:tabs>
        <w:ind w:left="567" w:hanging="567"/>
        <w:rPr>
          <w:u w:val="none"/>
        </w:rPr>
      </w:pPr>
      <w:r w:rsidRPr="008D4C4B">
        <w:t>Decides</w:t>
      </w:r>
      <w:r w:rsidRPr="0019357D">
        <w:rPr>
          <w:u w:val="none"/>
        </w:rPr>
        <w:t xml:space="preserve"> that</w:t>
      </w:r>
      <w:r w:rsidRPr="0019357D">
        <w:rPr>
          <w:b/>
          <w:u w:val="none"/>
        </w:rPr>
        <w:t xml:space="preserve"> </w:t>
      </w:r>
      <w:r w:rsidRPr="0019357D">
        <w:rPr>
          <w:u w:val="none"/>
        </w:rPr>
        <w:t>from the information provided in file no. 01158, the request responds as follows to the criteria for granting International Assistance given in paragraphs 10 and 12 of the Operational Directives:</w:t>
      </w:r>
    </w:p>
    <w:p w:rsidR="00F774D0" w:rsidRPr="0019357D" w:rsidRDefault="00F774D0" w:rsidP="008A5969">
      <w:pPr>
        <w:pStyle w:val="COMParaDecision"/>
        <w:numPr>
          <w:ilvl w:val="0"/>
          <w:numId w:val="0"/>
        </w:numPr>
        <w:tabs>
          <w:tab w:val="left" w:pos="567"/>
        </w:tabs>
        <w:ind w:left="567"/>
        <w:rPr>
          <w:u w:val="none"/>
        </w:rPr>
      </w:pPr>
      <w:r w:rsidRPr="0019357D">
        <w:rPr>
          <w:b/>
          <w:u w:val="none"/>
        </w:rPr>
        <w:t>Criterion A.1</w:t>
      </w:r>
      <w:r w:rsidRPr="0019357D">
        <w:rPr>
          <w:u w:val="none"/>
        </w:rPr>
        <w:t>: The request results from preparatory work conducted among the district cultural committees of the three main islands and assigns a central role to communities in all activities, including training and pilot inventories; communities will be involved in monitoring and following-up project activities through District Administrations which will be represented in the project implementation team by a representative of Ministry of Community Development, Social Affairs and Sports working directly with them.</w:t>
      </w:r>
    </w:p>
    <w:p w:rsidR="00F774D0" w:rsidRPr="008D4C4B" w:rsidRDefault="00F774D0" w:rsidP="008A5969">
      <w:pPr>
        <w:pStyle w:val="Marge"/>
        <w:spacing w:after="120"/>
        <w:ind w:left="567"/>
        <w:rPr>
          <w:rFonts w:cs="Arial"/>
          <w:szCs w:val="22"/>
        </w:rPr>
      </w:pPr>
      <w:r w:rsidRPr="008D4C4B">
        <w:rPr>
          <w:b/>
        </w:rPr>
        <w:t>Criterion A.2:</w:t>
      </w:r>
      <w:r w:rsidRPr="008D4C4B">
        <w:t xml:space="preserve"> </w:t>
      </w:r>
      <w:r w:rsidRPr="008D4C4B">
        <w:rPr>
          <w:rFonts w:cs="Arial"/>
          <w:szCs w:val="22"/>
        </w:rPr>
        <w:t>The budget breakdown is well detailed</w:t>
      </w:r>
      <w:r w:rsidRPr="008D4C4B">
        <w:rPr>
          <w:rFonts w:cs="Arial"/>
          <w:bCs/>
          <w:szCs w:val="22"/>
        </w:rPr>
        <w:t xml:space="preserve"> and adequately covers each of the proposed activities</w:t>
      </w:r>
      <w:r>
        <w:rPr>
          <w:rFonts w:cs="Arial"/>
          <w:bCs/>
          <w:szCs w:val="22"/>
        </w:rPr>
        <w:t xml:space="preserve">; however, funds requested for the elaboration of a nomination file to the List of the Intangible Cultural Heritage in Need of Urgent Safeguarding are not eligible under International Assistance. </w:t>
      </w:r>
    </w:p>
    <w:p w:rsidR="00F774D0" w:rsidRDefault="00F774D0" w:rsidP="008A5969">
      <w:pPr>
        <w:pStyle w:val="Marge"/>
        <w:spacing w:after="120"/>
        <w:ind w:left="567"/>
        <w:rPr>
          <w:rFonts w:cs="Arial"/>
          <w:szCs w:val="22"/>
        </w:rPr>
      </w:pPr>
      <w:r w:rsidRPr="008D4C4B">
        <w:rPr>
          <w:b/>
        </w:rPr>
        <w:t>Criterion A.3:</w:t>
      </w:r>
      <w:r w:rsidRPr="008D4C4B">
        <w:t xml:space="preserve"> </w:t>
      </w:r>
      <w:r w:rsidRPr="008D4C4B">
        <w:rPr>
          <w:rFonts w:cs="Arial"/>
          <w:szCs w:val="22"/>
        </w:rPr>
        <w:t>The request is clearly structured and includes a series of four activities that are well-conceived and presented in a logical sequence</w:t>
      </w:r>
      <w:r>
        <w:rPr>
          <w:rFonts w:cs="Arial"/>
          <w:szCs w:val="22"/>
        </w:rPr>
        <w:t xml:space="preserve"> from </w:t>
      </w:r>
      <w:r w:rsidRPr="00DC0299">
        <w:rPr>
          <w:rFonts w:cs="Arial"/>
          <w:szCs w:val="22"/>
        </w:rPr>
        <w:t xml:space="preserve">general training on the implementation of the Convention to more specialized training on the </w:t>
      </w:r>
      <w:r>
        <w:rPr>
          <w:rFonts w:cs="Arial"/>
          <w:szCs w:val="22"/>
        </w:rPr>
        <w:t>elaboration</w:t>
      </w:r>
      <w:r w:rsidRPr="00DC0299">
        <w:rPr>
          <w:rFonts w:cs="Arial"/>
          <w:szCs w:val="22"/>
        </w:rPr>
        <w:t xml:space="preserve"> of </w:t>
      </w:r>
      <w:r>
        <w:rPr>
          <w:rFonts w:cs="Arial"/>
          <w:szCs w:val="22"/>
        </w:rPr>
        <w:t>nominations</w:t>
      </w:r>
      <w:r w:rsidRPr="00DC0299">
        <w:rPr>
          <w:rFonts w:cs="Arial"/>
          <w:szCs w:val="22"/>
        </w:rPr>
        <w:t xml:space="preserve"> </w:t>
      </w:r>
      <w:r>
        <w:rPr>
          <w:rFonts w:cs="Arial"/>
          <w:szCs w:val="22"/>
        </w:rPr>
        <w:t>through</w:t>
      </w:r>
      <w:r w:rsidRPr="00DC0299">
        <w:rPr>
          <w:rFonts w:cs="Arial"/>
          <w:szCs w:val="22"/>
        </w:rPr>
        <w:t xml:space="preserve"> pilot </w:t>
      </w:r>
      <w:r>
        <w:rPr>
          <w:rFonts w:cs="Arial"/>
          <w:szCs w:val="22"/>
        </w:rPr>
        <w:t xml:space="preserve">community-based </w:t>
      </w:r>
      <w:r w:rsidRPr="00DC0299">
        <w:rPr>
          <w:rFonts w:cs="Arial"/>
          <w:szCs w:val="22"/>
        </w:rPr>
        <w:t>inventories and work on heritage policies</w:t>
      </w:r>
      <w:r>
        <w:rPr>
          <w:rFonts w:cs="Arial"/>
          <w:szCs w:val="22"/>
        </w:rPr>
        <w:t xml:space="preserve">; </w:t>
      </w:r>
      <w:r>
        <w:rPr>
          <w:rFonts w:cs="Arial"/>
          <w:szCs w:val="22"/>
        </w:rPr>
        <w:lastRenderedPageBreak/>
        <w:t xml:space="preserve">expected results therefore seem to be achievable within the proposed project duration and timetable.  </w:t>
      </w:r>
    </w:p>
    <w:p w:rsidR="00F774D0" w:rsidRPr="008D4C4B" w:rsidRDefault="00F774D0" w:rsidP="008A5969">
      <w:pPr>
        <w:pStyle w:val="Marge"/>
        <w:spacing w:after="120"/>
        <w:ind w:left="567"/>
        <w:rPr>
          <w:rFonts w:cs="Arial"/>
          <w:bCs/>
          <w:szCs w:val="22"/>
        </w:rPr>
      </w:pPr>
      <w:r w:rsidRPr="008417C5">
        <w:rPr>
          <w:b/>
        </w:rPr>
        <w:t>Criterion A.4</w:t>
      </w:r>
      <w:r w:rsidRPr="008417C5">
        <w:t xml:space="preserve">: </w:t>
      </w:r>
      <w:r w:rsidRPr="008417C5">
        <w:rPr>
          <w:rFonts w:cs="Arial"/>
          <w:bCs/>
          <w:szCs w:val="22"/>
        </w:rPr>
        <w:t xml:space="preserve">The emphasis on strengthening institutional </w:t>
      </w:r>
      <w:r>
        <w:rPr>
          <w:rFonts w:cs="Arial"/>
          <w:bCs/>
          <w:szCs w:val="22"/>
        </w:rPr>
        <w:t xml:space="preserve">and community </w:t>
      </w:r>
      <w:r w:rsidRPr="008417C5">
        <w:rPr>
          <w:rFonts w:cs="Arial"/>
          <w:bCs/>
          <w:szCs w:val="22"/>
        </w:rPr>
        <w:t xml:space="preserve">capacities </w:t>
      </w:r>
      <w:r>
        <w:rPr>
          <w:rFonts w:cs="Arial"/>
          <w:bCs/>
          <w:szCs w:val="22"/>
        </w:rPr>
        <w:t>should result in</w:t>
      </w:r>
      <w:r w:rsidRPr="008417C5">
        <w:rPr>
          <w:rFonts w:cs="Arial"/>
          <w:bCs/>
          <w:szCs w:val="22"/>
        </w:rPr>
        <w:t xml:space="preserve"> </w:t>
      </w:r>
      <w:r>
        <w:rPr>
          <w:rFonts w:cs="Arial"/>
          <w:bCs/>
          <w:szCs w:val="22"/>
        </w:rPr>
        <w:t xml:space="preserve">a </w:t>
      </w:r>
      <w:r w:rsidRPr="008417C5">
        <w:rPr>
          <w:rFonts w:cs="Arial"/>
          <w:bCs/>
          <w:szCs w:val="22"/>
        </w:rPr>
        <w:t xml:space="preserve">critical mass able to continue the implementation of the Convention </w:t>
      </w:r>
      <w:r>
        <w:rPr>
          <w:rFonts w:cs="Arial"/>
          <w:bCs/>
          <w:szCs w:val="22"/>
        </w:rPr>
        <w:t xml:space="preserve">at the national level </w:t>
      </w:r>
      <w:r w:rsidRPr="008417C5">
        <w:rPr>
          <w:rFonts w:cs="Arial"/>
          <w:bCs/>
          <w:szCs w:val="22"/>
        </w:rPr>
        <w:t>beyond the activities for which funding is requested; measures such as the designation of persons trained during the project as focal</w:t>
      </w:r>
      <w:r>
        <w:rPr>
          <w:rFonts w:cs="Arial"/>
          <w:bCs/>
          <w:szCs w:val="22"/>
        </w:rPr>
        <w:t xml:space="preserve"> points</w:t>
      </w:r>
      <w:r w:rsidRPr="008417C5">
        <w:rPr>
          <w:rFonts w:cs="Arial"/>
          <w:bCs/>
          <w:szCs w:val="22"/>
        </w:rPr>
        <w:t xml:space="preserve"> for </w:t>
      </w:r>
      <w:r>
        <w:rPr>
          <w:rFonts w:cs="Arial"/>
          <w:bCs/>
          <w:szCs w:val="22"/>
        </w:rPr>
        <w:t>intangible cultural heritage</w:t>
      </w:r>
      <w:r w:rsidRPr="008417C5">
        <w:rPr>
          <w:rFonts w:cs="Arial"/>
          <w:bCs/>
          <w:szCs w:val="22"/>
        </w:rPr>
        <w:t xml:space="preserve"> in their respective districts aim to consolidate the</w:t>
      </w:r>
      <w:r>
        <w:rPr>
          <w:rFonts w:cs="Arial"/>
          <w:bCs/>
          <w:szCs w:val="22"/>
        </w:rPr>
        <w:t>ir</w:t>
      </w:r>
      <w:r w:rsidRPr="008417C5">
        <w:rPr>
          <w:rFonts w:cs="Arial"/>
          <w:bCs/>
          <w:szCs w:val="22"/>
        </w:rPr>
        <w:t xml:space="preserve"> relationship </w:t>
      </w:r>
      <w:r>
        <w:rPr>
          <w:rFonts w:cs="Arial"/>
          <w:bCs/>
          <w:szCs w:val="22"/>
        </w:rPr>
        <w:t xml:space="preserve">with </w:t>
      </w:r>
      <w:r w:rsidRPr="00AE20D5">
        <w:t>the Department of Cultur</w:t>
      </w:r>
      <w:r>
        <w:t>e so that</w:t>
      </w:r>
      <w:r w:rsidRPr="008417C5">
        <w:rPr>
          <w:rFonts w:cs="Arial"/>
          <w:bCs/>
          <w:szCs w:val="22"/>
        </w:rPr>
        <w:t xml:space="preserve"> the cooperation dynamics created </w:t>
      </w:r>
      <w:r>
        <w:rPr>
          <w:rFonts w:cs="Arial"/>
          <w:bCs/>
          <w:szCs w:val="22"/>
        </w:rPr>
        <w:t>by the project continue to work after its completion.</w:t>
      </w:r>
    </w:p>
    <w:p w:rsidR="00F774D0" w:rsidRPr="008D4C4B" w:rsidRDefault="00F774D0" w:rsidP="008A5969">
      <w:pPr>
        <w:pStyle w:val="Marge"/>
        <w:spacing w:after="120"/>
        <w:ind w:left="567"/>
      </w:pPr>
      <w:r w:rsidRPr="008D4C4B">
        <w:rPr>
          <w:b/>
        </w:rPr>
        <w:t>Criterion A.5</w:t>
      </w:r>
      <w:r w:rsidRPr="008D4C4B">
        <w:t xml:space="preserve">: The State will share </w:t>
      </w:r>
      <w:r>
        <w:t>5</w:t>
      </w:r>
      <w:r w:rsidRPr="008D4C4B">
        <w:t xml:space="preserve"> per cent of the overall budget of the project for which the international assistance is requested</w:t>
      </w:r>
      <w:r>
        <w:t>.</w:t>
      </w:r>
    </w:p>
    <w:p w:rsidR="00F774D0" w:rsidRDefault="00F774D0" w:rsidP="008A5969">
      <w:pPr>
        <w:pStyle w:val="Marge"/>
        <w:spacing w:after="120"/>
        <w:ind w:left="567"/>
        <w:rPr>
          <w:rFonts w:cs="Arial"/>
          <w:bCs/>
          <w:szCs w:val="22"/>
        </w:rPr>
      </w:pPr>
      <w:r w:rsidRPr="00DC05D9">
        <w:rPr>
          <w:b/>
        </w:rPr>
        <w:t>Criterion A.6</w:t>
      </w:r>
      <w:r w:rsidRPr="00DC05D9">
        <w:t>: Capacity-building in the field of safeguarding of intangible cultural heritage both for communities and the staff of the Department of Culture and its partners emerges as a fundamental component of the project; t</w:t>
      </w:r>
      <w:r w:rsidRPr="00DC05D9">
        <w:rPr>
          <w:rFonts w:cs="Arial"/>
          <w:bCs/>
          <w:szCs w:val="22"/>
        </w:rPr>
        <w:t xml:space="preserve">he request adequately demonstrates that the project will both build up capacities of communities in inventorying </w:t>
      </w:r>
      <w:r>
        <w:rPr>
          <w:rFonts w:cs="Arial"/>
          <w:bCs/>
          <w:szCs w:val="22"/>
        </w:rPr>
        <w:t xml:space="preserve">their living heritage </w:t>
      </w:r>
      <w:r w:rsidRPr="00DC05D9">
        <w:rPr>
          <w:rFonts w:cs="Arial"/>
          <w:bCs/>
          <w:szCs w:val="22"/>
        </w:rPr>
        <w:t xml:space="preserve">with a highly participatory approach and reinforce the existing institutional capacities </w:t>
      </w:r>
      <w:r>
        <w:rPr>
          <w:rFonts w:cs="Arial"/>
          <w:bCs/>
          <w:szCs w:val="22"/>
        </w:rPr>
        <w:t xml:space="preserve">by </w:t>
      </w:r>
      <w:r w:rsidRPr="00A35434">
        <w:rPr>
          <w:rFonts w:cs="Arial"/>
          <w:bCs/>
          <w:szCs w:val="22"/>
        </w:rPr>
        <w:t xml:space="preserve">familiarizing </w:t>
      </w:r>
      <w:r>
        <w:rPr>
          <w:rFonts w:cs="Arial"/>
          <w:bCs/>
          <w:szCs w:val="22"/>
        </w:rPr>
        <w:t>staff</w:t>
      </w:r>
      <w:r w:rsidRPr="00A35434">
        <w:rPr>
          <w:rFonts w:cs="Arial"/>
          <w:bCs/>
          <w:szCs w:val="22"/>
        </w:rPr>
        <w:t xml:space="preserve"> already involved in safeguarding </w:t>
      </w:r>
      <w:r>
        <w:rPr>
          <w:rFonts w:cs="Arial"/>
          <w:bCs/>
          <w:szCs w:val="22"/>
        </w:rPr>
        <w:t xml:space="preserve">initiatives </w:t>
      </w:r>
      <w:r w:rsidRPr="00A35434">
        <w:rPr>
          <w:rFonts w:cs="Arial"/>
          <w:bCs/>
          <w:szCs w:val="22"/>
        </w:rPr>
        <w:t>with the framework of the Convention.</w:t>
      </w:r>
      <w:r w:rsidRPr="00DC05D9">
        <w:rPr>
          <w:rFonts w:cs="Arial"/>
          <w:bCs/>
          <w:szCs w:val="22"/>
        </w:rPr>
        <w:t xml:space="preserve"> </w:t>
      </w:r>
    </w:p>
    <w:p w:rsidR="00F774D0" w:rsidRPr="00AE20D5" w:rsidRDefault="00F774D0" w:rsidP="008A5969">
      <w:pPr>
        <w:pStyle w:val="Marge"/>
        <w:spacing w:after="120"/>
        <w:ind w:left="567"/>
      </w:pPr>
      <w:r w:rsidRPr="008D4C4B">
        <w:rPr>
          <w:b/>
        </w:rPr>
        <w:t xml:space="preserve">Criterion </w:t>
      </w:r>
      <w:r w:rsidRPr="00AE20D5">
        <w:rPr>
          <w:b/>
        </w:rPr>
        <w:t>A.7:</w:t>
      </w:r>
      <w:r w:rsidRPr="00AE20D5">
        <w:rPr>
          <w:rFonts w:cs="Arial"/>
          <w:bCs/>
          <w:szCs w:val="22"/>
        </w:rPr>
        <w:t xml:space="preserve"> From 2009 to 2011 Seychelles benefited from a financial assistance amounting to US$9,862.61 from the Intangible Cultural Heritage Fund for a project entitled ‘Inventory of Intangible Cultural Heritage in Seychelles’; Seychelles provided the work stipulated by the terms of reference of the corresponding contract signed under this project, in line with UNESCO’s regulations.</w:t>
      </w:r>
    </w:p>
    <w:p w:rsidR="00F774D0" w:rsidRPr="00AE20D5" w:rsidRDefault="00F774D0" w:rsidP="008A5969">
      <w:pPr>
        <w:pStyle w:val="Marge"/>
        <w:spacing w:after="120"/>
        <w:ind w:left="567"/>
      </w:pPr>
      <w:r w:rsidRPr="00AE20D5">
        <w:rPr>
          <w:b/>
        </w:rPr>
        <w:t>Paragraph 10(a)</w:t>
      </w:r>
      <w:r w:rsidRPr="00AE20D5">
        <w:t>: The project is national in scope; the institution responsible for implementing the project, the Department of Culture</w:t>
      </w:r>
      <w:r>
        <w:t>,</w:t>
      </w:r>
      <w:r w:rsidRPr="00AE20D5">
        <w:t xml:space="preserve"> and its main partner, the Ministry of Community Development, Social Affairs and Sports </w:t>
      </w:r>
      <w:r>
        <w:t>are competent</w:t>
      </w:r>
      <w:r w:rsidRPr="00AE20D5">
        <w:t xml:space="preserve"> at national level but will work closely with district administrations.</w:t>
      </w:r>
    </w:p>
    <w:p w:rsidR="00F774D0" w:rsidRPr="00B00A7E" w:rsidRDefault="00F774D0" w:rsidP="008A5969">
      <w:pPr>
        <w:pStyle w:val="Marge"/>
        <w:spacing w:after="120"/>
        <w:ind w:left="567"/>
      </w:pPr>
      <w:r w:rsidRPr="009C6987">
        <w:rPr>
          <w:b/>
        </w:rPr>
        <w:t>Paragraph 10(b):</w:t>
      </w:r>
      <w:r w:rsidRPr="009C6987">
        <w:t xml:space="preserve"> </w:t>
      </w:r>
      <w:r>
        <w:t>T</w:t>
      </w:r>
      <w:r w:rsidRPr="009C6987">
        <w:t>he training received and the equipment acquired for drawing up community-based inventories will enable communities to replicate the exercise at the local level on other intangible cultural heritage practices and the Department of Culture to do the same with other communities; in addition</w:t>
      </w:r>
      <w:r>
        <w:t xml:space="preserve"> t</w:t>
      </w:r>
      <w:r w:rsidRPr="00B00A7E">
        <w:t xml:space="preserve">he interest that the project hopes to arouse around </w:t>
      </w:r>
      <w:r>
        <w:t>intangible cultural heritage as source of</w:t>
      </w:r>
      <w:r w:rsidRPr="00B00A7E">
        <w:t xml:space="preserve"> livelihood and </w:t>
      </w:r>
      <w:r>
        <w:t>an appeal for</w:t>
      </w:r>
      <w:r w:rsidRPr="00B00A7E">
        <w:t xml:space="preserve"> initiatives </w:t>
      </w:r>
      <w:r>
        <w:t xml:space="preserve">of </w:t>
      </w:r>
      <w:r w:rsidRPr="00B00A7E">
        <w:t xml:space="preserve">sustainable cultural tourism </w:t>
      </w:r>
      <w:r>
        <w:t>may</w:t>
      </w:r>
      <w:r w:rsidRPr="00B00A7E">
        <w:t xml:space="preserve"> stimulate financial and technical support </w:t>
      </w:r>
      <w:r>
        <w:t xml:space="preserve">from other agencies such as the Small Enterprises Promotion Agency, the Ministry of Investment, Entrepreneurship and Business Innovation or the Seychelles Tourism Board.  </w:t>
      </w:r>
    </w:p>
    <w:p w:rsidR="00F774D0" w:rsidRPr="0019357D" w:rsidRDefault="00F774D0" w:rsidP="008A5969">
      <w:pPr>
        <w:pStyle w:val="COMParaDecision"/>
        <w:tabs>
          <w:tab w:val="left" w:pos="567"/>
        </w:tabs>
        <w:ind w:left="567" w:hanging="567"/>
        <w:rPr>
          <w:u w:val="none"/>
        </w:rPr>
      </w:pPr>
      <w:r>
        <w:t>A</w:t>
      </w:r>
      <w:r w:rsidRPr="00B00A7E">
        <w:t>pprove</w:t>
      </w:r>
      <w:r>
        <w:t>s</w:t>
      </w:r>
      <w:r w:rsidRPr="0019357D">
        <w:rPr>
          <w:u w:val="none"/>
        </w:rPr>
        <w:t xml:space="preserve"> the international assistance request from Seychelles for a project entitled </w:t>
      </w:r>
      <w:r w:rsidRPr="0019357D">
        <w:rPr>
          <w:b/>
          <w:u w:val="none"/>
        </w:rPr>
        <w:t>Strengthening capacity in Seychelles for safeguarding intangible cultural heritage</w:t>
      </w:r>
      <w:r w:rsidRPr="0019357D">
        <w:rPr>
          <w:u w:val="none"/>
        </w:rPr>
        <w:t xml:space="preserve"> and to </w:t>
      </w:r>
      <w:r w:rsidRPr="0019357D">
        <w:t>grant</w:t>
      </w:r>
      <w:r w:rsidRPr="0019357D">
        <w:rPr>
          <w:u w:val="none"/>
        </w:rPr>
        <w:t xml:space="preserve"> an amount of US$90,000 to the State Party to this end;</w:t>
      </w:r>
    </w:p>
    <w:p w:rsidR="00F774D0" w:rsidRPr="0019357D" w:rsidRDefault="00F774D0" w:rsidP="008A5969">
      <w:pPr>
        <w:pStyle w:val="COMParaDecision"/>
        <w:tabs>
          <w:tab w:val="left" w:pos="567"/>
        </w:tabs>
        <w:ind w:left="567" w:hanging="567"/>
        <w:rPr>
          <w:u w:val="none"/>
        </w:rPr>
      </w:pPr>
      <w:r w:rsidRPr="00701061">
        <w:t>Takes note</w:t>
      </w:r>
      <w:r w:rsidRPr="0019357D">
        <w:rPr>
          <w:u w:val="none"/>
        </w:rPr>
        <w:t xml:space="preserve"> of the technical assistance provided to Seychelles in preparing this request and </w:t>
      </w:r>
      <w:r w:rsidRPr="0019357D">
        <w:t>commends</w:t>
      </w:r>
      <w:r w:rsidRPr="0019357D">
        <w:rPr>
          <w:u w:val="none"/>
        </w:rPr>
        <w:t xml:space="preserve"> the effort made by the State Party to follow-up on that assistance by substantially revising its initial request;</w:t>
      </w:r>
    </w:p>
    <w:p w:rsidR="00F774D0" w:rsidRPr="0019357D" w:rsidRDefault="00F774D0" w:rsidP="008A5969">
      <w:pPr>
        <w:pStyle w:val="COMParaDecision"/>
        <w:tabs>
          <w:tab w:val="left" w:pos="567"/>
        </w:tabs>
        <w:ind w:left="567" w:hanging="567"/>
        <w:rPr>
          <w:u w:val="none"/>
        </w:rPr>
      </w:pPr>
      <w:r w:rsidRPr="008D4C4B">
        <w:t>Requests</w:t>
      </w:r>
      <w:r w:rsidRPr="0019357D">
        <w:rPr>
          <w:u w:val="none"/>
        </w:rPr>
        <w:t xml:space="preserve"> the State Party to work with the Secretariat at the earliest opportunity in order to revise, within the amount granted, the budget breakdown and make sure it corresponds exactly to the planned activities and includes only eligible costs;</w:t>
      </w:r>
    </w:p>
    <w:p w:rsidR="00F774D0" w:rsidRPr="0019357D" w:rsidRDefault="00F774D0" w:rsidP="008A5969">
      <w:pPr>
        <w:pStyle w:val="COMParaDecision"/>
        <w:tabs>
          <w:tab w:val="left" w:pos="567"/>
        </w:tabs>
        <w:ind w:left="567" w:hanging="567"/>
        <w:rPr>
          <w:u w:val="none"/>
        </w:rPr>
      </w:pPr>
      <w:r>
        <w:t>Encourages</w:t>
      </w:r>
      <w:r w:rsidRPr="0019357D">
        <w:rPr>
          <w:u w:val="none"/>
        </w:rPr>
        <w:t xml:space="preserve"> the State Party to coordinate closely with the Secretariat for the implementation of the project in order to ensure that the stakeholders will benefit fully from the developments under the UNESCO’s global programme for strengthening national safeguarding capacities, with which the State Party wishes to align the project;</w:t>
      </w:r>
    </w:p>
    <w:p w:rsidR="00F774D0" w:rsidRPr="0019357D" w:rsidRDefault="00F774D0" w:rsidP="008A5969">
      <w:pPr>
        <w:pStyle w:val="COMParaDecision"/>
        <w:tabs>
          <w:tab w:val="left" w:pos="567"/>
        </w:tabs>
        <w:ind w:left="567" w:hanging="567"/>
        <w:rPr>
          <w:u w:val="none"/>
        </w:rPr>
      </w:pPr>
      <w:r w:rsidRPr="006B3011">
        <w:t>Invites</w:t>
      </w:r>
      <w:r w:rsidRPr="0019357D">
        <w:rPr>
          <w:u w:val="none"/>
        </w:rPr>
        <w:t xml:space="preserve"> the State Party to use the ICH-04-Report Form when reporting on the use of assistance provided;</w:t>
      </w:r>
    </w:p>
    <w:p w:rsidR="00F774D0" w:rsidRPr="00796D6B" w:rsidRDefault="00F774D0" w:rsidP="00796D6B">
      <w:pPr>
        <w:pStyle w:val="COMParaDecision"/>
        <w:tabs>
          <w:tab w:val="left" w:pos="567"/>
        </w:tabs>
        <w:ind w:left="567" w:hanging="567"/>
        <w:rPr>
          <w:u w:val="none"/>
        </w:rPr>
      </w:pPr>
      <w:r>
        <w:t>Further invites</w:t>
      </w:r>
      <w:r w:rsidRPr="0019357D">
        <w:rPr>
          <w:u w:val="none"/>
        </w:rPr>
        <w:t xml:space="preserve"> the State Party, if it wishes to request preparatory assistance for the elaboration of a nomination to the List of the Intangible Cultural Heritage in Need of Urgent </w:t>
      </w:r>
      <w:r w:rsidRPr="0019357D">
        <w:rPr>
          <w:u w:val="none"/>
        </w:rPr>
        <w:lastRenderedPageBreak/>
        <w:t xml:space="preserve">Safeguarding, to prepare a separate request using the </w:t>
      </w:r>
      <w:r w:rsidRPr="0019357D">
        <w:rPr>
          <w:bCs/>
          <w:u w:val="none"/>
        </w:rPr>
        <w:t xml:space="preserve">ICH-05 Form </w:t>
      </w:r>
      <w:r w:rsidRPr="0019357D">
        <w:rPr>
          <w:u w:val="none"/>
        </w:rPr>
        <w:t>in compliance with established procedures and deadlines.</w:t>
      </w:r>
      <w:bookmarkStart w:id="0" w:name="_GoBack"/>
      <w:bookmarkEnd w:id="0"/>
    </w:p>
    <w:sectPr w:rsidR="00F774D0" w:rsidRPr="00796D6B" w:rsidSect="00990228">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EF563B" w:rsidRDefault="00A06B50" w:rsidP="00A45E93">
    <w:pPr>
      <w:rPr>
        <w:rFonts w:ascii="Arial" w:hAnsi="Arial" w:cs="Arial"/>
      </w:rPr>
    </w:pPr>
    <w:r w:rsidRPr="00A45E93">
      <w:rPr>
        <w:rFonts w:ascii="Arial" w:hAnsi="Arial" w:cs="Arial"/>
        <w:sz w:val="20"/>
        <w:szCs w:val="20"/>
        <w:lang w:val="en-US"/>
      </w:rPr>
      <w:t>ITH/1</w:t>
    </w:r>
    <w:r w:rsidR="00400C15">
      <w:rPr>
        <w:rFonts w:ascii="Arial" w:hAnsi="Arial" w:cs="Arial"/>
        <w:sz w:val="20"/>
        <w:szCs w:val="20"/>
        <w:lang w:val="en-US"/>
      </w:rPr>
      <w:t>6</w:t>
    </w:r>
    <w:r w:rsidRPr="00A45E93">
      <w:rPr>
        <w:rFonts w:ascii="Arial" w:hAnsi="Arial" w:cs="Arial"/>
        <w:sz w:val="20"/>
        <w:szCs w:val="20"/>
        <w:lang w:val="en-US"/>
      </w:rPr>
      <w:t>/</w:t>
    </w:r>
    <w:r w:rsidR="00400C15">
      <w:rPr>
        <w:rFonts w:ascii="Arial" w:hAnsi="Arial" w:cs="Arial"/>
        <w:sz w:val="20"/>
        <w:szCs w:val="20"/>
        <w:lang w:val="en-US"/>
      </w:rPr>
      <w:t>11</w:t>
    </w:r>
    <w:r w:rsidR="003650A4">
      <w:rPr>
        <w:rFonts w:ascii="Arial" w:hAnsi="Arial" w:cs="Arial"/>
        <w:sz w:val="20"/>
        <w:szCs w:val="20"/>
        <w:lang w:val="en-US"/>
      </w:rPr>
      <w:t>.COM </w:t>
    </w:r>
    <w:r w:rsidR="00436973">
      <w:rPr>
        <w:rFonts w:ascii="Arial" w:hAnsi="Arial" w:cs="Arial"/>
        <w:sz w:val="20"/>
        <w:szCs w:val="20"/>
        <w:lang w:val="en-US"/>
      </w:rPr>
      <w:t>3</w:t>
    </w:r>
    <w:r w:rsidRPr="00A45E93">
      <w:rPr>
        <w:rFonts w:ascii="Arial" w:hAnsi="Arial" w:cs="Arial"/>
        <w:sz w:val="20"/>
        <w:szCs w:val="20"/>
        <w:lang w:val="en-US"/>
      </w:rPr>
      <w:t>.BUR/</w:t>
    </w:r>
    <w:r w:rsidR="008676B6">
      <w:rPr>
        <w:rFonts w:ascii="Arial" w:hAnsi="Arial" w:cs="Arial"/>
        <w:sz w:val="20"/>
        <w:szCs w:val="20"/>
        <w:lang w:val="en-US"/>
      </w:rPr>
      <w:t>Decisions</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796D6B">
      <w:rPr>
        <w:rStyle w:val="PageNumber"/>
        <w:rFonts w:ascii="Arial" w:hAnsi="Arial" w:cs="Arial"/>
        <w:noProof/>
        <w:sz w:val="20"/>
        <w:szCs w:val="20"/>
        <w:lang w:val="en-US"/>
      </w:rPr>
      <w:t>12</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sidR="00400C15">
      <w:rPr>
        <w:rFonts w:ascii="Arial" w:hAnsi="Arial" w:cs="Arial"/>
        <w:sz w:val="20"/>
        <w:szCs w:val="20"/>
        <w:lang w:val="en-US"/>
      </w:rPr>
      <w:t>6</w:t>
    </w:r>
    <w:r w:rsidRPr="00A45E93">
      <w:rPr>
        <w:rFonts w:ascii="Arial" w:hAnsi="Arial" w:cs="Arial"/>
        <w:sz w:val="20"/>
        <w:szCs w:val="20"/>
        <w:lang w:val="en-US"/>
      </w:rPr>
      <w:t>/</w:t>
    </w:r>
    <w:r w:rsidR="00400C15">
      <w:rPr>
        <w:rFonts w:ascii="Arial" w:hAnsi="Arial" w:cs="Arial"/>
        <w:sz w:val="20"/>
        <w:szCs w:val="20"/>
        <w:lang w:val="en-US"/>
      </w:rPr>
      <w:t>11</w:t>
    </w:r>
    <w:r w:rsidR="003650A4">
      <w:rPr>
        <w:rFonts w:ascii="Arial" w:hAnsi="Arial" w:cs="Arial"/>
        <w:sz w:val="20"/>
        <w:szCs w:val="20"/>
        <w:lang w:val="en-US"/>
      </w:rPr>
      <w:t>.COM </w:t>
    </w:r>
    <w:r w:rsidR="00436973">
      <w:rPr>
        <w:rFonts w:ascii="Arial" w:hAnsi="Arial" w:cs="Arial"/>
        <w:sz w:val="20"/>
        <w:szCs w:val="20"/>
        <w:lang w:val="en-US"/>
      </w:rPr>
      <w:t>3</w:t>
    </w:r>
    <w:r w:rsidRPr="00A45E93">
      <w:rPr>
        <w:rFonts w:ascii="Arial" w:hAnsi="Arial" w:cs="Arial"/>
        <w:sz w:val="20"/>
        <w:szCs w:val="20"/>
        <w:lang w:val="en-US"/>
      </w:rPr>
      <w:t>.BUR/</w:t>
    </w:r>
    <w:r w:rsidR="008676B6">
      <w:rPr>
        <w:rFonts w:ascii="Arial" w:hAnsi="Arial" w:cs="Arial"/>
        <w:sz w:val="20"/>
        <w:szCs w:val="20"/>
        <w:lang w:val="en-US"/>
      </w:rPr>
      <w:t>Decisions</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796D6B">
      <w:rPr>
        <w:rStyle w:val="PageNumber"/>
        <w:rFonts w:ascii="Arial" w:hAnsi="Arial" w:cs="Arial"/>
        <w:noProof/>
        <w:sz w:val="20"/>
        <w:szCs w:val="20"/>
        <w:lang w:val="en-US"/>
      </w:rPr>
      <w:t>11</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FD7470">
    <w:pPr>
      <w:pStyle w:val="Header"/>
    </w:pPr>
    <w:r>
      <w:rPr>
        <w:noProof/>
        <w:lang w:val="fr-FR"/>
      </w:rPr>
      <w:drawing>
        <wp:anchor distT="0" distB="0" distL="114300" distR="114300" simplePos="0" relativeHeight="251657728" behindDoc="0" locked="0" layoutInCell="1" allowOverlap="1" wp14:anchorId="579BDA7F" wp14:editId="111A0D4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400C15" w:rsidP="00EF563B">
    <w:pPr>
      <w:pStyle w:val="Header"/>
      <w:spacing w:after="520"/>
      <w:jc w:val="right"/>
      <w:rPr>
        <w:rFonts w:ascii="Arial" w:hAnsi="Arial" w:cs="Arial"/>
        <w:b/>
        <w:sz w:val="44"/>
        <w:szCs w:val="44"/>
        <w:lang w:val="en-US"/>
      </w:rPr>
    </w:pPr>
    <w:r>
      <w:rPr>
        <w:rFonts w:ascii="Arial" w:hAnsi="Arial" w:cs="Arial"/>
        <w:b/>
        <w:sz w:val="44"/>
        <w:szCs w:val="44"/>
        <w:lang w:val="en-US"/>
      </w:rPr>
      <w:t>11</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660780">
      <w:rPr>
        <w:rFonts w:ascii="Arial" w:hAnsi="Arial" w:cs="Arial"/>
        <w:b/>
        <w:sz w:val="44"/>
        <w:szCs w:val="44"/>
        <w:lang w:val="en-US"/>
      </w:rPr>
      <w:t>3</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A45E93">
    <w:pPr>
      <w:jc w:val="right"/>
      <w:rPr>
        <w:rFonts w:ascii="Arial" w:hAnsi="Arial" w:cs="Arial"/>
        <w:b/>
        <w:sz w:val="22"/>
        <w:szCs w:val="22"/>
        <w:lang w:val="en-US"/>
      </w:rPr>
    </w:pPr>
    <w:r>
      <w:rPr>
        <w:rFonts w:ascii="Arial" w:hAnsi="Arial" w:cs="Arial"/>
        <w:b/>
        <w:sz w:val="22"/>
        <w:szCs w:val="22"/>
        <w:lang w:val="en-US"/>
      </w:rPr>
      <w:t>ITH/</w:t>
    </w:r>
    <w:r w:rsidR="00400C15">
      <w:rPr>
        <w:rFonts w:ascii="Arial" w:hAnsi="Arial" w:cs="Arial"/>
        <w:b/>
        <w:sz w:val="22"/>
        <w:szCs w:val="22"/>
        <w:lang w:val="en-US"/>
      </w:rPr>
      <w:t>16</w:t>
    </w:r>
    <w:r w:rsidR="00F4039C">
      <w:rPr>
        <w:rFonts w:ascii="Arial" w:hAnsi="Arial" w:cs="Arial"/>
        <w:b/>
        <w:sz w:val="22"/>
        <w:szCs w:val="22"/>
        <w:lang w:val="en-US"/>
      </w:rPr>
      <w:t>/</w:t>
    </w:r>
    <w:r w:rsidR="00400C15">
      <w:rPr>
        <w:rFonts w:ascii="Arial" w:hAnsi="Arial" w:cs="Arial"/>
        <w:b/>
        <w:sz w:val="22"/>
        <w:szCs w:val="22"/>
        <w:lang w:val="en-US"/>
      </w:rPr>
      <w:t>11</w:t>
    </w:r>
    <w:r w:rsidR="00F4039C">
      <w:rPr>
        <w:rFonts w:ascii="Arial" w:hAnsi="Arial" w:cs="Arial"/>
        <w:b/>
        <w:sz w:val="22"/>
        <w:szCs w:val="22"/>
        <w:lang w:val="en-US"/>
      </w:rPr>
      <w:t xml:space="preserve">.COM </w:t>
    </w:r>
    <w:r w:rsidR="00660780">
      <w:rPr>
        <w:rFonts w:ascii="Arial" w:hAnsi="Arial" w:cs="Arial"/>
        <w:b/>
        <w:sz w:val="22"/>
        <w:szCs w:val="22"/>
        <w:lang w:val="en-US"/>
      </w:rPr>
      <w:t>3</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p>
  <w:p w:rsidR="00A06B50" w:rsidRPr="007815A5" w:rsidRDefault="00A06B50" w:rsidP="004B3609">
    <w:pPr>
      <w:jc w:val="right"/>
      <w:rPr>
        <w:rFonts w:ascii="Arial" w:hAnsi="Arial" w:cs="Arial"/>
        <w:b/>
        <w:sz w:val="22"/>
        <w:szCs w:val="22"/>
        <w:lang w:val="en-US"/>
      </w:rPr>
    </w:pPr>
    <w:r w:rsidRPr="007815A5">
      <w:rPr>
        <w:rFonts w:ascii="Arial" w:hAnsi="Arial" w:cs="Arial"/>
        <w:b/>
        <w:sz w:val="22"/>
        <w:szCs w:val="22"/>
        <w:lang w:val="en-US"/>
      </w:rPr>
      <w:t xml:space="preserve">Paris, </w:t>
    </w:r>
    <w:r w:rsidR="00796D6B">
      <w:rPr>
        <w:rFonts w:ascii="Arial" w:hAnsi="Arial" w:cs="Arial"/>
        <w:b/>
        <w:sz w:val="22"/>
        <w:szCs w:val="22"/>
        <w:lang w:val="en-US"/>
      </w:rPr>
      <w:t>27</w:t>
    </w:r>
    <w:r w:rsidR="00D5392A">
      <w:rPr>
        <w:rFonts w:ascii="Arial" w:hAnsi="Arial" w:cs="Arial"/>
        <w:b/>
        <w:sz w:val="22"/>
        <w:szCs w:val="22"/>
        <w:lang w:val="en-US"/>
      </w:rPr>
      <w:t xml:space="preserve"> </w:t>
    </w:r>
    <w:r w:rsidR="00660780">
      <w:rPr>
        <w:rFonts w:ascii="Arial" w:hAnsi="Arial" w:cs="Arial"/>
        <w:b/>
        <w:sz w:val="22"/>
        <w:szCs w:val="22"/>
        <w:lang w:val="en-US"/>
      </w:rPr>
      <w:t>October</w:t>
    </w:r>
    <w:r w:rsidR="00400C15">
      <w:rPr>
        <w:rFonts w:ascii="Arial" w:hAnsi="Arial" w:cs="Arial"/>
        <w:b/>
        <w:sz w:val="22"/>
        <w:szCs w:val="22"/>
        <w:lang w:val="en-US"/>
      </w:rPr>
      <w:t xml:space="preserve"> 2016</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C2D4669"/>
    <w:multiLevelType w:val="hybridMultilevel"/>
    <w:tmpl w:val="A1D4E25C"/>
    <w:lvl w:ilvl="0" w:tplc="5F3625DC">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8"/>
  </w:num>
  <w:num w:numId="11">
    <w:abstractNumId w:val="5"/>
  </w:num>
  <w:num w:numId="12">
    <w:abstractNumId w:val="11"/>
  </w:num>
  <w:num w:numId="13">
    <w:abstractNumId w:val="7"/>
    <w:lvlOverride w:ilvl="0">
      <w:startOverride w:val="1"/>
    </w:lvlOverride>
  </w:num>
  <w:num w:numId="14">
    <w:abstractNumId w:val="7"/>
  </w:num>
  <w:num w:numId="15">
    <w:abstractNumId w:val="0"/>
  </w:num>
  <w:num w:numId="16">
    <w:abstractNumId w:val="10"/>
  </w:num>
  <w:num w:numId="17">
    <w:abstractNumId w:val="9"/>
  </w:num>
  <w:num w:numId="18">
    <w:abstractNumId w:val="7"/>
    <w:lvlOverride w:ilvl="0">
      <w:startOverride w:val="1"/>
    </w:lvlOverride>
  </w:num>
  <w:num w:numId="19">
    <w:abstractNumId w:val="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567"/>
  <w:hyphenationZone w:val="425"/>
  <w:evenAndOddHeaders/>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3D56"/>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167A"/>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3BC"/>
    <w:rsid w:val="00174C8B"/>
    <w:rsid w:val="001769C1"/>
    <w:rsid w:val="00184A99"/>
    <w:rsid w:val="00185A93"/>
    <w:rsid w:val="0018609E"/>
    <w:rsid w:val="00187D0D"/>
    <w:rsid w:val="001920D6"/>
    <w:rsid w:val="0019357D"/>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28E7"/>
    <w:rsid w:val="001E2ADD"/>
    <w:rsid w:val="001E56BE"/>
    <w:rsid w:val="001E7318"/>
    <w:rsid w:val="001F02CE"/>
    <w:rsid w:val="001F501C"/>
    <w:rsid w:val="001F5231"/>
    <w:rsid w:val="001F79D2"/>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46C0B"/>
    <w:rsid w:val="00356C0F"/>
    <w:rsid w:val="00361BED"/>
    <w:rsid w:val="0036245C"/>
    <w:rsid w:val="003633B1"/>
    <w:rsid w:val="00363F42"/>
    <w:rsid w:val="003646DB"/>
    <w:rsid w:val="003650A4"/>
    <w:rsid w:val="00367CC2"/>
    <w:rsid w:val="00372468"/>
    <w:rsid w:val="0037782C"/>
    <w:rsid w:val="0038148C"/>
    <w:rsid w:val="003952FB"/>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B7C"/>
    <w:rsid w:val="004112A8"/>
    <w:rsid w:val="00415FA1"/>
    <w:rsid w:val="00425C4A"/>
    <w:rsid w:val="00427A31"/>
    <w:rsid w:val="00427B06"/>
    <w:rsid w:val="004364D7"/>
    <w:rsid w:val="00436973"/>
    <w:rsid w:val="00436A3E"/>
    <w:rsid w:val="00437B81"/>
    <w:rsid w:val="00447546"/>
    <w:rsid w:val="00454565"/>
    <w:rsid w:val="004628C8"/>
    <w:rsid w:val="004632BA"/>
    <w:rsid w:val="00463976"/>
    <w:rsid w:val="004676E5"/>
    <w:rsid w:val="00470826"/>
    <w:rsid w:val="0047303A"/>
    <w:rsid w:val="00475560"/>
    <w:rsid w:val="004764D8"/>
    <w:rsid w:val="00476C58"/>
    <w:rsid w:val="00480B30"/>
    <w:rsid w:val="00480E55"/>
    <w:rsid w:val="004926B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1018E"/>
    <w:rsid w:val="00511CD8"/>
    <w:rsid w:val="00512CD2"/>
    <w:rsid w:val="00515E68"/>
    <w:rsid w:val="005206C4"/>
    <w:rsid w:val="00521BB2"/>
    <w:rsid w:val="00524A34"/>
    <w:rsid w:val="00524C55"/>
    <w:rsid w:val="00525910"/>
    <w:rsid w:val="005272AD"/>
    <w:rsid w:val="005275FB"/>
    <w:rsid w:val="00541EF5"/>
    <w:rsid w:val="00542033"/>
    <w:rsid w:val="00547B70"/>
    <w:rsid w:val="00547C90"/>
    <w:rsid w:val="005511BA"/>
    <w:rsid w:val="005522B4"/>
    <w:rsid w:val="00552B41"/>
    <w:rsid w:val="0055595D"/>
    <w:rsid w:val="00557E2F"/>
    <w:rsid w:val="00560085"/>
    <w:rsid w:val="00564DDB"/>
    <w:rsid w:val="00565BA9"/>
    <w:rsid w:val="00572187"/>
    <w:rsid w:val="0057403F"/>
    <w:rsid w:val="0057404F"/>
    <w:rsid w:val="00574638"/>
    <w:rsid w:val="00576583"/>
    <w:rsid w:val="00577679"/>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0780"/>
    <w:rsid w:val="00661B42"/>
    <w:rsid w:val="00665115"/>
    <w:rsid w:val="0067195B"/>
    <w:rsid w:val="006721B8"/>
    <w:rsid w:val="0067466A"/>
    <w:rsid w:val="00680610"/>
    <w:rsid w:val="00680738"/>
    <w:rsid w:val="00680847"/>
    <w:rsid w:val="00680C4B"/>
    <w:rsid w:val="00683936"/>
    <w:rsid w:val="00684BF3"/>
    <w:rsid w:val="00686933"/>
    <w:rsid w:val="00686CEA"/>
    <w:rsid w:val="00694452"/>
    <w:rsid w:val="0069620B"/>
    <w:rsid w:val="006A1A12"/>
    <w:rsid w:val="006A5BFD"/>
    <w:rsid w:val="006B0361"/>
    <w:rsid w:val="006B3943"/>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6D3C"/>
    <w:rsid w:val="007401FC"/>
    <w:rsid w:val="00743B44"/>
    <w:rsid w:val="00745849"/>
    <w:rsid w:val="00757953"/>
    <w:rsid w:val="00762F35"/>
    <w:rsid w:val="007713DD"/>
    <w:rsid w:val="00774B22"/>
    <w:rsid w:val="00775EDA"/>
    <w:rsid w:val="007815A5"/>
    <w:rsid w:val="00787DA9"/>
    <w:rsid w:val="0079520D"/>
    <w:rsid w:val="00796029"/>
    <w:rsid w:val="00796427"/>
    <w:rsid w:val="00796D6B"/>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2096A"/>
    <w:rsid w:val="008344EF"/>
    <w:rsid w:val="00834EFE"/>
    <w:rsid w:val="00835FA8"/>
    <w:rsid w:val="00843239"/>
    <w:rsid w:val="00850104"/>
    <w:rsid w:val="0085266D"/>
    <w:rsid w:val="00861F77"/>
    <w:rsid w:val="00865767"/>
    <w:rsid w:val="00866040"/>
    <w:rsid w:val="0086667B"/>
    <w:rsid w:val="008676B6"/>
    <w:rsid w:val="00871B66"/>
    <w:rsid w:val="008724E5"/>
    <w:rsid w:val="0088067D"/>
    <w:rsid w:val="00882E58"/>
    <w:rsid w:val="00891295"/>
    <w:rsid w:val="008A012F"/>
    <w:rsid w:val="008A168D"/>
    <w:rsid w:val="008A24F4"/>
    <w:rsid w:val="008A3CA8"/>
    <w:rsid w:val="008A4558"/>
    <w:rsid w:val="008A5969"/>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752A"/>
    <w:rsid w:val="009C3404"/>
    <w:rsid w:val="009D1107"/>
    <w:rsid w:val="009D270E"/>
    <w:rsid w:val="009D2EE4"/>
    <w:rsid w:val="009D7A64"/>
    <w:rsid w:val="009D7F6C"/>
    <w:rsid w:val="009E012B"/>
    <w:rsid w:val="009E33C1"/>
    <w:rsid w:val="009F1B6E"/>
    <w:rsid w:val="00A003EB"/>
    <w:rsid w:val="00A06B34"/>
    <w:rsid w:val="00A06B50"/>
    <w:rsid w:val="00A117AD"/>
    <w:rsid w:val="00A14311"/>
    <w:rsid w:val="00A156EC"/>
    <w:rsid w:val="00A16EA7"/>
    <w:rsid w:val="00A2501E"/>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0B4C"/>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777E"/>
    <w:rsid w:val="00C30375"/>
    <w:rsid w:val="00C3075F"/>
    <w:rsid w:val="00C30D2C"/>
    <w:rsid w:val="00C31BD8"/>
    <w:rsid w:val="00C33080"/>
    <w:rsid w:val="00C35759"/>
    <w:rsid w:val="00C35AEB"/>
    <w:rsid w:val="00C371B3"/>
    <w:rsid w:val="00C4020A"/>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3AA0"/>
    <w:rsid w:val="00CA23FD"/>
    <w:rsid w:val="00CA3327"/>
    <w:rsid w:val="00CA55E1"/>
    <w:rsid w:val="00CB149B"/>
    <w:rsid w:val="00CB260A"/>
    <w:rsid w:val="00CB306E"/>
    <w:rsid w:val="00CC0309"/>
    <w:rsid w:val="00CC5C77"/>
    <w:rsid w:val="00CC6967"/>
    <w:rsid w:val="00CD0BED"/>
    <w:rsid w:val="00CD455B"/>
    <w:rsid w:val="00CE1056"/>
    <w:rsid w:val="00CE3FF1"/>
    <w:rsid w:val="00CF1026"/>
    <w:rsid w:val="00D000AB"/>
    <w:rsid w:val="00D00939"/>
    <w:rsid w:val="00D019E2"/>
    <w:rsid w:val="00D046B6"/>
    <w:rsid w:val="00D05E67"/>
    <w:rsid w:val="00D07631"/>
    <w:rsid w:val="00D102E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4044"/>
    <w:rsid w:val="00DB4B5D"/>
    <w:rsid w:val="00DB5131"/>
    <w:rsid w:val="00DB7324"/>
    <w:rsid w:val="00DC0641"/>
    <w:rsid w:val="00DC0B9D"/>
    <w:rsid w:val="00DC2DAE"/>
    <w:rsid w:val="00DD3581"/>
    <w:rsid w:val="00DD36D8"/>
    <w:rsid w:val="00DD654D"/>
    <w:rsid w:val="00DD6722"/>
    <w:rsid w:val="00DE34FC"/>
    <w:rsid w:val="00DE4E0B"/>
    <w:rsid w:val="00DE614E"/>
    <w:rsid w:val="00DE7AA3"/>
    <w:rsid w:val="00DF28AF"/>
    <w:rsid w:val="00DF3CF0"/>
    <w:rsid w:val="00DF564F"/>
    <w:rsid w:val="00DF5AC1"/>
    <w:rsid w:val="00E131EE"/>
    <w:rsid w:val="00E14437"/>
    <w:rsid w:val="00E20A40"/>
    <w:rsid w:val="00E264F9"/>
    <w:rsid w:val="00E2681C"/>
    <w:rsid w:val="00E2698B"/>
    <w:rsid w:val="00E26C8E"/>
    <w:rsid w:val="00E33A55"/>
    <w:rsid w:val="00E33F8E"/>
    <w:rsid w:val="00E41AF5"/>
    <w:rsid w:val="00E44379"/>
    <w:rsid w:val="00E469F1"/>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7C02"/>
    <w:rsid w:val="00F61DDB"/>
    <w:rsid w:val="00F623EB"/>
    <w:rsid w:val="00F65224"/>
    <w:rsid w:val="00F66657"/>
    <w:rsid w:val="00F718D3"/>
    <w:rsid w:val="00F7577A"/>
    <w:rsid w:val="00F774D0"/>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6BAD"/>
    <w:rsid w:val="00FB74B1"/>
    <w:rsid w:val="00FC5F87"/>
    <w:rsid w:val="00FC7BE3"/>
    <w:rsid w:val="00FD5061"/>
    <w:rsid w:val="00FD624F"/>
    <w:rsid w:val="00FD6377"/>
    <w:rsid w:val="00FD7470"/>
    <w:rsid w:val="00FD7814"/>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F27E3B1"/>
  <w15:docId w15:val="{5E7A1568-DD85-4C8E-AA1B-46AB4D35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numPr>
        <w:numId w:val="6"/>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8341-C8DD-4EEC-A8AD-9E688449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5375</Words>
  <Characters>29563</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Constantinou, Elena</cp:lastModifiedBy>
  <cp:revision>11</cp:revision>
  <cp:lastPrinted>2013-10-16T09:01:00Z</cp:lastPrinted>
  <dcterms:created xsi:type="dcterms:W3CDTF">2016-06-21T11:53:00Z</dcterms:created>
  <dcterms:modified xsi:type="dcterms:W3CDTF">2016-10-27T09:27:00Z</dcterms:modified>
</cp:coreProperties>
</file>