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DEB3" w14:textId="77777777" w:rsidR="005976A8" w:rsidRPr="00B65CBC" w:rsidRDefault="005976A8" w:rsidP="005976A8">
      <w:pPr>
        <w:spacing w:before="1240"/>
        <w:jc w:val="center"/>
        <w:rPr>
          <w:rFonts w:ascii="Arial" w:hAnsi="Arial" w:cs="Arial"/>
          <w:b/>
          <w:sz w:val="22"/>
          <w:szCs w:val="22"/>
          <w:lang w:val="fr-FR"/>
        </w:rPr>
      </w:pPr>
      <w:r w:rsidRPr="00B65CBC">
        <w:rPr>
          <w:rFonts w:ascii="Arial" w:hAnsi="Arial" w:cs="Arial"/>
          <w:b/>
          <w:sz w:val="22"/>
          <w:szCs w:val="22"/>
          <w:lang w:val="fr-FR"/>
        </w:rPr>
        <w:t>CONVENTION POUR LA SAUVEGARDE DU</w:t>
      </w:r>
      <w:r w:rsidRPr="00B65CBC">
        <w:rPr>
          <w:rFonts w:ascii="Arial" w:hAnsi="Arial" w:cs="Arial"/>
          <w:b/>
          <w:sz w:val="22"/>
          <w:szCs w:val="22"/>
          <w:lang w:val="fr-FR"/>
        </w:rPr>
        <w:br/>
        <w:t>PATRIMOINE CULTUREL IMMATÉRIEL</w:t>
      </w:r>
    </w:p>
    <w:p w14:paraId="591F75EE" w14:textId="77777777" w:rsidR="005976A8" w:rsidRPr="00B65CBC" w:rsidRDefault="005976A8" w:rsidP="005976A8">
      <w:pPr>
        <w:spacing w:before="1200"/>
        <w:jc w:val="center"/>
        <w:rPr>
          <w:rFonts w:ascii="Arial" w:hAnsi="Arial" w:cs="Arial"/>
          <w:b/>
          <w:sz w:val="22"/>
          <w:szCs w:val="22"/>
          <w:lang w:val="fr-FR"/>
        </w:rPr>
      </w:pPr>
      <w:r w:rsidRPr="00B65CBC">
        <w:rPr>
          <w:rFonts w:ascii="Arial" w:hAnsi="Arial" w:cs="Arial"/>
          <w:b/>
          <w:sz w:val="22"/>
          <w:szCs w:val="22"/>
          <w:lang w:val="fr-FR"/>
        </w:rPr>
        <w:t>COMITÉ INTERGOUVERNEMENTAL DE SAUVEGARDE</w:t>
      </w:r>
      <w:r w:rsidRPr="00B65CBC">
        <w:rPr>
          <w:rFonts w:ascii="Arial" w:hAnsi="Arial" w:cs="Arial"/>
          <w:b/>
          <w:sz w:val="22"/>
          <w:szCs w:val="22"/>
          <w:lang w:val="fr-FR"/>
        </w:rPr>
        <w:br/>
        <w:t xml:space="preserve">DU PATRIMOINE CULTUREL IMMATÉRIEL </w:t>
      </w:r>
    </w:p>
    <w:p w14:paraId="6562FC3E" w14:textId="1969B9C1" w:rsidR="00DC2DAE" w:rsidRPr="00B65CBC" w:rsidRDefault="0048770E" w:rsidP="0051717D">
      <w:pPr>
        <w:spacing w:before="840"/>
        <w:jc w:val="center"/>
        <w:rPr>
          <w:rFonts w:ascii="Arial" w:hAnsi="Arial" w:cs="Arial"/>
          <w:b/>
          <w:sz w:val="22"/>
          <w:szCs w:val="22"/>
          <w:lang w:val="fr-FR"/>
        </w:rPr>
      </w:pPr>
      <w:r w:rsidRPr="00B65CBC">
        <w:rPr>
          <w:rFonts w:ascii="Arial" w:hAnsi="Arial" w:cs="Arial"/>
          <w:b/>
          <w:sz w:val="22"/>
          <w:szCs w:val="22"/>
          <w:lang w:val="fr-FR"/>
        </w:rPr>
        <w:t>Consultation du Bureau par voie électronique</w:t>
      </w:r>
    </w:p>
    <w:p w14:paraId="2173B16A" w14:textId="29ABEEDA" w:rsidR="00DC2DAE" w:rsidRPr="00B65CBC" w:rsidRDefault="00A8175F" w:rsidP="0051717D">
      <w:pPr>
        <w:jc w:val="center"/>
        <w:rPr>
          <w:rFonts w:ascii="Arial" w:hAnsi="Arial" w:cs="Arial"/>
          <w:b/>
          <w:sz w:val="22"/>
          <w:szCs w:val="22"/>
          <w:lang w:val="fr-FR"/>
        </w:rPr>
      </w:pPr>
      <w:r>
        <w:rPr>
          <w:rFonts w:ascii="Arial" w:hAnsi="Arial" w:cs="Arial"/>
          <w:b/>
          <w:sz w:val="22"/>
          <w:szCs w:val="22"/>
          <w:lang w:val="fr-FR"/>
        </w:rPr>
        <w:t>2 juillet 2013</w:t>
      </w:r>
      <w:bookmarkStart w:id="0" w:name="_GoBack"/>
      <w:bookmarkEnd w:id="0"/>
    </w:p>
    <w:p w14:paraId="6E69EFA5" w14:textId="58C3B731" w:rsidR="00987083" w:rsidRPr="00B65CBC" w:rsidRDefault="005976A8" w:rsidP="0051717D">
      <w:pPr>
        <w:pStyle w:val="NoSpacing"/>
        <w:spacing w:before="1000" w:after="800"/>
        <w:jc w:val="center"/>
        <w:rPr>
          <w:rFonts w:ascii="Arial" w:eastAsia="SimSun" w:hAnsi="Arial" w:cs="Arial"/>
          <w:b/>
          <w:bCs/>
          <w:i/>
          <w:color w:val="808080" w:themeColor="background1" w:themeShade="80"/>
          <w:sz w:val="22"/>
          <w:szCs w:val="22"/>
          <w:lang w:eastAsia="zh-CN"/>
        </w:rPr>
      </w:pPr>
      <w:r w:rsidRPr="00B65CBC">
        <w:rPr>
          <w:rFonts w:ascii="Arial" w:eastAsia="SimSun" w:hAnsi="Arial" w:cs="Arial"/>
          <w:b/>
          <w:bCs/>
          <w:sz w:val="22"/>
          <w:szCs w:val="22"/>
          <w:u w:val="single"/>
          <w:lang w:eastAsia="zh-CN"/>
        </w:rPr>
        <w:t>Point 1 de l</w:t>
      </w:r>
      <w:r w:rsidR="00DA4D2A" w:rsidRPr="00B65CBC">
        <w:rPr>
          <w:rFonts w:ascii="Arial" w:eastAsia="SimSun" w:hAnsi="Arial" w:cs="Arial"/>
          <w:b/>
          <w:bCs/>
          <w:sz w:val="22"/>
          <w:szCs w:val="22"/>
          <w:u w:val="single"/>
          <w:lang w:eastAsia="zh-CN"/>
        </w:rPr>
        <w:t>’</w:t>
      </w:r>
      <w:r w:rsidRPr="00B65CBC">
        <w:rPr>
          <w:rFonts w:ascii="Arial" w:eastAsia="SimSun" w:hAnsi="Arial" w:cs="Arial"/>
          <w:b/>
          <w:bCs/>
          <w:sz w:val="22"/>
          <w:szCs w:val="22"/>
          <w:u w:val="single"/>
          <w:lang w:eastAsia="zh-CN"/>
        </w:rPr>
        <w:t>ordre du jour</w:t>
      </w:r>
      <w:r w:rsidR="004364D7" w:rsidRPr="00B65CBC">
        <w:rPr>
          <w:rFonts w:ascii="Arial" w:eastAsia="SimSun" w:hAnsi="Arial" w:cs="Arial"/>
          <w:b/>
          <w:bCs/>
          <w:sz w:val="22"/>
          <w:szCs w:val="22"/>
          <w:lang w:eastAsia="zh-CN"/>
        </w:rPr>
        <w:t>:</w:t>
      </w:r>
      <w:r w:rsidR="004364D7" w:rsidRPr="00B65CBC">
        <w:rPr>
          <w:rFonts w:ascii="Arial" w:eastAsia="SimSun" w:hAnsi="Arial" w:cs="Arial"/>
          <w:b/>
          <w:bCs/>
          <w:sz w:val="22"/>
          <w:szCs w:val="22"/>
          <w:lang w:eastAsia="zh-CN"/>
        </w:rPr>
        <w:br/>
      </w:r>
      <w:r w:rsidRPr="00B65CBC">
        <w:rPr>
          <w:rFonts w:ascii="Arial" w:eastAsia="SimSun" w:hAnsi="Arial" w:cs="Arial"/>
          <w:b/>
          <w:bCs/>
          <w:sz w:val="22"/>
          <w:szCs w:val="22"/>
          <w:lang w:eastAsia="zh-CN"/>
        </w:rPr>
        <w:t>Utilisation des fonds alloués aux « autres fonctions du Comité » dans le cadre du</w:t>
      </w:r>
      <w:r w:rsidRPr="00B65CBC">
        <w:rPr>
          <w:rFonts w:ascii="Arial" w:eastAsia="SimSun" w:hAnsi="Arial" w:cs="Arial"/>
          <w:b/>
          <w:bCs/>
          <w:sz w:val="22"/>
          <w:szCs w:val="22"/>
          <w:lang w:eastAsia="zh-CN"/>
        </w:rPr>
        <w:br/>
        <w:t>Plan pour l</w:t>
      </w:r>
      <w:r w:rsidR="00DA4D2A" w:rsidRPr="00B65CBC">
        <w:rPr>
          <w:rFonts w:ascii="Arial" w:eastAsia="SimSun" w:hAnsi="Arial" w:cs="Arial"/>
          <w:b/>
          <w:bCs/>
          <w:sz w:val="22"/>
          <w:szCs w:val="22"/>
          <w:lang w:eastAsia="zh-CN"/>
        </w:rPr>
        <w:t>’</w:t>
      </w:r>
      <w:r w:rsidRPr="00B65CBC">
        <w:rPr>
          <w:rFonts w:ascii="Arial" w:eastAsia="SimSun" w:hAnsi="Arial" w:cs="Arial"/>
          <w:b/>
          <w:bCs/>
          <w:sz w:val="22"/>
          <w:szCs w:val="22"/>
          <w:lang w:eastAsia="zh-CN"/>
        </w:rPr>
        <w:t>utilisation des ressources du Fonds du patrimoine culturel immatériel</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6C3FFC" w:rsidRPr="00B65CBC" w14:paraId="0422F489" w14:textId="77777777">
        <w:trPr>
          <w:jc w:val="center"/>
        </w:trPr>
        <w:tc>
          <w:tcPr>
            <w:tcW w:w="6097" w:type="dxa"/>
            <w:vAlign w:val="center"/>
          </w:tcPr>
          <w:p w14:paraId="6A61E8BB" w14:textId="77777777" w:rsidR="0048770E" w:rsidRPr="00B65CBC" w:rsidRDefault="0048770E" w:rsidP="0048770E">
            <w:pPr>
              <w:pStyle w:val="NoSpacing"/>
              <w:spacing w:before="120" w:after="120"/>
              <w:jc w:val="center"/>
              <w:rPr>
                <w:rFonts w:ascii="Arial" w:hAnsi="Arial" w:cs="Arial"/>
                <w:b/>
                <w:sz w:val="22"/>
                <w:szCs w:val="22"/>
              </w:rPr>
            </w:pPr>
            <w:r w:rsidRPr="00B65CBC">
              <w:rPr>
                <w:rFonts w:ascii="Arial" w:hAnsi="Arial" w:cs="Arial"/>
                <w:b/>
                <w:sz w:val="22"/>
                <w:szCs w:val="22"/>
              </w:rPr>
              <w:t>Résumé</w:t>
            </w:r>
          </w:p>
          <w:p w14:paraId="02FE82BF" w14:textId="32906162" w:rsidR="0048770E" w:rsidRPr="00B65CBC" w:rsidRDefault="0048770E" w:rsidP="0048770E">
            <w:pPr>
              <w:pStyle w:val="NoSpacing"/>
              <w:spacing w:before="120" w:after="120"/>
              <w:jc w:val="both"/>
              <w:rPr>
                <w:rFonts w:ascii="Arial" w:hAnsi="Arial" w:cs="Arial"/>
                <w:sz w:val="22"/>
                <w:szCs w:val="22"/>
              </w:rPr>
            </w:pPr>
            <w:r w:rsidRPr="00B65CBC">
              <w:rPr>
                <w:rFonts w:ascii="Arial" w:hAnsi="Arial" w:cs="Arial"/>
                <w:sz w:val="22"/>
                <w:szCs w:val="22"/>
              </w:rPr>
              <w:t>Le Plan pour l</w:t>
            </w:r>
            <w:r w:rsidR="00DA4D2A" w:rsidRPr="00B65CBC">
              <w:rPr>
                <w:rFonts w:ascii="Arial" w:hAnsi="Arial" w:cs="Arial"/>
                <w:sz w:val="22"/>
                <w:szCs w:val="22"/>
              </w:rPr>
              <w:t>’</w:t>
            </w:r>
            <w:r w:rsidRPr="00B65CBC">
              <w:rPr>
                <w:rFonts w:ascii="Arial" w:hAnsi="Arial" w:cs="Arial"/>
                <w:sz w:val="22"/>
                <w:szCs w:val="22"/>
              </w:rPr>
              <w:t>utilisation des ressources du Fonds du patrimoine culturel immatériel, approuvé par l</w:t>
            </w:r>
            <w:r w:rsidR="00DA4D2A" w:rsidRPr="00B65CBC">
              <w:rPr>
                <w:rFonts w:ascii="Arial" w:hAnsi="Arial" w:cs="Arial"/>
                <w:sz w:val="22"/>
                <w:szCs w:val="22"/>
              </w:rPr>
              <w:t>’</w:t>
            </w:r>
            <w:r w:rsidRPr="00B65CBC">
              <w:rPr>
                <w:rFonts w:ascii="Arial" w:hAnsi="Arial" w:cs="Arial"/>
                <w:sz w:val="22"/>
                <w:szCs w:val="22"/>
              </w:rPr>
              <w:t>Assemblée générale pour la période du 1</w:t>
            </w:r>
            <w:r w:rsidRPr="00B65CBC">
              <w:rPr>
                <w:rFonts w:ascii="Arial" w:hAnsi="Arial" w:cs="Arial"/>
                <w:sz w:val="22"/>
                <w:szCs w:val="22"/>
                <w:vertAlign w:val="superscript"/>
              </w:rPr>
              <w:t>er</w:t>
            </w:r>
            <w:r w:rsidRPr="00B65CBC">
              <w:rPr>
                <w:rFonts w:ascii="Arial" w:hAnsi="Arial" w:cs="Arial"/>
                <w:sz w:val="22"/>
                <w:szCs w:val="22"/>
              </w:rPr>
              <w:t> janvier 2012 au 31 décembre 2013 prévoit que 18 % des ressources soit allouées aux « autres fonctions du Comité » telles que décrites à l</w:t>
            </w:r>
            <w:r w:rsidR="00DA4D2A" w:rsidRPr="00B65CBC">
              <w:rPr>
                <w:rFonts w:ascii="Arial" w:hAnsi="Arial" w:cs="Arial"/>
                <w:sz w:val="22"/>
                <w:szCs w:val="22"/>
              </w:rPr>
              <w:t>’</w:t>
            </w:r>
            <w:r w:rsidRPr="00B65CBC">
              <w:rPr>
                <w:rFonts w:ascii="Arial" w:hAnsi="Arial" w:cs="Arial"/>
                <w:sz w:val="22"/>
                <w:szCs w:val="22"/>
              </w:rPr>
              <w:t xml:space="preserve">article 7 de la Convention et dans les Directives opérationnelles. </w:t>
            </w:r>
          </w:p>
          <w:p w14:paraId="4AAB5CBC" w14:textId="31DB6C57" w:rsidR="0054162C" w:rsidRPr="00B65CBC" w:rsidRDefault="0048770E" w:rsidP="0051717D">
            <w:pPr>
              <w:pStyle w:val="NoSpacing"/>
              <w:spacing w:before="120" w:after="120"/>
              <w:jc w:val="both"/>
              <w:rPr>
                <w:rFonts w:ascii="Arial" w:hAnsi="Arial" w:cs="Arial"/>
                <w:sz w:val="22"/>
                <w:szCs w:val="22"/>
              </w:rPr>
            </w:pPr>
            <w:r w:rsidRPr="00B65CBC">
              <w:rPr>
                <w:rFonts w:ascii="Arial" w:hAnsi="Arial" w:cs="Arial"/>
                <w:sz w:val="22"/>
                <w:szCs w:val="22"/>
              </w:rPr>
              <w:t>Le présent document présente une proposition révisée pour l</w:t>
            </w:r>
            <w:r w:rsidR="00DA4D2A" w:rsidRPr="00B65CBC">
              <w:rPr>
                <w:rFonts w:ascii="Arial" w:hAnsi="Arial" w:cs="Arial"/>
                <w:sz w:val="22"/>
                <w:szCs w:val="22"/>
              </w:rPr>
              <w:t>’</w:t>
            </w:r>
            <w:r w:rsidRPr="00B65CBC">
              <w:rPr>
                <w:rFonts w:ascii="Arial" w:hAnsi="Arial" w:cs="Arial"/>
                <w:sz w:val="22"/>
                <w:szCs w:val="22"/>
              </w:rPr>
              <w:t>utilisation de ces fonds, préparée par le Secrétariat pour cette période.</w:t>
            </w:r>
            <w:r w:rsidR="0054162C" w:rsidRPr="00B65CBC">
              <w:rPr>
                <w:rFonts w:ascii="Arial" w:hAnsi="Arial" w:cs="Arial"/>
                <w:sz w:val="22"/>
                <w:szCs w:val="22"/>
              </w:rPr>
              <w:t xml:space="preserve"> </w:t>
            </w:r>
          </w:p>
          <w:p w14:paraId="2B11798E" w14:textId="54DC5D0D" w:rsidR="0054162C" w:rsidRPr="00B65CBC" w:rsidRDefault="0048770E" w:rsidP="0051717D">
            <w:pPr>
              <w:pStyle w:val="NoSpacing"/>
              <w:spacing w:before="120" w:after="120"/>
              <w:jc w:val="both"/>
              <w:rPr>
                <w:rFonts w:ascii="Arial" w:hAnsi="Arial" w:cs="Arial"/>
                <w:sz w:val="22"/>
                <w:szCs w:val="22"/>
              </w:rPr>
            </w:pPr>
            <w:r w:rsidRPr="00B65CBC">
              <w:rPr>
                <w:rFonts w:ascii="Arial" w:hAnsi="Arial" w:cs="Arial"/>
                <w:sz w:val="22"/>
                <w:szCs w:val="22"/>
              </w:rPr>
              <w:t>Exerçant les pouvoirs qui lui sont délégués par le Comité, le Bureau est invité à décider de l</w:t>
            </w:r>
            <w:r w:rsidR="00DA4D2A" w:rsidRPr="00B65CBC">
              <w:rPr>
                <w:rFonts w:ascii="Arial" w:hAnsi="Arial" w:cs="Arial"/>
                <w:sz w:val="22"/>
                <w:szCs w:val="22"/>
              </w:rPr>
              <w:t>’</w:t>
            </w:r>
            <w:r w:rsidRPr="00B65CBC">
              <w:rPr>
                <w:rFonts w:ascii="Arial" w:hAnsi="Arial" w:cs="Arial"/>
                <w:sz w:val="22"/>
                <w:szCs w:val="22"/>
              </w:rPr>
              <w:t>utilisation des fonds alloués au titre de cette catégorie sur la base de cette proposition spécifique. Le Bureau est invité à prendre sa décision par le biais d</w:t>
            </w:r>
            <w:r w:rsidR="00DA4D2A" w:rsidRPr="00B65CBC">
              <w:rPr>
                <w:rFonts w:ascii="Arial" w:hAnsi="Arial" w:cs="Arial"/>
                <w:sz w:val="22"/>
                <w:szCs w:val="22"/>
              </w:rPr>
              <w:t>’</w:t>
            </w:r>
            <w:r w:rsidRPr="00B65CBC">
              <w:rPr>
                <w:rFonts w:ascii="Arial" w:hAnsi="Arial" w:cs="Arial"/>
                <w:sz w:val="22"/>
                <w:szCs w:val="22"/>
              </w:rPr>
              <w:t>une consultation par voie électronique.</w:t>
            </w:r>
          </w:p>
          <w:p w14:paraId="58710D95" w14:textId="61EC534A" w:rsidR="006C3FFC" w:rsidRPr="00B65CBC" w:rsidRDefault="0048770E" w:rsidP="000B2DDA">
            <w:pPr>
              <w:pStyle w:val="NoSpacing"/>
              <w:spacing w:before="120" w:after="120"/>
              <w:jc w:val="both"/>
              <w:rPr>
                <w:rFonts w:ascii="Arial" w:hAnsi="Arial" w:cs="Arial"/>
                <w:b/>
                <w:i/>
                <w:sz w:val="22"/>
                <w:szCs w:val="22"/>
              </w:rPr>
            </w:pPr>
            <w:r w:rsidRPr="00B65CBC">
              <w:rPr>
                <w:rFonts w:ascii="Arial" w:hAnsi="Arial" w:cs="Arial"/>
                <w:b/>
                <w:sz w:val="22"/>
                <w:szCs w:val="22"/>
              </w:rPr>
              <w:t>Décision requise :</w:t>
            </w:r>
            <w:r w:rsidR="000B2DDA" w:rsidRPr="00B65CBC">
              <w:rPr>
                <w:rFonts w:ascii="Arial" w:hAnsi="Arial" w:cs="Arial"/>
                <w:b/>
                <w:sz w:val="22"/>
                <w:szCs w:val="22"/>
              </w:rPr>
              <w:t xml:space="preserve"> </w:t>
            </w:r>
            <w:r w:rsidR="0054162C" w:rsidRPr="00B65CBC">
              <w:rPr>
                <w:rFonts w:ascii="Arial" w:hAnsi="Arial" w:cs="Arial"/>
                <w:sz w:val="22"/>
                <w:szCs w:val="22"/>
              </w:rPr>
              <w:t>paragraph</w:t>
            </w:r>
            <w:r w:rsidRPr="00B65CBC">
              <w:rPr>
                <w:rFonts w:ascii="Arial" w:hAnsi="Arial" w:cs="Arial"/>
                <w:sz w:val="22"/>
                <w:szCs w:val="22"/>
              </w:rPr>
              <w:t>e</w:t>
            </w:r>
            <w:r w:rsidR="0054162C" w:rsidRPr="00B65CBC">
              <w:rPr>
                <w:rFonts w:ascii="Arial" w:hAnsi="Arial" w:cs="Arial"/>
                <w:bCs/>
                <w:i/>
                <w:color w:val="808080" w:themeColor="background1" w:themeShade="80"/>
                <w:sz w:val="22"/>
                <w:szCs w:val="22"/>
              </w:rPr>
              <w:t> </w:t>
            </w:r>
            <w:r w:rsidR="00556F25" w:rsidRPr="00B65CBC">
              <w:rPr>
                <w:rFonts w:ascii="Arial" w:hAnsi="Arial" w:cs="Arial"/>
                <w:sz w:val="22"/>
                <w:szCs w:val="22"/>
              </w:rPr>
              <w:t>20</w:t>
            </w:r>
          </w:p>
        </w:tc>
      </w:tr>
    </w:tbl>
    <w:p w14:paraId="7C91DBCD" w14:textId="7D9A1E65" w:rsidR="006A0426" w:rsidRPr="00B65CBC" w:rsidRDefault="00B65CBC" w:rsidP="00B65CBC">
      <w:pPr>
        <w:pStyle w:val="Heading1"/>
      </w:pPr>
      <w:r>
        <w:lastRenderedPageBreak/>
        <w:t>Introduction</w:t>
      </w:r>
    </w:p>
    <w:p w14:paraId="1D21334A" w14:textId="2CCA5B0F" w:rsidR="009F0AFD" w:rsidRPr="00B65CBC" w:rsidRDefault="009F0AFD" w:rsidP="00B65CBC">
      <w:pPr>
        <w:pStyle w:val="Paragraph"/>
      </w:pPr>
      <w:r w:rsidRPr="00B65CBC">
        <w:t>Le Plan d</w:t>
      </w:r>
      <w:r w:rsidR="00DA4D2A" w:rsidRPr="00B65CBC">
        <w:t>’</w:t>
      </w:r>
      <w:r w:rsidRPr="00B65CBC">
        <w:t>utilisation des ressources du Fonds du patrimoine culturel immatériel et le plan budgétaire adoptés par l</w:t>
      </w:r>
      <w:r w:rsidR="00DA4D2A" w:rsidRPr="00B65CBC">
        <w:t>’</w:t>
      </w:r>
      <w:r w:rsidRPr="00B65CBC">
        <w:t>Assemblée générale à sa quatrième session (résolution 4.GA 7), allouent 18 % du montant total aux « autres fonctions du Comité » telles que décrites à l</w:t>
      </w:r>
      <w:r w:rsidR="00DA4D2A" w:rsidRPr="00B65CBC">
        <w:t>’</w:t>
      </w:r>
      <w:r w:rsidRPr="00B65CBC">
        <w:t>article 7 de la Convention et dans les Directives opérationnelles.</w:t>
      </w:r>
      <w:r w:rsidR="00236D40" w:rsidRPr="00B65CBC">
        <w:t xml:space="preserve"> </w:t>
      </w:r>
      <w:r w:rsidRPr="00B65CBC">
        <w:t xml:space="preserve">Ces « autres fonctions » visent plus particulièrement à promouvoir les objectifs de la Convention, encourager et assurer le suivi de sa mise en œuvre </w:t>
      </w:r>
      <w:r w:rsidR="004F0F2B" w:rsidRPr="00B65CBC">
        <w:t xml:space="preserve">à travers le </w:t>
      </w:r>
      <w:r w:rsidRPr="00B65CBC">
        <w:t xml:space="preserve">renforcement des capacités des institutions et des communautés pour </w:t>
      </w:r>
      <w:r w:rsidR="004F0F2B" w:rsidRPr="00B65CBC">
        <w:t xml:space="preserve">une </w:t>
      </w:r>
      <w:r w:rsidRPr="00B65CBC">
        <w:t>sauvegarde efficace du patrimoine culturel immatériel, la sensibilisation à ce patrimoine et à son importance et la diffusion d</w:t>
      </w:r>
      <w:r w:rsidR="00DA4D2A" w:rsidRPr="00B65CBC">
        <w:t>’</w:t>
      </w:r>
      <w:r w:rsidRPr="00B65CBC">
        <w:t xml:space="preserve">information sur les meilleures pratiques de sauvegarde. </w:t>
      </w:r>
    </w:p>
    <w:p w14:paraId="222B378D" w14:textId="516C79C8" w:rsidR="00C9447D" w:rsidRPr="00B65CBC" w:rsidRDefault="00C9447D" w:rsidP="00B65CBC">
      <w:pPr>
        <w:pStyle w:val="Paragraph"/>
      </w:pPr>
      <w:r w:rsidRPr="00B65CBC">
        <w:t>Le montant total alloué pour cet exercice biennal (du 1er janvier 2012 au 31 décembre 2013) aux « autres fonctions du Comité » est de 1 107 811 dollars des États-Unis. Dans sa décision 6.COM 20, le Comité a décidé de continuer avec le mécanisme mis en place lors des sessions précédentes pour l</w:t>
      </w:r>
      <w:r w:rsidR="00DA4D2A" w:rsidRPr="00B65CBC">
        <w:t>’</w:t>
      </w:r>
      <w:r w:rsidRPr="00B65CBC">
        <w:t>autorisation des dépenses dans cette catégorie. Dans cette décision, le Comité « délègue à son Bureau l</w:t>
      </w:r>
      <w:r w:rsidR="00DA4D2A" w:rsidRPr="00B65CBC">
        <w:t>’</w:t>
      </w:r>
      <w:r w:rsidRPr="00B65CBC">
        <w:t>autorité de décider de l</w:t>
      </w:r>
      <w:r w:rsidR="00DA4D2A" w:rsidRPr="00B65CBC">
        <w:t>’</w:t>
      </w:r>
      <w:r w:rsidRPr="00B65CBC">
        <w:t>utilisation des fonds alloués au titre du point 3 du Plan, sur la base de propositions spécifiques préparées par le Secrétariat ».</w:t>
      </w:r>
    </w:p>
    <w:p w14:paraId="2AB39E6B" w14:textId="2693ABA1" w:rsidR="00C9447D" w:rsidRPr="00B65CBC" w:rsidRDefault="00C9447D" w:rsidP="00B65CBC">
      <w:pPr>
        <w:pStyle w:val="Paragraph"/>
      </w:pPr>
      <w:r w:rsidRPr="00B65CBC">
        <w:t>Le Bureau a précédemment approuvé trois plans de dépenses pour les fonds de 2012-2013. Dans sa décision 6.COM 2.BUR 4, le Bureau a approuvé un montant de 210 663 dollars des États-Unis pour utilisation au cours de la période du 1</w:t>
      </w:r>
      <w:r w:rsidRPr="00B65CBC">
        <w:rPr>
          <w:vertAlign w:val="superscript"/>
        </w:rPr>
        <w:t>er</w:t>
      </w:r>
      <w:r w:rsidRPr="00B65CBC">
        <w:t> janvier au 30 juin 2012. En juillet 2012, à la suite de la quatrième session de l</w:t>
      </w:r>
      <w:r w:rsidR="00DA4D2A" w:rsidRPr="00B65CBC">
        <w:t>’</w:t>
      </w:r>
      <w:r w:rsidRPr="00B65CBC">
        <w:t xml:space="preserve">Assemblée générale, le Bureau a approuvé un deuxième plan de dépenses pour un montant </w:t>
      </w:r>
      <w:r w:rsidR="004F0F2B" w:rsidRPr="00B65CBC">
        <w:t xml:space="preserve">supplémentaire </w:t>
      </w:r>
      <w:r w:rsidRPr="00B65CBC">
        <w:t>de 594 000 dollars des États-Unis (décision 7.COM 3.BUR 5). Ce deuxième plan a été remplacé en novembre 2012 quand le Bureau a approuvé un plan de dépenses révisé d</w:t>
      </w:r>
      <w:r w:rsidR="00DA4D2A" w:rsidRPr="00B65CBC">
        <w:t>’</w:t>
      </w:r>
      <w:r w:rsidRPr="00B65CBC">
        <w:t xml:space="preserve">un montant de 767 250 dollars des États-Unis (décision 7.COM 5 .BUR 5). </w:t>
      </w:r>
      <w:r w:rsidR="004F0F2B" w:rsidRPr="00B65CBC">
        <w:t>À</w:t>
      </w:r>
      <w:r w:rsidRPr="00B65CBC">
        <w:t xml:space="preserve"> ce jour, le Bureau </w:t>
      </w:r>
      <w:r w:rsidR="0004532B" w:rsidRPr="00B65CBC">
        <w:t xml:space="preserve">a par conséquent approuvé </w:t>
      </w:r>
      <w:r w:rsidR="004F0F2B" w:rsidRPr="00B65CBC">
        <w:t>des à hauteur</w:t>
      </w:r>
      <w:r w:rsidR="0004532B" w:rsidRPr="00B65CBC">
        <w:t xml:space="preserve"> de 977 913 dollars des </w:t>
      </w:r>
      <w:r w:rsidR="00E004A7" w:rsidRPr="00B65CBC">
        <w:t>É</w:t>
      </w:r>
      <w:r w:rsidR="0004532B" w:rsidRPr="00B65CBC">
        <w:t xml:space="preserve">tats-Unis (le total des plans un et trois), avec un solde restant de 129 898 dollars des </w:t>
      </w:r>
      <w:r w:rsidR="00E004A7" w:rsidRPr="00B65CBC">
        <w:t>É</w:t>
      </w:r>
      <w:r w:rsidR="0004532B" w:rsidRPr="00B65CBC">
        <w:t>tats-Unis. L</w:t>
      </w:r>
      <w:r w:rsidR="00292901" w:rsidRPr="00B65CBC">
        <w:t>a</w:t>
      </w:r>
      <w:r w:rsidR="0004532B" w:rsidRPr="00B65CBC">
        <w:t xml:space="preserve"> présente proposition de plan de dépenses couvre la période du 1</w:t>
      </w:r>
      <w:r w:rsidR="0004532B" w:rsidRPr="00B65CBC">
        <w:rPr>
          <w:vertAlign w:val="superscript"/>
        </w:rPr>
        <w:t>er</w:t>
      </w:r>
      <w:r w:rsidR="0004532B" w:rsidRPr="00B65CBC">
        <w:t> janvier 2012 au 31 décembre 2013 et remplace donc les plans précédents.</w:t>
      </w:r>
    </w:p>
    <w:p w14:paraId="4DDD5359" w14:textId="483A135B" w:rsidR="00C120F8" w:rsidRPr="00B65CBC" w:rsidRDefault="009A196D" w:rsidP="00B65CBC">
      <w:pPr>
        <w:pStyle w:val="Heading1"/>
      </w:pPr>
      <w:r w:rsidRPr="00B65CBC">
        <w:t>R</w:t>
      </w:r>
      <w:r w:rsidR="004F0F2B" w:rsidRPr="00B65CBC">
        <w:t>ésultats des dépenses antérieures au titre des</w:t>
      </w:r>
      <w:r w:rsidRPr="00B65CBC">
        <w:t xml:space="preserve"> « A</w:t>
      </w:r>
      <w:r w:rsidR="004F0F2B" w:rsidRPr="00B65CBC">
        <w:t>utres fonctions du Comité</w:t>
      </w:r>
      <w:r w:rsidRPr="00B65CBC">
        <w:t xml:space="preserve"> » </w:t>
      </w:r>
      <w:r w:rsidR="004F0F2B" w:rsidRPr="00B65CBC">
        <w:t>dans le cadre de cet exercice biennal</w:t>
      </w:r>
    </w:p>
    <w:p w14:paraId="3ED349C2" w14:textId="2D947066" w:rsidR="00684A00" w:rsidRPr="00B65CBC" w:rsidRDefault="00BB07F8" w:rsidP="00B65CBC">
      <w:pPr>
        <w:pStyle w:val="Paragraph"/>
      </w:pPr>
      <w:r w:rsidRPr="00B65CBC">
        <w:rPr>
          <w:rStyle w:val="hps"/>
        </w:rPr>
        <w:t xml:space="preserve">Tout </w:t>
      </w:r>
      <w:r w:rsidR="009A196D" w:rsidRPr="00B65CBC">
        <w:rPr>
          <w:rStyle w:val="hps"/>
        </w:rPr>
        <w:t>d</w:t>
      </w:r>
      <w:r w:rsidR="00DA4D2A" w:rsidRPr="00B65CBC">
        <w:rPr>
          <w:rStyle w:val="hps"/>
        </w:rPr>
        <w:t>’</w:t>
      </w:r>
      <w:r w:rsidR="009A196D" w:rsidRPr="00B65CBC">
        <w:rPr>
          <w:rStyle w:val="hps"/>
        </w:rPr>
        <w:t>abord</w:t>
      </w:r>
      <w:r w:rsidRPr="00B65CBC">
        <w:rPr>
          <w:rStyle w:val="hps"/>
        </w:rPr>
        <w:t>,</w:t>
      </w:r>
      <w:r w:rsidR="009A196D" w:rsidRPr="00B65CBC">
        <w:rPr>
          <w:rStyle w:val="hps"/>
        </w:rPr>
        <w:t xml:space="preserve"> dans le </w:t>
      </w:r>
      <w:r w:rsidR="004F0F2B" w:rsidRPr="00B65CBC">
        <w:rPr>
          <w:rStyle w:val="hps"/>
        </w:rPr>
        <w:t xml:space="preserve">Plan </w:t>
      </w:r>
      <w:r w:rsidR="009A196D" w:rsidRPr="00B65CBC">
        <w:rPr>
          <w:rStyle w:val="hps"/>
        </w:rPr>
        <w:t>d</w:t>
      </w:r>
      <w:r w:rsidR="00DA4D2A" w:rsidRPr="00B65CBC">
        <w:rPr>
          <w:rStyle w:val="hps"/>
        </w:rPr>
        <w:t>’</w:t>
      </w:r>
      <w:r w:rsidR="009A196D" w:rsidRPr="00B65CBC">
        <w:rPr>
          <w:rStyle w:val="hps"/>
        </w:rPr>
        <w:t xml:space="preserve">utilisation des ressources du Fonds pour 2010-2011, la ligne budgétaire concernée (« autres fonctions du Comité ») a connu le </w:t>
      </w:r>
      <w:r w:rsidR="00684B9E" w:rsidRPr="00B65CBC">
        <w:rPr>
          <w:rStyle w:val="hps"/>
        </w:rPr>
        <w:t xml:space="preserve">taux </w:t>
      </w:r>
      <w:r w:rsidR="00756791" w:rsidRPr="00B65CBC">
        <w:rPr>
          <w:rStyle w:val="hps"/>
        </w:rPr>
        <w:t>d</w:t>
      </w:r>
      <w:r w:rsidR="00DA4D2A" w:rsidRPr="00B65CBC">
        <w:rPr>
          <w:rStyle w:val="hps"/>
        </w:rPr>
        <w:t>’</w:t>
      </w:r>
      <w:r w:rsidR="00756791" w:rsidRPr="00B65CBC">
        <w:rPr>
          <w:rStyle w:val="hps"/>
        </w:rPr>
        <w:t>exécution le</w:t>
      </w:r>
      <w:r w:rsidR="00684B9E" w:rsidRPr="00B65CBC">
        <w:rPr>
          <w:rStyle w:val="hps"/>
        </w:rPr>
        <w:t xml:space="preserve"> plus élevé </w:t>
      </w:r>
      <w:r w:rsidR="009A196D" w:rsidRPr="00B65CBC">
        <w:rPr>
          <w:rStyle w:val="hps"/>
        </w:rPr>
        <w:t xml:space="preserve">(89%) </w:t>
      </w:r>
      <w:r w:rsidR="00756791" w:rsidRPr="00B65CBC">
        <w:rPr>
          <w:rStyle w:val="hps"/>
        </w:rPr>
        <w:t xml:space="preserve">de </w:t>
      </w:r>
      <w:r w:rsidR="009A196D" w:rsidRPr="00B65CBC">
        <w:rPr>
          <w:rStyle w:val="hps"/>
        </w:rPr>
        <w:t xml:space="preserve">toutes les </w:t>
      </w:r>
      <w:r w:rsidRPr="00B65CBC">
        <w:rPr>
          <w:rStyle w:val="hps"/>
        </w:rPr>
        <w:t xml:space="preserve">autres </w:t>
      </w:r>
      <w:r w:rsidR="009A196D" w:rsidRPr="00B65CBC">
        <w:rPr>
          <w:rStyle w:val="hps"/>
        </w:rPr>
        <w:t>lignes</w:t>
      </w:r>
      <w:r w:rsidR="00756791" w:rsidRPr="00B65CBC">
        <w:rPr>
          <w:rStyle w:val="hps"/>
        </w:rPr>
        <w:t xml:space="preserve"> budgétaires</w:t>
      </w:r>
      <w:r w:rsidR="009A196D" w:rsidRPr="00B65CBC">
        <w:rPr>
          <w:rStyle w:val="hps"/>
        </w:rPr>
        <w:t>. Jusqu</w:t>
      </w:r>
      <w:r w:rsidR="00DA4D2A" w:rsidRPr="00B65CBC">
        <w:rPr>
          <w:rStyle w:val="hps"/>
        </w:rPr>
        <w:t>’</w:t>
      </w:r>
      <w:r w:rsidR="009A196D" w:rsidRPr="00B65CBC">
        <w:rPr>
          <w:rStyle w:val="hps"/>
        </w:rPr>
        <w:t>à présent</w:t>
      </w:r>
      <w:r w:rsidR="00684B9E" w:rsidRPr="00B65CBC">
        <w:rPr>
          <w:rStyle w:val="hps"/>
        </w:rPr>
        <w:t>,</w:t>
      </w:r>
      <w:r w:rsidR="009A196D" w:rsidRPr="00B65CBC">
        <w:rPr>
          <w:rStyle w:val="hps"/>
        </w:rPr>
        <w:t xml:space="preserve"> </w:t>
      </w:r>
      <w:r w:rsidR="00684B9E" w:rsidRPr="00B65CBC">
        <w:rPr>
          <w:rStyle w:val="hps"/>
        </w:rPr>
        <w:t>la plus grande partie</w:t>
      </w:r>
      <w:r w:rsidR="009A196D" w:rsidRPr="00B65CBC">
        <w:rPr>
          <w:rStyle w:val="hps"/>
        </w:rPr>
        <w:t xml:space="preserve"> de</w:t>
      </w:r>
      <w:r w:rsidR="00684B9E" w:rsidRPr="00B65CBC">
        <w:rPr>
          <w:rStyle w:val="hps"/>
        </w:rPr>
        <w:t xml:space="preserve">s fonds approuvés par le Bureau pour la catégorie « autres fonctions du Comité » </w:t>
      </w:r>
      <w:r w:rsidR="00756791" w:rsidRPr="00B65CBC">
        <w:rPr>
          <w:rStyle w:val="hps"/>
        </w:rPr>
        <w:t>a servi</w:t>
      </w:r>
      <w:r w:rsidR="00684B9E" w:rsidRPr="00B65CBC">
        <w:rPr>
          <w:rStyle w:val="hps"/>
        </w:rPr>
        <w:t xml:space="preserve"> à </w:t>
      </w:r>
      <w:r w:rsidRPr="00B65CBC">
        <w:rPr>
          <w:rStyle w:val="hps"/>
        </w:rPr>
        <w:t xml:space="preserve">compléter </w:t>
      </w:r>
      <w:r w:rsidR="00684B9E" w:rsidRPr="00B65CBC">
        <w:rPr>
          <w:rStyle w:val="hps"/>
        </w:rPr>
        <w:t>la stratégie global de renforcement des capacité</w:t>
      </w:r>
      <w:r w:rsidR="00D87EF8" w:rsidRPr="00B65CBC">
        <w:rPr>
          <w:rStyle w:val="hps"/>
        </w:rPr>
        <w:t>s</w:t>
      </w:r>
      <w:r w:rsidR="00684B9E" w:rsidRPr="00B65CBC">
        <w:rPr>
          <w:rStyle w:val="hps"/>
        </w:rPr>
        <w:t xml:space="preserve"> pour une sauvegarde efficace du patrimoine culturel </w:t>
      </w:r>
      <w:r w:rsidR="00D87EF8" w:rsidRPr="00B65CBC">
        <w:rPr>
          <w:rStyle w:val="hps"/>
        </w:rPr>
        <w:t>immatériel</w:t>
      </w:r>
      <w:r w:rsidR="00684B9E" w:rsidRPr="00B65CBC">
        <w:rPr>
          <w:rStyle w:val="hps"/>
        </w:rPr>
        <w:t xml:space="preserve"> que le Secrétariat a </w:t>
      </w:r>
      <w:proofErr w:type="spellStart"/>
      <w:r w:rsidR="00684B9E" w:rsidRPr="00B65CBC">
        <w:rPr>
          <w:rStyle w:val="hps"/>
        </w:rPr>
        <w:t>développé</w:t>
      </w:r>
      <w:r w:rsidRPr="00B65CBC">
        <w:rPr>
          <w:rStyle w:val="hps"/>
        </w:rPr>
        <w:t>e</w:t>
      </w:r>
      <w:proofErr w:type="spellEnd"/>
      <w:r w:rsidR="00684B9E" w:rsidRPr="00B65CBC">
        <w:rPr>
          <w:rStyle w:val="hps"/>
        </w:rPr>
        <w:t xml:space="preserve"> </w:t>
      </w:r>
      <w:r w:rsidRPr="00B65CBC">
        <w:rPr>
          <w:rStyle w:val="hps"/>
        </w:rPr>
        <w:t xml:space="preserve">ces </w:t>
      </w:r>
      <w:r w:rsidR="00684B9E" w:rsidRPr="00B65CBC">
        <w:rPr>
          <w:rStyle w:val="hps"/>
        </w:rPr>
        <w:t xml:space="preserve">trois dernières années, principalement </w:t>
      </w:r>
      <w:r w:rsidRPr="00B65CBC">
        <w:rPr>
          <w:rStyle w:val="hps"/>
        </w:rPr>
        <w:t xml:space="preserve">à travers le </w:t>
      </w:r>
      <w:r w:rsidR="00684B9E" w:rsidRPr="00B65CBC">
        <w:rPr>
          <w:rStyle w:val="hps"/>
        </w:rPr>
        <w:t>développement de matériel et d</w:t>
      </w:r>
      <w:r w:rsidR="00DA4D2A" w:rsidRPr="00B65CBC">
        <w:rPr>
          <w:rStyle w:val="hps"/>
        </w:rPr>
        <w:t>’</w:t>
      </w:r>
      <w:r w:rsidR="00684B9E" w:rsidRPr="00B65CBC">
        <w:rPr>
          <w:rStyle w:val="hps"/>
        </w:rPr>
        <w:t>activité</w:t>
      </w:r>
      <w:r w:rsidR="00D87EF8" w:rsidRPr="00B65CBC">
        <w:rPr>
          <w:rStyle w:val="hps"/>
        </w:rPr>
        <w:t>s</w:t>
      </w:r>
      <w:r w:rsidR="005022AA" w:rsidRPr="00B65CBC">
        <w:rPr>
          <w:rStyle w:val="hps"/>
        </w:rPr>
        <w:t xml:space="preserve"> thématiques</w:t>
      </w:r>
      <w:r w:rsidR="00684B9E" w:rsidRPr="00B65CBC">
        <w:rPr>
          <w:rStyle w:val="hps"/>
        </w:rPr>
        <w:t xml:space="preserve"> régionale</w:t>
      </w:r>
      <w:r w:rsidR="005022AA" w:rsidRPr="00B65CBC">
        <w:rPr>
          <w:rStyle w:val="hps"/>
        </w:rPr>
        <w:t>s.</w:t>
      </w:r>
    </w:p>
    <w:p w14:paraId="51C287A9" w14:textId="2EE0E008" w:rsidR="00C06F61" w:rsidRPr="00B65CBC" w:rsidRDefault="00D87EF8" w:rsidP="00B65CBC">
      <w:pPr>
        <w:pStyle w:val="Heading2"/>
      </w:pPr>
      <w:r w:rsidRPr="00B65CBC">
        <w:t>Renforcement des capacités</w:t>
      </w:r>
    </w:p>
    <w:p w14:paraId="4E98C905" w14:textId="541B5770" w:rsidR="00C558B2" w:rsidRPr="00B65CBC" w:rsidRDefault="00C558B2" w:rsidP="00B65CBC">
      <w:pPr>
        <w:pStyle w:val="Paragraph"/>
      </w:pPr>
      <w:r w:rsidRPr="00B65CBC">
        <w:t xml:space="preserve">Pour </w:t>
      </w:r>
      <w:r w:rsidR="00054A30" w:rsidRPr="00B65CBC">
        <w:t>l</w:t>
      </w:r>
      <w:r w:rsidR="00DA4D2A" w:rsidRPr="00B65CBC">
        <w:t>’</w:t>
      </w:r>
      <w:r w:rsidRPr="00B65CBC">
        <w:t>exercice biennal</w:t>
      </w:r>
      <w:r w:rsidR="00054A30" w:rsidRPr="00B65CBC">
        <w:t xml:space="preserve"> en cours</w:t>
      </w:r>
      <w:r w:rsidR="00C4772B" w:rsidRPr="00B65CBC">
        <w:t xml:space="preserve">, </w:t>
      </w:r>
      <w:r w:rsidRPr="00B65CBC">
        <w:t xml:space="preserve">le développement de contenus a été </w:t>
      </w:r>
      <w:r w:rsidR="00BB07F8" w:rsidRPr="00B65CBC">
        <w:t xml:space="preserve">finalisé </w:t>
      </w:r>
      <w:r w:rsidRPr="00B65CBC">
        <w:t xml:space="preserve">en anglais pour quatre programmes prioritaires pour le renforcement des capacités (ratification, mise en œuvre de la Convention au niveau national, </w:t>
      </w:r>
      <w:r w:rsidR="00054A30" w:rsidRPr="00B65CBC">
        <w:t>élaboration d</w:t>
      </w:r>
      <w:r w:rsidR="00DA4D2A" w:rsidRPr="00B65CBC">
        <w:t>’</w:t>
      </w:r>
      <w:r w:rsidR="00054A30" w:rsidRPr="00B65CBC">
        <w:t xml:space="preserve">inventaires avec la participation des communautés </w:t>
      </w:r>
      <w:r w:rsidRPr="00B65CBC">
        <w:t xml:space="preserve">et </w:t>
      </w:r>
      <w:r w:rsidR="00BB07F8" w:rsidRPr="00B65CBC">
        <w:t xml:space="preserve">de </w:t>
      </w:r>
      <w:r w:rsidRPr="00B65CBC">
        <w:t xml:space="preserve">candidatures </w:t>
      </w:r>
      <w:r w:rsidR="00054A30" w:rsidRPr="00B65CBC">
        <w:t>à</w:t>
      </w:r>
      <w:r w:rsidRPr="00B65CBC">
        <w:t xml:space="preserve"> la Liste de sauvegarde urgente) et une grande partie </w:t>
      </w:r>
      <w:r w:rsidR="007C4022" w:rsidRPr="00B65CBC">
        <w:t>de</w:t>
      </w:r>
      <w:r w:rsidR="00BB07F8" w:rsidRPr="00B65CBC">
        <w:t xml:space="preserve"> ce</w:t>
      </w:r>
      <w:r w:rsidR="007C4022" w:rsidRPr="00B65CBC">
        <w:t>s supports</w:t>
      </w:r>
      <w:r w:rsidRPr="00B65CBC">
        <w:t xml:space="preserve"> a déjà été traduite en français.</w:t>
      </w:r>
      <w:r w:rsidR="007C4022" w:rsidRPr="00B65CBC">
        <w:t xml:space="preserve"> Une </w:t>
      </w:r>
      <w:r w:rsidR="009E6144" w:rsidRPr="00B65CBC">
        <w:t xml:space="preserve">révision substantielle </w:t>
      </w:r>
      <w:r w:rsidR="007C4022" w:rsidRPr="00B65CBC">
        <w:t xml:space="preserve">et </w:t>
      </w:r>
      <w:r w:rsidR="00B105B8" w:rsidRPr="00B65CBC">
        <w:t xml:space="preserve">une mise à jour de ces matériaux de base a également été </w:t>
      </w:r>
      <w:r w:rsidR="009E6144" w:rsidRPr="00B65CBC">
        <w:t xml:space="preserve">menée </w:t>
      </w:r>
      <w:r w:rsidR="00B105B8" w:rsidRPr="00B65CBC">
        <w:t>suite à la révision des Directives opérationnelles par l</w:t>
      </w:r>
      <w:r w:rsidR="00DA4D2A" w:rsidRPr="00B65CBC">
        <w:t>’</w:t>
      </w:r>
      <w:r w:rsidR="00B105B8" w:rsidRPr="00B65CBC">
        <w:t xml:space="preserve">Assemblée générale et aux changements de procédure </w:t>
      </w:r>
      <w:r w:rsidR="009E6144" w:rsidRPr="00B65CBC">
        <w:t xml:space="preserve">introduits </w:t>
      </w:r>
      <w:r w:rsidR="00B105B8" w:rsidRPr="00B65CBC">
        <w:t>par le Comité intergouvernemental. La traduction des documents dans d</w:t>
      </w:r>
      <w:r w:rsidR="00DA4D2A" w:rsidRPr="00B65CBC">
        <w:t>’</w:t>
      </w:r>
      <w:r w:rsidR="00B105B8" w:rsidRPr="00B65CBC">
        <w:t>autres langues que le français et l</w:t>
      </w:r>
      <w:r w:rsidR="00DA4D2A" w:rsidRPr="00B65CBC">
        <w:t>’</w:t>
      </w:r>
      <w:r w:rsidR="00B105B8" w:rsidRPr="00B65CBC">
        <w:t xml:space="preserve">anglais est principalement couverte par les budgets des projets opérationnels en </w:t>
      </w:r>
      <w:r w:rsidR="00B105B8" w:rsidRPr="00B65CBC">
        <w:lastRenderedPageBreak/>
        <w:t>fonction de leurs besoins spécifiques, cependant, une petite partie de ces fonds a également été utilisée pour mettre à jour les supports existants avec ces changements. Cette première série de matériaux de base a déjà été testée dans le monde entier et est actuellement en train d</w:t>
      </w:r>
      <w:r w:rsidR="00DA4D2A" w:rsidRPr="00B65CBC">
        <w:t>’</w:t>
      </w:r>
      <w:r w:rsidR="00B105B8" w:rsidRPr="00B65CBC">
        <w:t xml:space="preserve">être complétée par deux </w:t>
      </w:r>
      <w:r w:rsidR="009E6144" w:rsidRPr="00B65CBC">
        <w:t xml:space="preserve">matériels </w:t>
      </w:r>
      <w:r w:rsidR="00B105B8" w:rsidRPr="00B65CBC">
        <w:t xml:space="preserve">de formation supplémentaires sur deux nouveaux thèmes : i) un ensemble de modules interactifs sur le </w:t>
      </w:r>
      <w:r w:rsidR="000323DC" w:rsidRPr="00B65CBC">
        <w:t>développement</w:t>
      </w:r>
      <w:r w:rsidR="00B105B8" w:rsidRPr="00B65CBC">
        <w:t xml:space="preserve"> de plans de sauvegarde et ii) </w:t>
      </w:r>
      <w:r w:rsidR="00D62F20" w:rsidRPr="00B65CBC">
        <w:t>un</w:t>
      </w:r>
      <w:r w:rsidR="009E6144" w:rsidRPr="00B65CBC">
        <w:t>e</w:t>
      </w:r>
      <w:r w:rsidR="00D62F20" w:rsidRPr="00B65CBC">
        <w:t xml:space="preserve"> </w:t>
      </w:r>
      <w:r w:rsidR="009E6144" w:rsidRPr="00B65CBC">
        <w:t xml:space="preserve">unité </w:t>
      </w:r>
      <w:r w:rsidR="00D62F20" w:rsidRPr="00B65CBC">
        <w:t>spécial</w:t>
      </w:r>
      <w:r w:rsidR="009E6144" w:rsidRPr="00B65CBC">
        <w:t>e</w:t>
      </w:r>
      <w:r w:rsidR="00D62F20" w:rsidRPr="00B65CBC">
        <w:t xml:space="preserve"> </w:t>
      </w:r>
      <w:r w:rsidR="009E6144" w:rsidRPr="00B65CBC">
        <w:t xml:space="preserve">consacrée au </w:t>
      </w:r>
      <w:r w:rsidR="00D62F20" w:rsidRPr="00B65CBC">
        <w:t xml:space="preserve">patrimoine culturel immatériel et </w:t>
      </w:r>
      <w:r w:rsidR="009E6144" w:rsidRPr="00B65CBC">
        <w:t xml:space="preserve">au </w:t>
      </w:r>
      <w:r w:rsidR="00D62F20" w:rsidRPr="00B65CBC">
        <w:t xml:space="preserve">développement durable qui </w:t>
      </w:r>
      <w:r w:rsidR="009E6144" w:rsidRPr="00B65CBC">
        <w:t xml:space="preserve">visant </w:t>
      </w:r>
      <w:r w:rsidR="00D62F20" w:rsidRPr="00B65CBC">
        <w:t xml:space="preserve">à démontrer pourquoi la sauvegarde du patrimoine culturel immatériel est essentielle pour le développement durable </w:t>
      </w:r>
      <w:r w:rsidR="009E6144" w:rsidRPr="00B65CBC">
        <w:t>en présentant</w:t>
      </w:r>
      <w:r w:rsidR="00D62F20" w:rsidRPr="00B65CBC">
        <w:t xml:space="preserve"> les principaux arguments </w:t>
      </w:r>
      <w:r w:rsidR="00F42549" w:rsidRPr="00B65CBC">
        <w:t>avec exemples et chiffres à l’appui</w:t>
      </w:r>
      <w:r w:rsidR="00D62F20" w:rsidRPr="00B65CBC">
        <w:t>.</w:t>
      </w:r>
    </w:p>
    <w:p w14:paraId="644CF525" w14:textId="63644310" w:rsidR="00D62F20" w:rsidRPr="00B65CBC" w:rsidRDefault="00D62F20" w:rsidP="00B65CBC">
      <w:pPr>
        <w:pStyle w:val="Paragraph"/>
      </w:pPr>
      <w:r w:rsidRPr="00B65CBC">
        <w:t>Les efforts se sont poursuivis pour consolider et élargir le réseau de facilitateurs formés en 2011, qui mènent actuellement des ateliers de renforcement des capacités sur les thèmes prioritaires dans le monde entier. En avril 2012, l</w:t>
      </w:r>
      <w:r w:rsidR="00DA4D2A" w:rsidRPr="00B65CBC">
        <w:t>’</w:t>
      </w:r>
      <w:r w:rsidRPr="00B65CBC">
        <w:t>utilisation de ces ressources a permis de former le personnel de l</w:t>
      </w:r>
      <w:r w:rsidR="00DA4D2A" w:rsidRPr="00B65CBC">
        <w:t>’</w:t>
      </w:r>
      <w:r w:rsidRPr="00B65CBC">
        <w:t>École du patrimoine africain (EPA) au Bénin aux principaux concepts et mécanismes de la Convention, ainsi que plusieurs professeurs d</w:t>
      </w:r>
      <w:r w:rsidR="00DA4D2A" w:rsidRPr="00B65CBC">
        <w:t>’</w:t>
      </w:r>
      <w:r w:rsidRPr="00B65CBC">
        <w:t>universités africaines dans le domaine du patrimoine, en étroite coopération avec le Centre pour le développement du patrimoine en Afrique (CHDA).</w:t>
      </w:r>
      <w:r w:rsidR="000166F5" w:rsidRPr="00B65CBC">
        <w:t xml:space="preserve"> </w:t>
      </w:r>
      <w:r w:rsidR="005729B5" w:rsidRPr="00B65CBC">
        <w:t>La réunion de bilan des facilitateurs formés par l</w:t>
      </w:r>
      <w:r w:rsidR="00DA4D2A" w:rsidRPr="00B65CBC">
        <w:t>’</w:t>
      </w:r>
      <w:r w:rsidR="005729B5" w:rsidRPr="00B65CBC">
        <w:t xml:space="preserve">UNESCO </w:t>
      </w:r>
      <w:r w:rsidR="009E6144" w:rsidRPr="00B65CBC">
        <w:t xml:space="preserve">en </w:t>
      </w:r>
      <w:r w:rsidR="005729B5" w:rsidRPr="00B65CBC">
        <w:t xml:space="preserve">Amérique </w:t>
      </w:r>
      <w:r w:rsidR="009E6144" w:rsidRPr="00B65CBC">
        <w:t>latine</w:t>
      </w:r>
      <w:r w:rsidR="005729B5" w:rsidRPr="00B65CBC">
        <w:t>, approuvée dans le précédent plan de dépenses (</w:t>
      </w:r>
      <w:r w:rsidR="008C690D">
        <w:t>d</w:t>
      </w:r>
      <w:r w:rsidR="005729B5" w:rsidRPr="00B65CBC">
        <w:t xml:space="preserve">écision 7.COM 3.BUR 5), est prévue pour septembre 2013. Elle sera </w:t>
      </w:r>
      <w:r w:rsidR="009E6144" w:rsidRPr="00B65CBC">
        <w:t xml:space="preserve">accueillie </w:t>
      </w:r>
      <w:r w:rsidR="005729B5" w:rsidRPr="00B65CBC">
        <w:t>par le Centre régional pour la sauvegarde du patrimoine culturel immatériel de l</w:t>
      </w:r>
      <w:r w:rsidR="00DA4D2A" w:rsidRPr="00B65CBC">
        <w:t>’</w:t>
      </w:r>
      <w:r w:rsidR="005729B5" w:rsidRPr="00B65CBC">
        <w:t xml:space="preserve">Amérique </w:t>
      </w:r>
      <w:r w:rsidR="00B432C3" w:rsidRPr="00B65CBC">
        <w:t>l</w:t>
      </w:r>
      <w:r w:rsidR="005729B5" w:rsidRPr="00B65CBC">
        <w:t>atine (CRESPIAL), le centre de catégorie 2 à Cu</w:t>
      </w:r>
      <w:r w:rsidR="00B432C3" w:rsidRPr="00B65CBC">
        <w:t>z</w:t>
      </w:r>
      <w:r w:rsidR="005729B5" w:rsidRPr="00B65CBC">
        <w:t>co au Pérou</w:t>
      </w:r>
      <w:r w:rsidR="00A8445D" w:rsidRPr="00B65CBC">
        <w:t xml:space="preserve"> avec lequel</w:t>
      </w:r>
      <w:r w:rsidR="005729B5" w:rsidRPr="00B65CBC">
        <w:t xml:space="preserve"> </w:t>
      </w:r>
      <w:r w:rsidR="009E6144" w:rsidRPr="00B65CBC">
        <w:t xml:space="preserve">les </w:t>
      </w:r>
      <w:r w:rsidR="005729B5" w:rsidRPr="00B65CBC">
        <w:t>coordination</w:t>
      </w:r>
      <w:r w:rsidR="009E6144" w:rsidRPr="00B65CBC">
        <w:t>s</w:t>
      </w:r>
      <w:r w:rsidR="005729B5" w:rsidRPr="00B65CBC">
        <w:t xml:space="preserve"> </w:t>
      </w:r>
      <w:r w:rsidR="009E6144" w:rsidRPr="00B65CBC">
        <w:t xml:space="preserve">sont </w:t>
      </w:r>
      <w:r w:rsidR="005729B5" w:rsidRPr="00B65CBC">
        <w:t>déjà en cours.</w:t>
      </w:r>
    </w:p>
    <w:p w14:paraId="20F59E07" w14:textId="13A835E8" w:rsidR="005729B5" w:rsidRPr="00B65CBC" w:rsidRDefault="005729B5" w:rsidP="00B65CBC">
      <w:pPr>
        <w:pStyle w:val="Paragraph"/>
      </w:pPr>
      <w:r w:rsidRPr="00B65CBC">
        <w:t>Le Fonds du patrimoine culturel immatérie</w:t>
      </w:r>
      <w:r w:rsidR="00B432C3" w:rsidRPr="00B65CBC">
        <w:t xml:space="preserve">l a </w:t>
      </w:r>
      <w:r w:rsidR="009E6144" w:rsidRPr="00B65CBC">
        <w:t>cofinancé</w:t>
      </w:r>
      <w:r w:rsidR="00B432C3" w:rsidRPr="00B65CBC">
        <w:t xml:space="preserve"> avec le Fonds-</w:t>
      </w:r>
      <w:r w:rsidRPr="00B65CBC">
        <w:t>en</w:t>
      </w:r>
      <w:r w:rsidR="00B432C3" w:rsidRPr="00B65CBC">
        <w:t>-</w:t>
      </w:r>
      <w:r w:rsidRPr="00B65CBC">
        <w:t>dépôt UNESCO</w:t>
      </w:r>
      <w:r w:rsidR="009E6144" w:rsidRPr="00B65CBC">
        <w:t>/Bulgarie,</w:t>
      </w:r>
      <w:r w:rsidRPr="00B65CBC">
        <w:t xml:space="preserve"> </w:t>
      </w:r>
      <w:r w:rsidR="00F27775" w:rsidRPr="00B65CBC">
        <w:t>le</w:t>
      </w:r>
      <w:r w:rsidRPr="00B65CBC">
        <w:t xml:space="preserve"> Forum des jeunes des Caraïbes sur la sauvegarde du patrimoine culturel immatériel du 20 au 24 novembre 2013 à Saint-Georges, Grenade. </w:t>
      </w:r>
      <w:r w:rsidR="00F27775" w:rsidRPr="00B65CBC">
        <w:t xml:space="preserve">Le forum a rassemblé 26 jeunes venant de 16 différents </w:t>
      </w:r>
      <w:r w:rsidR="00E24242" w:rsidRPr="00B65CBC">
        <w:t>pays</w:t>
      </w:r>
      <w:r w:rsidR="00F27775" w:rsidRPr="00B65CBC">
        <w:t xml:space="preserve"> des </w:t>
      </w:r>
      <w:r w:rsidR="009E6144" w:rsidRPr="00B65CBC">
        <w:t>Caraïbes</w:t>
      </w:r>
      <w:r w:rsidR="00F42549" w:rsidRPr="00B65CBC">
        <w:rPr>
          <w:rStyle w:val="FootnoteReference"/>
        </w:rPr>
        <w:footnoteReference w:id="1"/>
      </w:r>
      <w:r w:rsidR="00F27775" w:rsidRPr="00B65CBC">
        <w:t>. Conformément à l</w:t>
      </w:r>
      <w:r w:rsidR="00DA4D2A" w:rsidRPr="00B65CBC">
        <w:t>’</w:t>
      </w:r>
      <w:r w:rsidR="00F27775" w:rsidRPr="00B65CBC">
        <w:t>article</w:t>
      </w:r>
      <w:r w:rsidR="009E6144" w:rsidRPr="00B65CBC">
        <w:t> </w:t>
      </w:r>
      <w:r w:rsidR="00F27775" w:rsidRPr="00B65CBC">
        <w:t>14 de la Convention, qui met l</w:t>
      </w:r>
      <w:r w:rsidR="00DA4D2A" w:rsidRPr="00B65CBC">
        <w:t>’</w:t>
      </w:r>
      <w:r w:rsidR="00F27775" w:rsidRPr="00B65CBC">
        <w:t xml:space="preserve">accent sur la nécessité de programmes </w:t>
      </w:r>
      <w:r w:rsidR="009E6144" w:rsidRPr="00B65CBC">
        <w:t xml:space="preserve">éducatifs, </w:t>
      </w:r>
      <w:r w:rsidR="00F27775" w:rsidRPr="00B65CBC">
        <w:t xml:space="preserve">de sensibilisation </w:t>
      </w:r>
      <w:r w:rsidR="009E6144" w:rsidRPr="00B65CBC">
        <w:t>et de diffusion d’informations à l’intention des</w:t>
      </w:r>
      <w:r w:rsidR="00F27775" w:rsidRPr="00B65CBC">
        <w:t xml:space="preserve"> jeunes, cette activité a permis aux jeunes participants d</w:t>
      </w:r>
      <w:r w:rsidR="00DA4D2A" w:rsidRPr="00B65CBC">
        <w:t>’</w:t>
      </w:r>
      <w:r w:rsidR="00F27775" w:rsidRPr="00B65CBC">
        <w:t xml:space="preserve">explorer les concepts et les mécanismes de la Convention </w:t>
      </w:r>
      <w:r w:rsidR="009E6144" w:rsidRPr="00B65CBC">
        <w:t>à partir</w:t>
      </w:r>
      <w:r w:rsidR="00F27775" w:rsidRPr="00B65CBC">
        <w:t xml:space="preserve"> des programmes de formation mentionnés ci-dessus, tout en </w:t>
      </w:r>
      <w:r w:rsidR="009E6144" w:rsidRPr="00B65CBC">
        <w:t xml:space="preserve">établissant les bases pour </w:t>
      </w:r>
      <w:r w:rsidR="00F27775" w:rsidRPr="00B65CBC">
        <w:t xml:space="preserve">leur </w:t>
      </w:r>
      <w:r w:rsidR="009E6144" w:rsidRPr="00B65CBC">
        <w:t xml:space="preserve">permettre </w:t>
      </w:r>
      <w:r w:rsidR="00F27775" w:rsidRPr="00B65CBC">
        <w:t xml:space="preserve">de devenir des acteurs actifs </w:t>
      </w:r>
      <w:r w:rsidR="009E6144" w:rsidRPr="00B65CBC">
        <w:t xml:space="preserve">de </w:t>
      </w:r>
      <w:r w:rsidR="00F27775" w:rsidRPr="00B65CBC">
        <w:t xml:space="preserve">la sauvegarde du patrimoine culturel immatériel. </w:t>
      </w:r>
    </w:p>
    <w:p w14:paraId="44C8F753" w14:textId="4908DC47" w:rsidR="00B64812" w:rsidRPr="00B65CBC" w:rsidRDefault="00B64812" w:rsidP="00B65CBC">
      <w:pPr>
        <w:pStyle w:val="Heading2"/>
      </w:pPr>
      <w:r w:rsidRPr="00B65CBC">
        <w:t xml:space="preserve">Promotion </w:t>
      </w:r>
      <w:r w:rsidR="00F27775" w:rsidRPr="00B65CBC">
        <w:t>et diffusion des meilleures pratiques de sauvegarde</w:t>
      </w:r>
    </w:p>
    <w:p w14:paraId="4FC27938" w14:textId="2670FEF8" w:rsidR="004066A1" w:rsidRPr="00B65CBC" w:rsidRDefault="004066A1" w:rsidP="00B65CBC">
      <w:pPr>
        <w:pStyle w:val="Paragraph"/>
        <w:rPr>
          <w:rStyle w:val="hps"/>
        </w:rPr>
      </w:pPr>
      <w:r w:rsidRPr="00B65CBC">
        <w:t xml:space="preserve">Après </w:t>
      </w:r>
      <w:r w:rsidR="00E24242" w:rsidRPr="00B65CBC">
        <w:t xml:space="preserve">que </w:t>
      </w:r>
      <w:r w:rsidRPr="00B65CBC">
        <w:t xml:space="preserve">le Comité intergouvernemental </w:t>
      </w:r>
      <w:r w:rsidR="00E24242" w:rsidRPr="00B65CBC">
        <w:t xml:space="preserve">ait sélectionné </w:t>
      </w:r>
      <w:r w:rsidRPr="00B65CBC">
        <w:t>en 2011 «</w:t>
      </w:r>
      <w:r w:rsidR="00E24242" w:rsidRPr="00B65CBC">
        <w:t xml:space="preserve"> Le </w:t>
      </w:r>
      <w:r w:rsidRPr="00B65CBC">
        <w:t>musée vivant du Fandango</w:t>
      </w:r>
      <w:r w:rsidR="009E6144" w:rsidRPr="00B65CBC">
        <w:t> </w:t>
      </w:r>
      <w:r w:rsidRPr="00B65CBC">
        <w:t xml:space="preserve">» comme </w:t>
      </w:r>
      <w:r w:rsidR="00E24242" w:rsidRPr="00B65CBC">
        <w:t xml:space="preserve">programme </w:t>
      </w:r>
      <w:r w:rsidRPr="00B65CBC">
        <w:t>de sauvegarde reflétant le mieux les principes et objectifs de la Convention (Décision</w:t>
      </w:r>
      <w:r w:rsidR="00E24242" w:rsidRPr="00B65CBC">
        <w:t> </w:t>
      </w:r>
      <w:r w:rsidRPr="00B65CBC">
        <w:t>6.COM</w:t>
      </w:r>
      <w:r w:rsidR="00E24242" w:rsidRPr="00B65CBC">
        <w:t> </w:t>
      </w:r>
      <w:r w:rsidRPr="00B65CBC">
        <w:t xml:space="preserve">9.5), le Secrétariat a travaillé en étroite collaboration avec </w:t>
      </w:r>
      <w:r w:rsidR="00E24242" w:rsidRPr="00B65CBC">
        <w:t>l</w:t>
      </w:r>
      <w:r w:rsidR="00DA4D2A" w:rsidRPr="00B65CBC">
        <w:t>’</w:t>
      </w:r>
      <w:proofErr w:type="spellStart"/>
      <w:r w:rsidRPr="00B65CBC">
        <w:t>Associação</w:t>
      </w:r>
      <w:proofErr w:type="spellEnd"/>
      <w:r w:rsidRPr="00B65CBC">
        <w:t xml:space="preserve"> Cultural </w:t>
      </w:r>
      <w:proofErr w:type="spellStart"/>
      <w:r w:rsidRPr="00B65CBC">
        <w:t>Caburé</w:t>
      </w:r>
      <w:proofErr w:type="spellEnd"/>
      <w:r w:rsidRPr="00B65CBC">
        <w:t xml:space="preserve"> </w:t>
      </w:r>
      <w:r w:rsidR="00E24242" w:rsidRPr="00B65CBC">
        <w:t xml:space="preserve">afin </w:t>
      </w:r>
      <w:r w:rsidRPr="00B65CBC">
        <w:t xml:space="preserve">de développer </w:t>
      </w:r>
      <w:r w:rsidR="00E24242" w:rsidRPr="00B65CBC">
        <w:t xml:space="preserve">du matériel audio-visuel </w:t>
      </w:r>
      <w:r w:rsidR="00B42661" w:rsidRPr="00B65CBC">
        <w:t xml:space="preserve">et des publications </w:t>
      </w:r>
      <w:r w:rsidR="00617290" w:rsidRPr="00B65CBC">
        <w:t>pour</w:t>
      </w:r>
      <w:r w:rsidR="003E3215" w:rsidRPr="00B65CBC">
        <w:t xml:space="preserve"> contribuer à la promotion </w:t>
      </w:r>
      <w:r w:rsidR="00617290" w:rsidRPr="00B65CBC">
        <w:t xml:space="preserve">du programme à l’échelle </w:t>
      </w:r>
      <w:r w:rsidR="003E3215" w:rsidRPr="00B65CBC">
        <w:t xml:space="preserve">mondiale. </w:t>
      </w:r>
      <w:r w:rsidRPr="00B65CBC">
        <w:t xml:space="preserve">Dans ce cadre, des interviews, des études et une documentation photographique et vidéographique </w:t>
      </w:r>
      <w:r w:rsidR="00617290" w:rsidRPr="00B65CBC">
        <w:t>sur le programme du</w:t>
      </w:r>
      <w:r w:rsidRPr="00B65CBC">
        <w:t xml:space="preserve"> Musée </w:t>
      </w:r>
      <w:r w:rsidR="00617290" w:rsidRPr="00B65CBC">
        <w:t>v</w:t>
      </w:r>
      <w:r w:rsidRPr="00B65CBC">
        <w:t xml:space="preserve">ivant du Fandango ont été réalisées. </w:t>
      </w:r>
      <w:r w:rsidR="009E6144" w:rsidRPr="00B65CBC">
        <w:t xml:space="preserve">En a résulté </w:t>
      </w:r>
      <w:r w:rsidRPr="00B65CBC">
        <w:t xml:space="preserve">un guide pratique sur </w:t>
      </w:r>
      <w:r w:rsidR="00617290" w:rsidRPr="00B65CBC">
        <w:t>l</w:t>
      </w:r>
      <w:r w:rsidR="003E3215" w:rsidRPr="00B65CBC">
        <w:t>e</w:t>
      </w:r>
      <w:r w:rsidRPr="00B65CBC">
        <w:t xml:space="preserve"> musée </w:t>
      </w:r>
      <w:r w:rsidR="003E3215" w:rsidRPr="00B65CBC">
        <w:t xml:space="preserve">vivant </w:t>
      </w:r>
      <w:r w:rsidRPr="00B65CBC">
        <w:t>d</w:t>
      </w:r>
      <w:r w:rsidR="003E3215" w:rsidRPr="00B65CBC">
        <w:t>u</w:t>
      </w:r>
      <w:r w:rsidRPr="00B65CBC">
        <w:t xml:space="preserve"> Fandango</w:t>
      </w:r>
      <w:r w:rsidR="009E6144" w:rsidRPr="00B65CBC">
        <w:t xml:space="preserve"> qui</w:t>
      </w:r>
      <w:r w:rsidRPr="00B65CBC">
        <w:t xml:space="preserve"> </w:t>
      </w:r>
      <w:r w:rsidR="003E3215" w:rsidRPr="00B65CBC">
        <w:t xml:space="preserve">inclura </w:t>
      </w:r>
      <w:r w:rsidRPr="00B65CBC">
        <w:t>un</w:t>
      </w:r>
      <w:r w:rsidR="003E3215" w:rsidRPr="00B65CBC">
        <w:t xml:space="preserve">e </w:t>
      </w:r>
      <w:r w:rsidR="00617290" w:rsidRPr="00B65CBC">
        <w:t>brochure</w:t>
      </w:r>
      <w:r w:rsidRPr="00B65CBC">
        <w:t xml:space="preserve"> </w:t>
      </w:r>
      <w:r w:rsidR="003E3215" w:rsidRPr="00B65CBC">
        <w:t>« </w:t>
      </w:r>
      <w:r w:rsidRPr="00B65CBC">
        <w:t>programme en bref</w:t>
      </w:r>
      <w:r w:rsidR="003E3215" w:rsidRPr="00B65CBC">
        <w:t> »</w:t>
      </w:r>
      <w:r w:rsidRPr="00B65CBC">
        <w:t xml:space="preserve">, deux </w:t>
      </w:r>
      <w:r w:rsidR="00BC45A3" w:rsidRPr="00B65CBC">
        <w:t xml:space="preserve">émissions </w:t>
      </w:r>
      <w:r w:rsidRPr="00B65CBC">
        <w:t>vidéo</w:t>
      </w:r>
      <w:r w:rsidR="00BC45A3" w:rsidRPr="00B65CBC">
        <w:t xml:space="preserve"> éditées et</w:t>
      </w:r>
      <w:r w:rsidRPr="00B65CBC">
        <w:t xml:space="preserve"> </w:t>
      </w:r>
      <w:r w:rsidR="003E3215" w:rsidRPr="00B65CBC">
        <w:t xml:space="preserve">contenant </w:t>
      </w:r>
      <w:r w:rsidR="00BC45A3" w:rsidRPr="00B65CBC">
        <w:t xml:space="preserve">des </w:t>
      </w:r>
      <w:r w:rsidRPr="00B65CBC">
        <w:t>témoignage</w:t>
      </w:r>
      <w:r w:rsidR="00BC45A3" w:rsidRPr="00B65CBC">
        <w:t>s à la première personne</w:t>
      </w:r>
      <w:r w:rsidRPr="00B65CBC">
        <w:t xml:space="preserve"> des participants et des praticiens, ainsi qu</w:t>
      </w:r>
      <w:r w:rsidR="00DA4D2A" w:rsidRPr="00B65CBC">
        <w:t>’</w:t>
      </w:r>
      <w:r w:rsidRPr="00B65CBC">
        <w:t xml:space="preserve">un reportage photographique. Ce matériel </w:t>
      </w:r>
      <w:r w:rsidR="003E3215" w:rsidRPr="00B65CBC">
        <w:t>sera</w:t>
      </w:r>
      <w:r w:rsidRPr="00B65CBC">
        <w:t xml:space="preserve"> mis à disposition sur le site Web de la Convention et </w:t>
      </w:r>
      <w:r w:rsidR="003E3215" w:rsidRPr="00B65CBC">
        <w:t xml:space="preserve">sera </w:t>
      </w:r>
      <w:r w:rsidRPr="00B65CBC">
        <w:t>intégré</w:t>
      </w:r>
      <w:r w:rsidR="003E3215" w:rsidRPr="00B65CBC">
        <w:t xml:space="preserve"> </w:t>
      </w:r>
      <w:r w:rsidRPr="00B65CBC">
        <w:t xml:space="preserve">dans les activités </w:t>
      </w:r>
      <w:r w:rsidR="00617290" w:rsidRPr="00B65CBC">
        <w:t xml:space="preserve">de renforcement des capacités </w:t>
      </w:r>
      <w:r w:rsidRPr="00B65CBC">
        <w:t>en cours</w:t>
      </w:r>
      <w:r w:rsidR="00617290" w:rsidRPr="00B65CBC">
        <w:rPr>
          <w:color w:val="333333"/>
        </w:rPr>
        <w:t>.</w:t>
      </w:r>
    </w:p>
    <w:p w14:paraId="5FA04D38" w14:textId="195E6264" w:rsidR="00A17F81" w:rsidRPr="00B65CBC" w:rsidRDefault="00A17F81" w:rsidP="00B65CBC">
      <w:pPr>
        <w:pStyle w:val="Heading2"/>
      </w:pPr>
      <w:r w:rsidRPr="00B65CBC">
        <w:t xml:space="preserve">Communication </w:t>
      </w:r>
      <w:r w:rsidR="003E3215" w:rsidRPr="00B65CBC">
        <w:t>et visibilité</w:t>
      </w:r>
    </w:p>
    <w:p w14:paraId="6F91D829" w14:textId="57F22C56" w:rsidR="001E06D9" w:rsidRPr="00B65CBC" w:rsidRDefault="001E06D9" w:rsidP="00B65CBC">
      <w:pPr>
        <w:pStyle w:val="Paragraph"/>
      </w:pPr>
      <w:r w:rsidRPr="00B65CBC">
        <w:t>L</w:t>
      </w:r>
      <w:r w:rsidR="00DA4D2A" w:rsidRPr="00B65CBC">
        <w:t>’</w:t>
      </w:r>
      <w:r w:rsidRPr="00B65CBC">
        <w:t>un des objectifs fondamentaux de la Convention est de sensibiliser à l</w:t>
      </w:r>
      <w:r w:rsidR="00DA4D2A" w:rsidRPr="00B65CBC">
        <w:t>’</w:t>
      </w:r>
      <w:r w:rsidRPr="00B65CBC">
        <w:t xml:space="preserve">importance du patrimoine culturel immatériel et de veiller à son appréciation. </w:t>
      </w:r>
      <w:r w:rsidR="00BC45A3" w:rsidRPr="00B65CBC">
        <w:t>À</w:t>
      </w:r>
      <w:r w:rsidRPr="00B65CBC">
        <w:t xml:space="preserve"> cet égard, le Secrétariat consacre des efforts considérables pour aider le Comité dans cette tâche :</w:t>
      </w:r>
    </w:p>
    <w:p w14:paraId="4DC18084" w14:textId="2D285411" w:rsidR="0051717D" w:rsidRPr="00B65CBC" w:rsidRDefault="001E06D9" w:rsidP="00B65CBC">
      <w:pPr>
        <w:pStyle w:val="Paragraph"/>
        <w:numPr>
          <w:ilvl w:val="0"/>
          <w:numId w:val="6"/>
        </w:numPr>
      </w:pPr>
      <w:r w:rsidRPr="00B65CBC">
        <w:t xml:space="preserve">en publiant </w:t>
      </w:r>
      <w:r w:rsidR="009D5A9B" w:rsidRPr="00B65CBC">
        <w:t xml:space="preserve">tous les ans </w:t>
      </w:r>
      <w:r w:rsidRPr="00B65CBC">
        <w:t xml:space="preserve">des dépliants </w:t>
      </w:r>
      <w:r w:rsidR="009D5A9B" w:rsidRPr="00B65CBC">
        <w:t xml:space="preserve">sur les </w:t>
      </w:r>
      <w:r w:rsidR="00B448F4" w:rsidRPr="00B65CBC">
        <w:t>éléments</w:t>
      </w:r>
      <w:r w:rsidR="009D5A9B" w:rsidRPr="00B65CBC">
        <w:t xml:space="preserve"> inscrits sur la Liste du patrimoine culturel </w:t>
      </w:r>
      <w:r w:rsidR="00B448F4" w:rsidRPr="00B65CBC">
        <w:t>immatériel</w:t>
      </w:r>
      <w:r w:rsidR="009D5A9B" w:rsidRPr="00B65CBC">
        <w:t xml:space="preserve"> nécessitant une sauvegarde urgente, la Liste </w:t>
      </w:r>
      <w:r w:rsidR="00B448F4" w:rsidRPr="00B65CBC">
        <w:t>représentative</w:t>
      </w:r>
      <w:r w:rsidR="009D5A9B" w:rsidRPr="00B65CBC">
        <w:t xml:space="preserve"> du </w:t>
      </w:r>
      <w:r w:rsidR="00B448F4" w:rsidRPr="00B65CBC">
        <w:t>patrimoine</w:t>
      </w:r>
      <w:r w:rsidR="009D5A9B" w:rsidRPr="00B65CBC">
        <w:t xml:space="preserve"> </w:t>
      </w:r>
      <w:r w:rsidR="00B448F4" w:rsidRPr="00B65CBC">
        <w:t>culturel</w:t>
      </w:r>
      <w:r w:rsidR="009D5A9B" w:rsidRPr="00B65CBC">
        <w:t xml:space="preserve"> </w:t>
      </w:r>
      <w:r w:rsidR="00B448F4" w:rsidRPr="00B65CBC">
        <w:t>immatériel</w:t>
      </w:r>
      <w:r w:rsidR="009D5A9B" w:rsidRPr="00B65CBC">
        <w:t xml:space="preserve"> de l</w:t>
      </w:r>
      <w:r w:rsidR="00DA4D2A" w:rsidRPr="00B65CBC">
        <w:t>’</w:t>
      </w:r>
      <w:r w:rsidR="009D5A9B" w:rsidRPr="00B65CBC">
        <w:t>humanité et les programmes sélectionnés po</w:t>
      </w:r>
      <w:r w:rsidR="00B448F4" w:rsidRPr="00B65CBC">
        <w:t>u</w:t>
      </w:r>
      <w:r w:rsidR="009D5A9B" w:rsidRPr="00B65CBC">
        <w:t>r le Registre des meilleures pratiques de sauvegarde. Le Fonds du patrimoine culturel immatériel a soutenu la production de ces brochures en anglais e</w:t>
      </w:r>
      <w:r w:rsidR="00617290" w:rsidRPr="00B65CBC">
        <w:t>t en français pour 2011 et 2012 ;</w:t>
      </w:r>
    </w:p>
    <w:p w14:paraId="5A4CDA5E" w14:textId="4C1590AE" w:rsidR="00287DAB" w:rsidRPr="00B65CBC" w:rsidRDefault="00300288" w:rsidP="00B65CBC">
      <w:pPr>
        <w:pStyle w:val="Paragraph"/>
        <w:numPr>
          <w:ilvl w:val="0"/>
          <w:numId w:val="6"/>
        </w:numPr>
        <w:rPr>
          <w:rStyle w:val="hps"/>
        </w:rPr>
      </w:pPr>
      <w:r w:rsidRPr="00B65CBC">
        <w:t xml:space="preserve">en publiant des informations plus substantielles sur les </w:t>
      </w:r>
      <w:r w:rsidR="00F40CF2" w:rsidRPr="00B65CBC">
        <w:t>éléments</w:t>
      </w:r>
      <w:r w:rsidRPr="00B65CBC">
        <w:t xml:space="preserve"> inscrits</w:t>
      </w:r>
      <w:r w:rsidR="00F40CF2" w:rsidRPr="00B65CBC">
        <w:t xml:space="preserve"> et sur les meilleur</w:t>
      </w:r>
      <w:r w:rsidR="00740110" w:rsidRPr="00B65CBC">
        <w:t>e</w:t>
      </w:r>
      <w:r w:rsidR="00F40CF2" w:rsidRPr="00B65CBC">
        <w:t>s pratiques de sauvegarde sélectionné</w:t>
      </w:r>
      <w:r w:rsidR="00740110" w:rsidRPr="00B65CBC">
        <w:t>e</w:t>
      </w:r>
      <w:r w:rsidR="00F40CF2" w:rsidRPr="00B65CBC">
        <w:t xml:space="preserve">s par le Comité à travers </w:t>
      </w:r>
      <w:r w:rsidR="001B0065" w:rsidRPr="00B65CBC">
        <w:t xml:space="preserve">une brochure cumulative </w:t>
      </w:r>
      <w:r w:rsidR="00BC45A3" w:rsidRPr="00B65CBC">
        <w:t>biannuelle</w:t>
      </w:r>
      <w:r w:rsidR="001B0065" w:rsidRPr="00B65CBC">
        <w:t>.</w:t>
      </w:r>
      <w:r w:rsidRPr="00B65CBC">
        <w:t xml:space="preserve"> </w:t>
      </w:r>
      <w:r w:rsidR="001B0065" w:rsidRPr="00B65CBC">
        <w:t>L</w:t>
      </w:r>
      <w:r w:rsidR="00DA4D2A" w:rsidRPr="00B65CBC">
        <w:t>’</w:t>
      </w:r>
      <w:r w:rsidR="001B0065" w:rsidRPr="00B65CBC">
        <w:t xml:space="preserve">impression de cette publication se fera grâce aux contributions extrabudgétaires, le Fonds du patrimoine culturel </w:t>
      </w:r>
      <w:r w:rsidR="00740110" w:rsidRPr="00B65CBC">
        <w:t>immatériel</w:t>
      </w:r>
      <w:r w:rsidR="001B0065" w:rsidRPr="00B65CBC">
        <w:t xml:space="preserve"> étant uniquement </w:t>
      </w:r>
      <w:r w:rsidR="00400C2E" w:rsidRPr="00B65CBC">
        <w:t>utilisé</w:t>
      </w:r>
      <w:r w:rsidR="001B0065" w:rsidRPr="00B65CBC">
        <w:t xml:space="preserve"> pour </w:t>
      </w:r>
      <w:r w:rsidR="00BC45A3" w:rsidRPr="00B65CBC">
        <w:t>éditer</w:t>
      </w:r>
      <w:r w:rsidR="001B0065" w:rsidRPr="00B65CBC">
        <w:t xml:space="preserve">, concevoir </w:t>
      </w:r>
      <w:r w:rsidR="004D3B77" w:rsidRPr="00B65CBC">
        <w:t>graphiquement et</w:t>
      </w:r>
      <w:r w:rsidR="001B0065" w:rsidRPr="00B65CBC">
        <w:t xml:space="preserve"> produire une version numérique disponible en ligne en anglais et en français. </w:t>
      </w:r>
      <w:r w:rsidR="00617290" w:rsidRPr="00B65CBC">
        <w:t xml:space="preserve">Le </w:t>
      </w:r>
      <w:r w:rsidR="004D3B77" w:rsidRPr="00B65CBC">
        <w:t xml:space="preserve">Centre </w:t>
      </w:r>
      <w:r w:rsidR="00B432C3" w:rsidRPr="00B65CBC">
        <w:t xml:space="preserve">international d’information et de travail en </w:t>
      </w:r>
      <w:r w:rsidR="005F0DDC" w:rsidRPr="00B65CBC">
        <w:t xml:space="preserve">réseau </w:t>
      </w:r>
      <w:r w:rsidR="00B432C3" w:rsidRPr="00B65CBC">
        <w:t xml:space="preserve">sur </w:t>
      </w:r>
      <w:r w:rsidR="005F0DDC" w:rsidRPr="00B65CBC">
        <w:t xml:space="preserve">le patrimoine culturel immatériel dans la région Asie-Pacifique (ICHCAP), centre </w:t>
      </w:r>
      <w:r w:rsidR="00400C2E" w:rsidRPr="00B65CBC">
        <w:t>de catégorie 2 dans le République de Corée</w:t>
      </w:r>
      <w:r w:rsidR="000365D2" w:rsidRPr="00B65CBC">
        <w:t xml:space="preserve"> </w:t>
      </w:r>
      <w:r w:rsidR="00287DAB" w:rsidRPr="00B65CBC">
        <w:t xml:space="preserve">a généreusement pris </w:t>
      </w:r>
      <w:r w:rsidR="00617290" w:rsidRPr="00B65CBC">
        <w:t xml:space="preserve">en charge </w:t>
      </w:r>
      <w:r w:rsidR="00287DAB" w:rsidRPr="00B65CBC">
        <w:t>l</w:t>
      </w:r>
      <w:r w:rsidR="00DA4D2A" w:rsidRPr="00B65CBC">
        <w:t>’</w:t>
      </w:r>
      <w:r w:rsidR="00287DAB" w:rsidRPr="00B65CBC">
        <w:t xml:space="preserve">impression </w:t>
      </w:r>
      <w:r w:rsidR="00617290" w:rsidRPr="00B65CBC">
        <w:t>de la brochure 2010-2011.</w:t>
      </w:r>
    </w:p>
    <w:p w14:paraId="0DBBB70A" w14:textId="725C3B2D" w:rsidR="00740110" w:rsidRPr="00B65CBC" w:rsidRDefault="00287DAB" w:rsidP="00B65CBC">
      <w:pPr>
        <w:pStyle w:val="Paragraph"/>
      </w:pPr>
      <w:r w:rsidRPr="00B65CBC">
        <w:t>Suite à la quatrième session de l</w:t>
      </w:r>
      <w:r w:rsidR="00DA4D2A" w:rsidRPr="00B65CBC">
        <w:t>’</w:t>
      </w:r>
      <w:r w:rsidRPr="00B65CBC">
        <w:t>A</w:t>
      </w:r>
      <w:r w:rsidR="00740110" w:rsidRPr="00B65CBC">
        <w:t>ssemblée générale qui a introduit un certain nombre d</w:t>
      </w:r>
      <w:r w:rsidR="00DA4D2A" w:rsidRPr="00B65CBC">
        <w:t>’</w:t>
      </w:r>
      <w:r w:rsidR="00740110" w:rsidRPr="00B65CBC">
        <w:t xml:space="preserve">amendements aux Directives opérationnelles, le Fonds a également soutenu la </w:t>
      </w:r>
      <w:r w:rsidR="00DA4D2A" w:rsidRPr="00B65CBC">
        <w:t>révision</w:t>
      </w:r>
      <w:r w:rsidR="00740110" w:rsidRPr="00B65CBC">
        <w:t xml:space="preserve"> des </w:t>
      </w:r>
      <w:r w:rsidR="004D3B77" w:rsidRPr="00B65CBC">
        <w:rPr>
          <w:i/>
        </w:rPr>
        <w:t>T</w:t>
      </w:r>
      <w:r w:rsidR="00740110" w:rsidRPr="00B65CBC">
        <w:rPr>
          <w:i/>
        </w:rPr>
        <w:t>extes fondamentaux de la Convention de 2003</w:t>
      </w:r>
      <w:r w:rsidR="00740110" w:rsidRPr="00B65CBC">
        <w:t xml:space="preserve"> dans les six langues de travail ainsi que l</w:t>
      </w:r>
      <w:r w:rsidR="00DA4D2A" w:rsidRPr="00B65CBC">
        <w:t>’</w:t>
      </w:r>
      <w:r w:rsidR="00740110" w:rsidRPr="00B65CBC">
        <w:t xml:space="preserve">impression des versions mises à jour. </w:t>
      </w:r>
    </w:p>
    <w:p w14:paraId="006220B5" w14:textId="6A02115E" w:rsidR="00A17F81" w:rsidRPr="00B65CBC" w:rsidRDefault="00364115" w:rsidP="00B65CBC">
      <w:pPr>
        <w:pStyle w:val="Heading2"/>
      </w:pPr>
      <w:r w:rsidRPr="00B65CBC">
        <w:t>Service</w:t>
      </w:r>
      <w:r w:rsidR="00D009D3" w:rsidRPr="00B65CBC">
        <w:t xml:space="preserve"> de </w:t>
      </w:r>
      <w:r w:rsidRPr="00B65CBC">
        <w:t>g</w:t>
      </w:r>
      <w:r w:rsidR="00D009D3" w:rsidRPr="00B65CBC">
        <w:t>estion des connaissances</w:t>
      </w:r>
    </w:p>
    <w:p w14:paraId="663E8E1C" w14:textId="141770D0" w:rsidR="00846269" w:rsidRPr="00B65CBC" w:rsidRDefault="00846269" w:rsidP="00B65CBC">
      <w:pPr>
        <w:pStyle w:val="Paragraph"/>
        <w:rPr>
          <w:rStyle w:val="hps"/>
        </w:rPr>
      </w:pPr>
      <w:r w:rsidRPr="00B65CBC">
        <w:rPr>
          <w:rStyle w:val="hps"/>
        </w:rPr>
        <w:t>Enfin, la dernière catégorie du plan budgétaire est consacrée au maintien et à l</w:t>
      </w:r>
      <w:r w:rsidR="00DA4D2A" w:rsidRPr="00B65CBC">
        <w:rPr>
          <w:rStyle w:val="hps"/>
        </w:rPr>
        <w:t>’</w:t>
      </w:r>
      <w:r w:rsidRPr="00B65CBC">
        <w:rPr>
          <w:rStyle w:val="hps"/>
        </w:rPr>
        <w:t>amélioration du système de gestion des connaissances de la Convention. Son importance a été reconnue à plusieurs reprises dans les précédents rapports du Comité à l</w:t>
      </w:r>
      <w:r w:rsidR="00DA4D2A" w:rsidRPr="00B65CBC">
        <w:rPr>
          <w:rStyle w:val="hps"/>
        </w:rPr>
        <w:t>’</w:t>
      </w:r>
      <w:r w:rsidRPr="00B65CBC">
        <w:rPr>
          <w:rStyle w:val="hps"/>
        </w:rPr>
        <w:t xml:space="preserve">Assemblée générale sur ses activités et dans les décisions ultérieures des </w:t>
      </w:r>
      <w:r w:rsidR="004D3B77" w:rsidRPr="00B65CBC">
        <w:rPr>
          <w:rStyle w:val="hps"/>
        </w:rPr>
        <w:t xml:space="preserve">Organes </w:t>
      </w:r>
      <w:r w:rsidR="0028727A" w:rsidRPr="00B65CBC">
        <w:rPr>
          <w:rStyle w:val="hps"/>
        </w:rPr>
        <w:t>statutaires</w:t>
      </w:r>
      <w:r w:rsidRPr="00B65CBC">
        <w:rPr>
          <w:rStyle w:val="hps"/>
        </w:rPr>
        <w:t xml:space="preserve"> de la Convention de 2003 concernant l</w:t>
      </w:r>
      <w:r w:rsidR="00DA4D2A" w:rsidRPr="00B65CBC">
        <w:rPr>
          <w:rStyle w:val="hps"/>
        </w:rPr>
        <w:t>’</w:t>
      </w:r>
      <w:r w:rsidRPr="00B65CBC">
        <w:rPr>
          <w:rStyle w:val="hps"/>
        </w:rPr>
        <w:t xml:space="preserve">utilisation des ressources du Fonds du patrimoine culturel immatériel. </w:t>
      </w:r>
      <w:r w:rsidR="004D3B77" w:rsidRPr="00B65CBC">
        <w:rPr>
          <w:rStyle w:val="hps"/>
        </w:rPr>
        <w:t>L</w:t>
      </w:r>
      <w:r w:rsidRPr="00B65CBC">
        <w:rPr>
          <w:rStyle w:val="hps"/>
        </w:rPr>
        <w:t xml:space="preserve">e système </w:t>
      </w:r>
      <w:r w:rsidR="004D3B77" w:rsidRPr="00B65CBC">
        <w:rPr>
          <w:rStyle w:val="hps"/>
        </w:rPr>
        <w:t xml:space="preserve">spécialisé </w:t>
      </w:r>
      <w:r w:rsidRPr="00B65CBC">
        <w:rPr>
          <w:rStyle w:val="hps"/>
        </w:rPr>
        <w:t xml:space="preserve">de gestion des connaissances </w:t>
      </w:r>
      <w:r w:rsidR="00AB595F" w:rsidRPr="00B65CBC">
        <w:rPr>
          <w:rStyle w:val="hps"/>
        </w:rPr>
        <w:t xml:space="preserve">de la Section </w:t>
      </w:r>
      <w:r w:rsidRPr="00B65CBC">
        <w:rPr>
          <w:rStyle w:val="hps"/>
        </w:rPr>
        <w:t>du patrimoine culturel immatériel est un outil de travail quotidien en constante évolution pour répondre aux besoins des différents utilisateurs</w:t>
      </w:r>
      <w:r w:rsidR="004D3B77" w:rsidRPr="00B65CBC">
        <w:rPr>
          <w:rStyle w:val="hps"/>
        </w:rPr>
        <w:t xml:space="preserve"> qui vont du</w:t>
      </w:r>
      <w:r w:rsidR="0028727A" w:rsidRPr="00B65CBC">
        <w:rPr>
          <w:rStyle w:val="hps"/>
        </w:rPr>
        <w:t xml:space="preserve"> </w:t>
      </w:r>
      <w:r w:rsidRPr="00B65CBC">
        <w:rPr>
          <w:rStyle w:val="hps"/>
        </w:rPr>
        <w:t xml:space="preserve">Secrétariat, </w:t>
      </w:r>
      <w:r w:rsidR="004D3B77" w:rsidRPr="00B65CBC">
        <w:rPr>
          <w:rStyle w:val="hps"/>
        </w:rPr>
        <w:t xml:space="preserve">aux </w:t>
      </w:r>
      <w:r w:rsidRPr="00B65CBC">
        <w:rPr>
          <w:rStyle w:val="hps"/>
        </w:rPr>
        <w:t xml:space="preserve">États parties, le Comité et ses organes consultatifs </w:t>
      </w:r>
      <w:r w:rsidR="0028727A" w:rsidRPr="00B65CBC">
        <w:rPr>
          <w:rStyle w:val="hps"/>
        </w:rPr>
        <w:t>mais aussi d</w:t>
      </w:r>
      <w:r w:rsidR="00DA4D2A" w:rsidRPr="00B65CBC">
        <w:rPr>
          <w:rStyle w:val="hps"/>
        </w:rPr>
        <w:t>’</w:t>
      </w:r>
      <w:r w:rsidR="0028727A" w:rsidRPr="00B65CBC">
        <w:rPr>
          <w:rStyle w:val="hps"/>
        </w:rPr>
        <w:t>autres acteurs tels que</w:t>
      </w:r>
      <w:r w:rsidRPr="00B65CBC">
        <w:rPr>
          <w:rStyle w:val="hps"/>
        </w:rPr>
        <w:t xml:space="preserve"> les </w:t>
      </w:r>
      <w:r w:rsidR="0028727A" w:rsidRPr="00B65CBC">
        <w:rPr>
          <w:rStyle w:val="hps"/>
        </w:rPr>
        <w:t xml:space="preserve">facilitateurs </w:t>
      </w:r>
      <w:r w:rsidRPr="00B65CBC">
        <w:rPr>
          <w:rStyle w:val="hps"/>
        </w:rPr>
        <w:t>d</w:t>
      </w:r>
      <w:r w:rsidR="001E74B8" w:rsidRPr="00B65CBC">
        <w:rPr>
          <w:rStyle w:val="hps"/>
        </w:rPr>
        <w:t>u</w:t>
      </w:r>
      <w:r w:rsidRPr="00B65CBC">
        <w:rPr>
          <w:rStyle w:val="hps"/>
        </w:rPr>
        <w:t xml:space="preserve"> </w:t>
      </w:r>
      <w:r w:rsidR="004D3B77" w:rsidRPr="00B65CBC">
        <w:rPr>
          <w:rStyle w:val="hps"/>
        </w:rPr>
        <w:t xml:space="preserve">programme de </w:t>
      </w:r>
      <w:r w:rsidRPr="00B65CBC">
        <w:rPr>
          <w:rStyle w:val="hps"/>
        </w:rPr>
        <w:t xml:space="preserve">renforcement des capacités </w:t>
      </w:r>
      <w:r w:rsidR="001E74B8" w:rsidRPr="00B65CBC">
        <w:t>qui disposent désormais de leur espace web dédié.</w:t>
      </w:r>
    </w:p>
    <w:p w14:paraId="4F4BA065" w14:textId="01451C06" w:rsidR="00846269" w:rsidRPr="00B65CBC" w:rsidRDefault="00DB30CA" w:rsidP="00B65CBC">
      <w:pPr>
        <w:pStyle w:val="Paragraph"/>
      </w:pPr>
      <w:r w:rsidRPr="00B65CBC">
        <w:t>En</w:t>
      </w:r>
      <w:r w:rsidR="00846269" w:rsidRPr="00B65CBC">
        <w:t xml:space="preserve"> 2012-2013, d</w:t>
      </w:r>
      <w:r w:rsidR="00DA4D2A" w:rsidRPr="00B65CBC">
        <w:t>’</w:t>
      </w:r>
      <w:r w:rsidR="00846269" w:rsidRPr="00B65CBC">
        <w:t xml:space="preserve">importantes améliorations </w:t>
      </w:r>
      <w:r w:rsidRPr="00B65CBC">
        <w:t xml:space="preserve">du système de gestion des connaissances </w:t>
      </w:r>
      <w:r w:rsidR="00846269" w:rsidRPr="00B65CBC">
        <w:t xml:space="preserve">ont été possibles. </w:t>
      </w:r>
      <w:r w:rsidRPr="00B65CBC">
        <w:t>Une plus grande a</w:t>
      </w:r>
      <w:r w:rsidR="00846269" w:rsidRPr="00B65CBC">
        <w:t xml:space="preserve">ttention </w:t>
      </w:r>
      <w:r w:rsidR="00364115" w:rsidRPr="00B65CBC">
        <w:t>dédiée à</w:t>
      </w:r>
      <w:r w:rsidR="00A26469" w:rsidRPr="00B65CBC">
        <w:t xml:space="preserve"> la</w:t>
      </w:r>
      <w:r w:rsidR="00846269" w:rsidRPr="00B65CBC">
        <w:t xml:space="preserve"> </w:t>
      </w:r>
      <w:r w:rsidR="00BA1609" w:rsidRPr="00B65CBC">
        <w:t>mise</w:t>
      </w:r>
      <w:r w:rsidR="00A26469" w:rsidRPr="00B65CBC">
        <w:t xml:space="preserve"> </w:t>
      </w:r>
      <w:r w:rsidR="00846269" w:rsidRPr="00B65CBC">
        <w:t xml:space="preserve">à jour </w:t>
      </w:r>
      <w:r w:rsidR="00A26469" w:rsidRPr="00B65CBC">
        <w:t xml:space="preserve">des </w:t>
      </w:r>
      <w:r w:rsidR="00846269" w:rsidRPr="00B65CBC">
        <w:t>nouvelles sur la page d</w:t>
      </w:r>
      <w:r w:rsidR="00DA4D2A" w:rsidRPr="00B65CBC">
        <w:t>’</w:t>
      </w:r>
      <w:r w:rsidR="00846269" w:rsidRPr="00B65CBC">
        <w:t xml:space="preserve">accueil du site a donné une grande visibilité aux programmes de renforcement des capacités mis en œuvre à travers le monde, </w:t>
      </w:r>
      <w:r w:rsidR="00A26469" w:rsidRPr="00B65CBC">
        <w:t>aux partenaires</w:t>
      </w:r>
      <w:r w:rsidR="00846269" w:rsidRPr="00B65CBC">
        <w:t xml:space="preserve"> nationaux et </w:t>
      </w:r>
      <w:r w:rsidR="00A26469" w:rsidRPr="00B65CBC">
        <w:t xml:space="preserve">aux </w:t>
      </w:r>
      <w:r w:rsidR="00846269" w:rsidRPr="00B65CBC">
        <w:t>donateurs. Le Secrétariat a également mis en place un outil d</w:t>
      </w:r>
      <w:r w:rsidR="00DA4D2A" w:rsidRPr="00B65CBC">
        <w:t>’</w:t>
      </w:r>
      <w:r w:rsidR="00846269" w:rsidRPr="00B65CBC">
        <w:t>inscription en ligne pour les participants aux différentes réunions statutaires qui a été utilisé par plus de 2</w:t>
      </w:r>
      <w:r w:rsidR="004D3B77" w:rsidRPr="00B65CBC">
        <w:t> </w:t>
      </w:r>
      <w:r w:rsidR="00846269" w:rsidRPr="00B65CBC">
        <w:t xml:space="preserve">000 personnes. Les enregistrements audio de ces réunions sont </w:t>
      </w:r>
      <w:r w:rsidR="00BA1609" w:rsidRPr="00B65CBC">
        <w:t>mis</w:t>
      </w:r>
      <w:r w:rsidR="00846269" w:rsidRPr="00B65CBC">
        <w:t xml:space="preserve"> en ligne pour consultation par le</w:t>
      </w:r>
      <w:r w:rsidR="00BA1609" w:rsidRPr="00B65CBC">
        <w:t xml:space="preserve"> grand</w:t>
      </w:r>
      <w:r w:rsidR="00846269" w:rsidRPr="00B65CBC">
        <w:t xml:space="preserve"> public. L</w:t>
      </w:r>
      <w:r w:rsidR="00DA4D2A" w:rsidRPr="00B65CBC">
        <w:t>’</w:t>
      </w:r>
      <w:r w:rsidR="00846269" w:rsidRPr="00B65CBC">
        <w:t xml:space="preserve">accessibilité des dossiers de candidature a également été améliorée pour </w:t>
      </w:r>
      <w:r w:rsidR="00BA1609" w:rsidRPr="00B65CBC">
        <w:t>une</w:t>
      </w:r>
      <w:r w:rsidR="00846269" w:rsidRPr="00B65CBC">
        <w:t xml:space="preserve"> consultation en ligne à la fois des </w:t>
      </w:r>
      <w:r w:rsidR="00BA1609" w:rsidRPr="00B65CBC">
        <w:t>dossiers</w:t>
      </w:r>
      <w:r w:rsidR="00846269" w:rsidRPr="00B65CBC">
        <w:t xml:space="preserve"> en cours de traitement </w:t>
      </w:r>
      <w:r w:rsidR="00BA1609" w:rsidRPr="00B65CBC">
        <w:t>pour un</w:t>
      </w:r>
      <w:r w:rsidR="00846269" w:rsidRPr="00B65CBC">
        <w:t xml:space="preserve"> cycle donné et </w:t>
      </w:r>
      <w:r w:rsidR="00BA1609" w:rsidRPr="00B65CBC">
        <w:t xml:space="preserve">pour </w:t>
      </w:r>
      <w:r w:rsidR="00846269" w:rsidRPr="00B65CBC">
        <w:t xml:space="preserve">ceux qui restent </w:t>
      </w:r>
      <w:r w:rsidR="00BA1609" w:rsidRPr="00B65CBC">
        <w:t>en attente</w:t>
      </w:r>
      <w:r w:rsidR="00846269" w:rsidRPr="00B65CBC">
        <w:t>. De même, les rapports périodiques sont largement disponibles en ligne, ce qui constitue une formidable source d</w:t>
      </w:r>
      <w:r w:rsidR="00DA4D2A" w:rsidRPr="00B65CBC">
        <w:t>’</w:t>
      </w:r>
      <w:r w:rsidR="00846269" w:rsidRPr="00B65CBC">
        <w:t xml:space="preserve">informations sur les </w:t>
      </w:r>
      <w:r w:rsidR="007F0022" w:rsidRPr="00B65CBC">
        <w:t xml:space="preserve">dispositions </w:t>
      </w:r>
      <w:r w:rsidR="00846269" w:rsidRPr="00B65CBC">
        <w:t>législatives, réglementaires et autres prises pour la mise en œuvre de la Convention. La gestion des demandes d</w:t>
      </w:r>
      <w:r w:rsidR="00DA4D2A" w:rsidRPr="00B65CBC">
        <w:t>’</w:t>
      </w:r>
      <w:r w:rsidR="00846269" w:rsidRPr="00B65CBC">
        <w:t>utilisation de l</w:t>
      </w:r>
      <w:r w:rsidR="00DA4D2A" w:rsidRPr="00B65CBC">
        <w:t>’</w:t>
      </w:r>
      <w:r w:rsidR="00846269" w:rsidRPr="00B65CBC">
        <w:t xml:space="preserve">emblème </w:t>
      </w:r>
      <w:r w:rsidR="00BA1609" w:rsidRPr="00B65CBC">
        <w:t>du PCI</w:t>
      </w:r>
      <w:r w:rsidR="00846269" w:rsidRPr="00B65CBC">
        <w:t xml:space="preserve"> a également </w:t>
      </w:r>
      <w:r w:rsidR="00BA1609" w:rsidRPr="00B65CBC">
        <w:t xml:space="preserve">été </w:t>
      </w:r>
      <w:r w:rsidR="00846269" w:rsidRPr="00B65CBC">
        <w:t>automatisé</w:t>
      </w:r>
      <w:r w:rsidR="00BA1609" w:rsidRPr="00B65CBC">
        <w:t>e</w:t>
      </w:r>
      <w:r w:rsidR="00846269" w:rsidRPr="00B65CBC">
        <w:t xml:space="preserve">, ce qui a grandement facilité la </w:t>
      </w:r>
      <w:r w:rsidR="00BA1609" w:rsidRPr="00B65CBC">
        <w:t>soumission</w:t>
      </w:r>
      <w:r w:rsidR="00846269" w:rsidRPr="00B65CBC">
        <w:t xml:space="preserve"> et le traitement des demandes par les États Parties et le Secrétariat. Une </w:t>
      </w:r>
      <w:hyperlink r:id="rId9" w:history="1">
        <w:r w:rsidR="00846269" w:rsidRPr="00B65CBC">
          <w:rPr>
            <w:rStyle w:val="Hyperlink"/>
          </w:rPr>
          <w:t>page web</w:t>
        </w:r>
      </w:hyperlink>
      <w:r w:rsidR="00846269" w:rsidRPr="00B65CBC">
        <w:t xml:space="preserve"> dédiée </w:t>
      </w:r>
      <w:r w:rsidR="00BA1609" w:rsidRPr="00B65CBC">
        <w:t>au</w:t>
      </w:r>
      <w:r w:rsidR="00846269" w:rsidRPr="00B65CBC">
        <w:t xml:space="preserve"> dixième anniversaire de la Convention a été lancé</w:t>
      </w:r>
      <w:r w:rsidR="00E36DD5" w:rsidRPr="00B65CBC">
        <w:t>e</w:t>
      </w:r>
      <w:r w:rsidR="00846269" w:rsidRPr="00B65CBC">
        <w:t xml:space="preserve"> en 2013</w:t>
      </w:r>
      <w:r w:rsidR="00E36DD5" w:rsidRPr="00B65CBC">
        <w:t>.</w:t>
      </w:r>
      <w:r w:rsidR="00846269" w:rsidRPr="00B65CBC">
        <w:t xml:space="preserve"> </w:t>
      </w:r>
      <w:r w:rsidR="00E36DD5" w:rsidRPr="00B65CBC">
        <w:t>T</w:t>
      </w:r>
      <w:r w:rsidR="00846269" w:rsidRPr="00B65CBC">
        <w:t>outes les parties prenantes impliquées dans la sauvegarde du patrimoine culturel immatériel sont invité</w:t>
      </w:r>
      <w:r w:rsidR="00E36DD5" w:rsidRPr="00B65CBC">
        <w:t>e</w:t>
      </w:r>
      <w:r w:rsidR="00846269" w:rsidRPr="00B65CBC">
        <w:t xml:space="preserve">s à </w:t>
      </w:r>
      <w:r w:rsidR="00E36DD5" w:rsidRPr="00B65CBC">
        <w:t xml:space="preserve">y </w:t>
      </w:r>
      <w:r w:rsidR="00846269" w:rsidRPr="00B65CBC">
        <w:t>partager les événements et les activités qu</w:t>
      </w:r>
      <w:r w:rsidR="00DA4D2A" w:rsidRPr="00B65CBC">
        <w:t>’</w:t>
      </w:r>
      <w:r w:rsidR="00E36DD5" w:rsidRPr="00B65CBC">
        <w:t>elles</w:t>
      </w:r>
      <w:r w:rsidR="00846269" w:rsidRPr="00B65CBC">
        <w:t xml:space="preserve"> organisent pour célébrer</w:t>
      </w:r>
      <w:r w:rsidR="00E36DD5" w:rsidRPr="00B65CBC">
        <w:t xml:space="preserve"> le dixième anniversaire</w:t>
      </w:r>
      <w:r w:rsidR="00846269" w:rsidRPr="00B65CBC">
        <w:t>. À ce jour, plus de soixante activités ont été signalé</w:t>
      </w:r>
      <w:r w:rsidR="00E36DD5" w:rsidRPr="00B65CBC">
        <w:t>e</w:t>
      </w:r>
      <w:r w:rsidR="00846269" w:rsidRPr="00B65CBC">
        <w:t>s et peuvent être consulté</w:t>
      </w:r>
      <w:r w:rsidR="007F0022" w:rsidRPr="00B65CBC">
        <w:t>e</w:t>
      </w:r>
      <w:r w:rsidR="00846269" w:rsidRPr="00B65CBC">
        <w:t xml:space="preserve">s sur une carte, un calendrier et une liste dans leur langue originale. Enfin, </w:t>
      </w:r>
      <w:r w:rsidR="007F0022" w:rsidRPr="00B65CBC">
        <w:t xml:space="preserve">des </w:t>
      </w:r>
      <w:r w:rsidR="00846269" w:rsidRPr="00B65CBC">
        <w:t>programmation</w:t>
      </w:r>
      <w:r w:rsidR="007F0022" w:rsidRPr="00B65CBC">
        <w:t>s sont en cours pour</w:t>
      </w:r>
      <w:r w:rsidR="00846269" w:rsidRPr="00B65CBC">
        <w:t xml:space="preserve"> </w:t>
      </w:r>
      <w:r w:rsidR="007F0022" w:rsidRPr="00B65CBC">
        <w:t xml:space="preserve">permettre </w:t>
      </w:r>
      <w:r w:rsidR="00846269" w:rsidRPr="00B65CBC">
        <w:t xml:space="preserve">bientôt la création de pages de profil </w:t>
      </w:r>
      <w:r w:rsidR="00E36DD5" w:rsidRPr="00B65CBC">
        <w:t>par</w:t>
      </w:r>
      <w:r w:rsidR="00846269" w:rsidRPr="00B65CBC">
        <w:t xml:space="preserve"> pays qui rassemblera les différents types de données recueillies par le Secrétariat pour chaque pays. Avec de nouveaux développements, cet outil permettra d</w:t>
      </w:r>
      <w:r w:rsidR="00DA4D2A" w:rsidRPr="00B65CBC">
        <w:t>’</w:t>
      </w:r>
      <w:r w:rsidR="00846269" w:rsidRPr="00B65CBC">
        <w:t>améliorer non seulement la disponibilité de l</w:t>
      </w:r>
      <w:r w:rsidR="00DA4D2A" w:rsidRPr="00B65CBC">
        <w:t>’</w:t>
      </w:r>
      <w:r w:rsidR="00846269" w:rsidRPr="00B65CBC">
        <w:t xml:space="preserve">information pour le grand public, mais </w:t>
      </w:r>
      <w:r w:rsidR="00E36DD5" w:rsidRPr="00B65CBC">
        <w:t>également un suivi</w:t>
      </w:r>
      <w:r w:rsidR="00846269" w:rsidRPr="00B65CBC">
        <w:t xml:space="preserve"> </w:t>
      </w:r>
      <w:r w:rsidR="00E36DD5" w:rsidRPr="00B65CBC">
        <w:t xml:space="preserve">efficace du </w:t>
      </w:r>
      <w:r w:rsidR="00846269" w:rsidRPr="00B65CBC">
        <w:t>Secrétariat</w:t>
      </w:r>
      <w:r w:rsidR="00E36DD5" w:rsidRPr="00B65CBC">
        <w:t>.</w:t>
      </w:r>
    </w:p>
    <w:p w14:paraId="55E390E8" w14:textId="3B2B4B3B" w:rsidR="00E36DD5" w:rsidRPr="00B65CBC" w:rsidRDefault="00E36DD5" w:rsidP="00B65CBC">
      <w:pPr>
        <w:pStyle w:val="Paragraph"/>
      </w:pPr>
      <w:r w:rsidRPr="00B65CBC">
        <w:t>D</w:t>
      </w:r>
      <w:r w:rsidR="00DA4D2A" w:rsidRPr="00B65CBC">
        <w:t>’</w:t>
      </w:r>
      <w:r w:rsidRPr="00B65CBC">
        <w:t>autres rapports détaillés sur l</w:t>
      </w:r>
      <w:r w:rsidR="00DA4D2A" w:rsidRPr="00B65CBC">
        <w:t>’</w:t>
      </w:r>
      <w:r w:rsidRPr="00B65CBC">
        <w:t>état d</w:t>
      </w:r>
      <w:r w:rsidR="00DA4D2A" w:rsidRPr="00B65CBC">
        <w:t>’</w:t>
      </w:r>
      <w:r w:rsidRPr="00B65CBC">
        <w:t>avancement de la mise en œuvre et l</w:t>
      </w:r>
      <w:r w:rsidR="00DA4D2A" w:rsidRPr="00B65CBC">
        <w:t>’</w:t>
      </w:r>
      <w:r w:rsidRPr="00B65CBC">
        <w:t xml:space="preserve">utilisation des fonds peuvent être trouvés dans les documents ITH/11/6.COM 2.BUR/4, </w:t>
      </w:r>
      <w:r w:rsidRPr="00B65CBC">
        <w:rPr>
          <w:rStyle w:val="atenuated"/>
        </w:rPr>
        <w:t>ITH/12/7.COM 3.BUR/5 and ITH/12/7.COM 5.BUR/5.</w:t>
      </w:r>
    </w:p>
    <w:p w14:paraId="78AC4EF7" w14:textId="75D755DB" w:rsidR="006A0426" w:rsidRPr="00B65CBC" w:rsidRDefault="007F0022" w:rsidP="00B65CBC">
      <w:pPr>
        <w:pStyle w:val="Heading1"/>
      </w:pPr>
      <w:r w:rsidRPr="00B65CBC">
        <w:t>Dépenses proposées pour les « Autres fonctions du Comité » jusqu’au 31 décembre 2013</w:t>
      </w:r>
    </w:p>
    <w:p w14:paraId="77CB2C97" w14:textId="6105B754" w:rsidR="009214C8" w:rsidRPr="00B65CBC" w:rsidRDefault="009214C8" w:rsidP="00B65CBC">
      <w:pPr>
        <w:pStyle w:val="Paragraph"/>
      </w:pPr>
      <w:r w:rsidRPr="00B65CBC">
        <w:t>Les principales catégories de dépenses (voir annexe) restent inchangé</w:t>
      </w:r>
      <w:r w:rsidR="00205F13" w:rsidRPr="00B65CBC">
        <w:t>e</w:t>
      </w:r>
      <w:r w:rsidRPr="00B65CBC">
        <w:t>s et conformes aux Directives opérationnelles, aux résolutions de l</w:t>
      </w:r>
      <w:r w:rsidR="00DA4D2A" w:rsidRPr="00B65CBC">
        <w:t>’</w:t>
      </w:r>
      <w:r w:rsidRPr="00B65CBC">
        <w:t>Assemblée générale et aux décisions du Comité: A) renforcement des capacités (48%), B) promotion et diffusion des meilleures pratiques de sauvegarde (7%)</w:t>
      </w:r>
      <w:r w:rsidR="005C4A4E" w:rsidRPr="00B65CBC">
        <w:t>,</w:t>
      </w:r>
      <w:r w:rsidRPr="00B65CBC">
        <w:t xml:space="preserve"> C), communication et visibilité (19%) et D) </w:t>
      </w:r>
      <w:r w:rsidR="00A06AEB" w:rsidRPr="00B65CBC">
        <w:t>service</w:t>
      </w:r>
      <w:r w:rsidR="005C4A4E" w:rsidRPr="00B65CBC">
        <w:t>s</w:t>
      </w:r>
      <w:r w:rsidRPr="00B65CBC">
        <w:t xml:space="preserve"> de gestion des connaissances (26%)</w:t>
      </w:r>
      <w:r w:rsidR="005C4A4E" w:rsidRPr="00B65CBC">
        <w:rPr>
          <w:vertAlign w:val="superscript"/>
        </w:rPr>
        <w:footnoteReference w:id="2"/>
      </w:r>
      <w:r w:rsidRPr="00B65CBC">
        <w:t xml:space="preserve">. </w:t>
      </w:r>
      <w:r w:rsidR="00205F13" w:rsidRPr="00B65CBC">
        <w:t xml:space="preserve">La présente </w:t>
      </w:r>
      <w:r w:rsidRPr="00B65CBC">
        <w:t xml:space="preserve">décision </w:t>
      </w:r>
      <w:r w:rsidR="00205F13" w:rsidRPr="00B65CBC">
        <w:t xml:space="preserve">du Bureau </w:t>
      </w:r>
      <w:r w:rsidRPr="00B65CBC">
        <w:t xml:space="preserve">concerne la colonne </w:t>
      </w:r>
      <w:r w:rsidR="0082546F" w:rsidRPr="00B65CBC">
        <w:t>« </w:t>
      </w:r>
      <w:r w:rsidR="00205F13" w:rsidRPr="00B65CBC">
        <w:t>allocation révisé</w:t>
      </w:r>
      <w:r w:rsidR="0082546F" w:rsidRPr="00B65CBC">
        <w:t>e proposée</w:t>
      </w:r>
      <w:r w:rsidR="00205F13" w:rsidRPr="00B65CBC">
        <w:t> »</w:t>
      </w:r>
      <w:r w:rsidRPr="00B65CBC">
        <w:t xml:space="preserve"> du tableau joint en annexe. L</w:t>
      </w:r>
      <w:r w:rsidR="00DA4D2A" w:rsidRPr="00B65CBC">
        <w:t>’</w:t>
      </w:r>
      <w:r w:rsidRPr="00B65CBC">
        <w:t>augmentation de l</w:t>
      </w:r>
      <w:r w:rsidR="00DA4D2A" w:rsidRPr="00B65CBC">
        <w:t>’</w:t>
      </w:r>
      <w:r w:rsidRPr="00B65CBC">
        <w:t xml:space="preserve">allocation correspondant aux fonds </w:t>
      </w:r>
      <w:r w:rsidR="00A80BAC" w:rsidRPr="00B65CBC">
        <w:t>dont l</w:t>
      </w:r>
      <w:r w:rsidR="00DA4D2A" w:rsidRPr="00B65CBC">
        <w:t>’</w:t>
      </w:r>
      <w:r w:rsidR="00A80BAC" w:rsidRPr="00B65CBC">
        <w:t>utilisation</w:t>
      </w:r>
      <w:r w:rsidRPr="00B65CBC">
        <w:t xml:space="preserve"> n</w:t>
      </w:r>
      <w:r w:rsidR="00DA4D2A" w:rsidRPr="00B65CBC">
        <w:t>’</w:t>
      </w:r>
      <w:r w:rsidRPr="00B65CBC">
        <w:t>a pas encore été approuvé</w:t>
      </w:r>
      <w:r w:rsidR="00A80BAC" w:rsidRPr="00B65CBC">
        <w:t>e</w:t>
      </w:r>
      <w:r w:rsidRPr="00B65CBC">
        <w:t xml:space="preserve"> par le Bureau (129</w:t>
      </w:r>
      <w:r w:rsidR="00A80BAC" w:rsidRPr="00B65CBC">
        <w:t> </w:t>
      </w:r>
      <w:r w:rsidRPr="00B65CBC">
        <w:t xml:space="preserve">898 </w:t>
      </w:r>
      <w:r w:rsidR="00A80BAC" w:rsidRPr="00B65CBC">
        <w:t xml:space="preserve">dollars des </w:t>
      </w:r>
      <w:r w:rsidR="005C4A4E" w:rsidRPr="00B65CBC">
        <w:t>É</w:t>
      </w:r>
      <w:r w:rsidR="00A80BAC" w:rsidRPr="00B65CBC">
        <w:t>tats-Unis</w:t>
      </w:r>
      <w:r w:rsidRPr="00B65CBC">
        <w:t xml:space="preserve">) se traduit par une augmentation </w:t>
      </w:r>
      <w:r w:rsidR="005C4A4E" w:rsidRPr="00B65CBC">
        <w:t>de certaines</w:t>
      </w:r>
      <w:r w:rsidRPr="00B65CBC">
        <w:t xml:space="preserve"> lignes ainsi que par une réduction des lignes dédiées au développement de</w:t>
      </w:r>
      <w:r w:rsidR="002D56A2" w:rsidRPr="00B65CBC">
        <w:t>s</w:t>
      </w:r>
      <w:r w:rsidRPr="00B65CBC">
        <w:t xml:space="preserve"> contenu</w:t>
      </w:r>
      <w:r w:rsidR="002D56A2" w:rsidRPr="00B65CBC">
        <w:t>s</w:t>
      </w:r>
      <w:r w:rsidRPr="00B65CBC">
        <w:t xml:space="preserve"> pour les programmes de formation, l</w:t>
      </w:r>
      <w:r w:rsidR="00DA4D2A" w:rsidRPr="00B65CBC">
        <w:t>’</w:t>
      </w:r>
      <w:r w:rsidRPr="00B65CBC">
        <w:t>organisation de l</w:t>
      </w:r>
      <w:r w:rsidR="00DA4D2A" w:rsidRPr="00B65CBC">
        <w:t>’</w:t>
      </w:r>
      <w:r w:rsidRPr="00B65CBC">
        <w:t>atelier de renforcement des capacités avec l</w:t>
      </w:r>
      <w:r w:rsidR="00DA4D2A" w:rsidRPr="00B65CBC">
        <w:t>’</w:t>
      </w:r>
      <w:r w:rsidRPr="00B65CBC">
        <w:t xml:space="preserve">Ecole du </w:t>
      </w:r>
      <w:r w:rsidR="000323DC" w:rsidRPr="00B65CBC">
        <w:t>p</w:t>
      </w:r>
      <w:r w:rsidRPr="00B65CBC">
        <w:t xml:space="preserve">atrimoine </w:t>
      </w:r>
      <w:r w:rsidR="000323DC" w:rsidRPr="00B65CBC">
        <w:t>a</w:t>
      </w:r>
      <w:r w:rsidRPr="00B65CBC">
        <w:t xml:space="preserve">fricain (EPA) au printemps 2012, la publication des </w:t>
      </w:r>
      <w:r w:rsidR="007F0022" w:rsidRPr="00B65CBC">
        <w:t>T</w:t>
      </w:r>
      <w:r w:rsidRPr="00B65CBC">
        <w:t>extes fondamentaux et des brochures annuelles</w:t>
      </w:r>
      <w:r w:rsidR="002D56A2" w:rsidRPr="00B65CBC">
        <w:t>,</w:t>
      </w:r>
      <w:r w:rsidRPr="00B65CBC">
        <w:t xml:space="preserve"> et </w:t>
      </w:r>
      <w:r w:rsidR="002D56A2" w:rsidRPr="00B65CBC">
        <w:t xml:space="preserve">les </w:t>
      </w:r>
      <w:r w:rsidR="0082546F" w:rsidRPr="00B65CBC">
        <w:t>services</w:t>
      </w:r>
      <w:r w:rsidRPr="00B65CBC">
        <w:t xml:space="preserve"> de gestion des connaissances. D</w:t>
      </w:r>
      <w:r w:rsidR="00DA4D2A" w:rsidRPr="00B65CBC">
        <w:t>’</w:t>
      </w:r>
      <w:r w:rsidRPr="00B65CBC">
        <w:t>autres lignes restent inchangées</w:t>
      </w:r>
      <w:r w:rsidR="002D56A2" w:rsidRPr="00B65CBC">
        <w:t>.</w:t>
      </w:r>
    </w:p>
    <w:p w14:paraId="7465E343" w14:textId="5C0002FB" w:rsidR="00846269" w:rsidRPr="00B65CBC" w:rsidRDefault="00846269" w:rsidP="00B65CBC">
      <w:pPr>
        <w:pStyle w:val="Paragraph"/>
      </w:pPr>
      <w:r w:rsidRPr="00B65CBC">
        <w:t>Dans la catégorie</w:t>
      </w:r>
      <w:r w:rsidRPr="00B65CBC">
        <w:rPr>
          <w:rStyle w:val="hps"/>
          <w:b/>
        </w:rPr>
        <w:t xml:space="preserve"> </w:t>
      </w:r>
      <w:r w:rsidR="00A06AEB" w:rsidRPr="00B65CBC">
        <w:rPr>
          <w:rStyle w:val="hps"/>
          <w:b/>
        </w:rPr>
        <w:t>« </w:t>
      </w:r>
      <w:r w:rsidRPr="00B65CBC">
        <w:rPr>
          <w:rStyle w:val="hps"/>
          <w:b/>
          <w:color w:val="333333"/>
        </w:rPr>
        <w:t>renforcement des capacités</w:t>
      </w:r>
      <w:r w:rsidR="00A06AEB" w:rsidRPr="00B65CBC">
        <w:rPr>
          <w:rStyle w:val="hps"/>
          <w:b/>
          <w:color w:val="333333"/>
        </w:rPr>
        <w:t> »</w:t>
      </w:r>
      <w:r w:rsidRPr="00B65CBC">
        <w:rPr>
          <w:rStyle w:val="hps"/>
          <w:b/>
        </w:rPr>
        <w:t xml:space="preserve"> </w:t>
      </w:r>
      <w:r w:rsidRPr="00B65CBC">
        <w:rPr>
          <w:rStyle w:val="hps"/>
          <w:b/>
          <w:color w:val="333333"/>
        </w:rPr>
        <w:t>(point</w:t>
      </w:r>
      <w:r w:rsidRPr="00B65CBC">
        <w:rPr>
          <w:rStyle w:val="hps"/>
          <w:b/>
        </w:rPr>
        <w:t xml:space="preserve"> </w:t>
      </w:r>
      <w:r w:rsidRPr="00B65CBC">
        <w:rPr>
          <w:rStyle w:val="hps"/>
          <w:b/>
          <w:color w:val="333333"/>
        </w:rPr>
        <w:t>A)</w:t>
      </w:r>
      <w:r w:rsidRPr="00B65CBC">
        <w:t>,</w:t>
      </w:r>
      <w:r w:rsidRPr="00B65CBC">
        <w:rPr>
          <w:rStyle w:val="hps"/>
        </w:rPr>
        <w:t xml:space="preserve"> </w:t>
      </w:r>
      <w:r w:rsidRPr="00B65CBC">
        <w:t xml:space="preserve">les principales dépenses proposées </w:t>
      </w:r>
      <w:r w:rsidR="000323DC" w:rsidRPr="00B65CBC">
        <w:t>concernent</w:t>
      </w:r>
      <w:r w:rsidRPr="00B65CBC">
        <w:t xml:space="preserve"> le développement de programmes de formation et l</w:t>
      </w:r>
      <w:r w:rsidR="00DA4D2A" w:rsidRPr="00B65CBC">
        <w:t>’</w:t>
      </w:r>
      <w:r w:rsidRPr="00B65CBC">
        <w:t>organisation d</w:t>
      </w:r>
      <w:r w:rsidR="00DA4D2A" w:rsidRPr="00B65CBC">
        <w:t>’</w:t>
      </w:r>
      <w:r w:rsidRPr="00B65CBC">
        <w:t>un atelier de formation pour le personnel de l</w:t>
      </w:r>
      <w:r w:rsidR="00DA4D2A" w:rsidRPr="00B65CBC">
        <w:t>’</w:t>
      </w:r>
      <w:r w:rsidRPr="00B65CBC">
        <w:t xml:space="preserve">Ecole du </w:t>
      </w:r>
      <w:r w:rsidR="000323DC" w:rsidRPr="00B65CBC">
        <w:t>p</w:t>
      </w:r>
      <w:r w:rsidRPr="00B65CBC">
        <w:t xml:space="preserve">atrimoine </w:t>
      </w:r>
      <w:r w:rsidR="000323DC" w:rsidRPr="00B65CBC">
        <w:t>a</w:t>
      </w:r>
      <w:r w:rsidRPr="00B65CBC">
        <w:t xml:space="preserve">fricain (EPA) sur les </w:t>
      </w:r>
      <w:r w:rsidR="000323DC" w:rsidRPr="00B65CBC">
        <w:t>inventaires avec la participation des communautés</w:t>
      </w:r>
      <w:r w:rsidRPr="00B65CBC">
        <w:t xml:space="preserve">, </w:t>
      </w:r>
      <w:r w:rsidR="000323DC" w:rsidRPr="00B65CBC">
        <w:t>suite à l</w:t>
      </w:r>
      <w:r w:rsidR="00DA4D2A" w:rsidRPr="00B65CBC">
        <w:t>’</w:t>
      </w:r>
      <w:r w:rsidR="000323DC" w:rsidRPr="00B65CBC">
        <w:t>atelier</w:t>
      </w:r>
      <w:r w:rsidRPr="00B65CBC">
        <w:t xml:space="preserve"> mentionné </w:t>
      </w:r>
      <w:r w:rsidR="000323DC" w:rsidRPr="00B65CBC">
        <w:t>ci-dessus de</w:t>
      </w:r>
      <w:r w:rsidRPr="00B65CBC">
        <w:t xml:space="preserve"> l</w:t>
      </w:r>
      <w:r w:rsidR="00DA4D2A" w:rsidRPr="00B65CBC">
        <w:t>’</w:t>
      </w:r>
      <w:r w:rsidRPr="00B65CBC">
        <w:t>EPA sur la mise en œuvre de la Convention qui a eu lieu au printemps 2012. Pour les programmes de formation, l</w:t>
      </w:r>
      <w:r w:rsidR="00DA4D2A" w:rsidRPr="00B65CBC">
        <w:t>’</w:t>
      </w:r>
      <w:r w:rsidRPr="00B65CBC">
        <w:t xml:space="preserve">accent sera mis sur la finalisation de la documentation existante afin de refléter les changements introduits par les organes </w:t>
      </w:r>
      <w:r w:rsidR="000323DC" w:rsidRPr="00B65CBC">
        <w:t>statutaires</w:t>
      </w:r>
      <w:r w:rsidRPr="00B65CBC">
        <w:t xml:space="preserve"> de la Convention ainsi que la traduction en différentes langues. Bien que les coûts de traduction dans </w:t>
      </w:r>
      <w:r w:rsidR="000323DC" w:rsidRPr="00B65CBC">
        <w:t>d</w:t>
      </w:r>
      <w:r w:rsidR="00DA4D2A" w:rsidRPr="00B65CBC">
        <w:t>’</w:t>
      </w:r>
      <w:r w:rsidR="000323DC" w:rsidRPr="00B65CBC">
        <w:t xml:space="preserve">autres </w:t>
      </w:r>
      <w:r w:rsidRPr="00B65CBC">
        <w:t>langues que le français et l</w:t>
      </w:r>
      <w:r w:rsidR="00DA4D2A" w:rsidRPr="00B65CBC">
        <w:t>’</w:t>
      </w:r>
      <w:r w:rsidRPr="00B65CBC">
        <w:t xml:space="preserve">anglais </w:t>
      </w:r>
      <w:r w:rsidR="002C27D4" w:rsidRPr="00B65CBC">
        <w:t>sont</w:t>
      </w:r>
      <w:r w:rsidRPr="00B65CBC">
        <w:t xml:space="preserve"> autant que possible imputé</w:t>
      </w:r>
      <w:r w:rsidR="002C27D4" w:rsidRPr="00B65CBC">
        <w:t>s</w:t>
      </w:r>
      <w:r w:rsidRPr="00B65CBC">
        <w:t xml:space="preserve"> à des projets opérationnels, le soutien du Fonds est nécessaire pour assurer </w:t>
      </w:r>
      <w:r w:rsidR="002C27D4" w:rsidRPr="00B65CBC">
        <w:t xml:space="preserve">une </w:t>
      </w:r>
      <w:r w:rsidRPr="00B65CBC">
        <w:t>cohérence entre les différentes versions linguistiques. Il est également proposé qu</w:t>
      </w:r>
      <w:r w:rsidR="00DA4D2A" w:rsidRPr="00B65CBC">
        <w:t>’</w:t>
      </w:r>
      <w:r w:rsidRPr="00B65CBC">
        <w:t xml:space="preserve">une partie des fonds </w:t>
      </w:r>
      <w:r w:rsidR="002C27D4" w:rsidRPr="00B65CBC">
        <w:t xml:space="preserve">soit </w:t>
      </w:r>
      <w:r w:rsidRPr="00B65CBC">
        <w:t xml:space="preserve">consacrée à développer du matériel supplémentaire sur des thèmes spécifiques tels que le </w:t>
      </w:r>
      <w:r w:rsidR="002C27D4" w:rsidRPr="00B65CBC">
        <w:t>genre</w:t>
      </w:r>
      <w:r w:rsidRPr="00B65CBC">
        <w:t>, l</w:t>
      </w:r>
      <w:r w:rsidR="00DA4D2A" w:rsidRPr="00B65CBC">
        <w:t>’</w:t>
      </w:r>
      <w:r w:rsidRPr="00B65CBC">
        <w:t>éducation et leurs relations respectives au patrimoine culturel immatériel. Dans l</w:t>
      </w:r>
      <w:r w:rsidR="00DA4D2A" w:rsidRPr="00B65CBC">
        <w:t>’</w:t>
      </w:r>
      <w:r w:rsidRPr="00B65CBC">
        <w:t>ensemble, cette catégorie reflète une augmentation totale de 163</w:t>
      </w:r>
      <w:r w:rsidR="002C27D4" w:rsidRPr="00B65CBC">
        <w:t> </w:t>
      </w:r>
      <w:r w:rsidRPr="00B65CBC">
        <w:t>811</w:t>
      </w:r>
      <w:r w:rsidR="002C27D4" w:rsidRPr="00B65CBC">
        <w:t xml:space="preserve"> dollars des </w:t>
      </w:r>
      <w:r w:rsidR="00FA61EE" w:rsidRPr="00B65CBC">
        <w:t>É</w:t>
      </w:r>
      <w:r w:rsidR="002C27D4" w:rsidRPr="00B65CBC">
        <w:t xml:space="preserve">tats-Unis </w:t>
      </w:r>
      <w:r w:rsidRPr="00B65CBC">
        <w:t>proposé dans le tableau annexé.</w:t>
      </w:r>
    </w:p>
    <w:p w14:paraId="553169F5" w14:textId="3843056D" w:rsidR="00846269" w:rsidRPr="00B65CBC" w:rsidRDefault="00846269" w:rsidP="00B65CBC">
      <w:pPr>
        <w:pStyle w:val="Paragraph"/>
        <w:rPr>
          <w:rStyle w:val="hps"/>
          <w:color w:val="333333"/>
        </w:rPr>
      </w:pPr>
      <w:r w:rsidRPr="00B65CBC">
        <w:t>Aucun changement n</w:t>
      </w:r>
      <w:r w:rsidR="00DA4D2A" w:rsidRPr="00B65CBC">
        <w:t>’</w:t>
      </w:r>
      <w:r w:rsidRPr="00B65CBC">
        <w:t xml:space="preserve">est proposé </w:t>
      </w:r>
      <w:r w:rsidR="001F7F78" w:rsidRPr="00B65CBC">
        <w:t>pour</w:t>
      </w:r>
      <w:r w:rsidRPr="00B65CBC">
        <w:t xml:space="preserve"> la ligne des</w:t>
      </w:r>
      <w:r w:rsidRPr="00B65CBC">
        <w:rPr>
          <w:rStyle w:val="hps"/>
          <w:color w:val="333333"/>
        </w:rPr>
        <w:t xml:space="preserve"> </w:t>
      </w:r>
      <w:r w:rsidR="001F7F78" w:rsidRPr="00B65CBC">
        <w:rPr>
          <w:rStyle w:val="hps"/>
          <w:b/>
          <w:color w:val="333333"/>
        </w:rPr>
        <w:t>« </w:t>
      </w:r>
      <w:r w:rsidRPr="00B65CBC">
        <w:rPr>
          <w:rStyle w:val="hps"/>
          <w:b/>
          <w:color w:val="333333"/>
        </w:rPr>
        <w:t>meilleures</w:t>
      </w:r>
      <w:r w:rsidRPr="00B65CBC">
        <w:rPr>
          <w:rStyle w:val="hps"/>
          <w:b/>
        </w:rPr>
        <w:t xml:space="preserve"> </w:t>
      </w:r>
      <w:r w:rsidRPr="00B65CBC">
        <w:rPr>
          <w:rStyle w:val="hps"/>
          <w:b/>
          <w:color w:val="333333"/>
        </w:rPr>
        <w:t>pratiques de sauvegarde</w:t>
      </w:r>
      <w:r w:rsidR="001F7F78" w:rsidRPr="00B65CBC">
        <w:rPr>
          <w:rStyle w:val="hps"/>
          <w:b/>
          <w:color w:val="333333"/>
        </w:rPr>
        <w:t> »</w:t>
      </w:r>
      <w:r w:rsidRPr="00B65CBC">
        <w:rPr>
          <w:rStyle w:val="hps"/>
          <w:b/>
        </w:rPr>
        <w:t xml:space="preserve"> (point </w:t>
      </w:r>
      <w:r w:rsidRPr="00B65CBC">
        <w:rPr>
          <w:rStyle w:val="hps"/>
          <w:b/>
          <w:color w:val="333333"/>
        </w:rPr>
        <w:t>B</w:t>
      </w:r>
      <w:r w:rsidRPr="00B65CBC">
        <w:rPr>
          <w:rStyle w:val="hps"/>
          <w:b/>
        </w:rPr>
        <w:t xml:space="preserve">) </w:t>
      </w:r>
      <w:r w:rsidRPr="00B65CBC">
        <w:t>et le Secrétariat prévoit d</w:t>
      </w:r>
      <w:r w:rsidR="00DA4D2A" w:rsidRPr="00B65CBC">
        <w:t>’</w:t>
      </w:r>
      <w:r w:rsidRPr="00B65CBC">
        <w:t>engager le reste de</w:t>
      </w:r>
      <w:r w:rsidR="001F7F78" w:rsidRPr="00B65CBC">
        <w:t>s</w:t>
      </w:r>
      <w:r w:rsidRPr="00B65CBC">
        <w:t xml:space="preserve"> 50</w:t>
      </w:r>
      <w:r w:rsidR="001F7F78" w:rsidRPr="00B65CBC">
        <w:t> </w:t>
      </w:r>
      <w:r w:rsidRPr="00B65CBC">
        <w:t>712</w:t>
      </w:r>
      <w:r w:rsidR="001F7F78" w:rsidRPr="00B65CBC">
        <w:t xml:space="preserve"> dollars des </w:t>
      </w:r>
      <w:r w:rsidR="00FA61EE" w:rsidRPr="00B65CBC">
        <w:t>É</w:t>
      </w:r>
      <w:r w:rsidR="001F7F78" w:rsidRPr="00B65CBC">
        <w:t xml:space="preserve">tats-Unis </w:t>
      </w:r>
      <w:r w:rsidRPr="00B65CBC">
        <w:t>avant le 31</w:t>
      </w:r>
      <w:r w:rsidR="001F7F78" w:rsidRPr="00B65CBC">
        <w:t> d</w:t>
      </w:r>
      <w:r w:rsidRPr="00B65CBC">
        <w:t>écembre</w:t>
      </w:r>
      <w:r w:rsidR="001F7F78" w:rsidRPr="00B65CBC">
        <w:t> </w:t>
      </w:r>
      <w:r w:rsidRPr="00B65CBC">
        <w:t>2013 pour le développement de matériel d</w:t>
      </w:r>
      <w:r w:rsidR="00DA4D2A" w:rsidRPr="00B65CBC">
        <w:t>’</w:t>
      </w:r>
      <w:r w:rsidRPr="00B65CBC">
        <w:t xml:space="preserve">information supplémentaire </w:t>
      </w:r>
      <w:r w:rsidR="001F7F78" w:rsidRPr="00B65CBC">
        <w:t>concernant</w:t>
      </w:r>
      <w:r w:rsidRPr="00B65CBC">
        <w:t xml:space="preserve"> un</w:t>
      </w:r>
      <w:r w:rsidR="001F7F78" w:rsidRPr="00B65CBC">
        <w:t>e</w:t>
      </w:r>
      <w:r w:rsidRPr="00B65CBC">
        <w:t xml:space="preserve"> ou deux des meilleures pratiques parmi ce</w:t>
      </w:r>
      <w:r w:rsidR="001F7F78" w:rsidRPr="00B65CBC">
        <w:t>lles</w:t>
      </w:r>
      <w:r w:rsidRPr="00B65CBC">
        <w:t xml:space="preserve"> qui ont déjà été sélectionné</w:t>
      </w:r>
      <w:r w:rsidR="001F7F78" w:rsidRPr="00B65CBC">
        <w:t>e</w:t>
      </w:r>
      <w:r w:rsidRPr="00B65CBC">
        <w:t xml:space="preserve">s par le Comité. Ces activités visent à encourager la recherche sur les mesures de sauvegarde incluses dans ces programmes et </w:t>
      </w:r>
      <w:r w:rsidR="001F7F78" w:rsidRPr="00B65CBC">
        <w:t xml:space="preserve">à </w:t>
      </w:r>
      <w:r w:rsidRPr="00B65CBC">
        <w:t xml:space="preserve">rendre </w:t>
      </w:r>
      <w:r w:rsidR="001F7F78" w:rsidRPr="00B65CBC">
        <w:t xml:space="preserve">disponibles </w:t>
      </w:r>
      <w:r w:rsidRPr="00B65CBC">
        <w:t xml:space="preserve">les informations à leur sujet </w:t>
      </w:r>
      <w:r w:rsidR="001F7F78" w:rsidRPr="00B65CBC">
        <w:t>ainsi que</w:t>
      </w:r>
      <w:r w:rsidRPr="00B65CBC">
        <w:t xml:space="preserve"> les expériences acquises</w:t>
      </w:r>
      <w:r w:rsidR="001F7F78" w:rsidRPr="00B65CBC">
        <w:t>.</w:t>
      </w:r>
    </w:p>
    <w:p w14:paraId="53B55E3D" w14:textId="52627ABA" w:rsidR="00846269" w:rsidRPr="00B65CBC" w:rsidRDefault="00846269" w:rsidP="00B65CBC">
      <w:pPr>
        <w:pStyle w:val="Paragraph"/>
      </w:pPr>
      <w:r w:rsidRPr="00B65CBC">
        <w:t>Une légère augmentation de 17</w:t>
      </w:r>
      <w:r w:rsidR="001F7F78" w:rsidRPr="00B65CBC">
        <w:t> </w:t>
      </w:r>
      <w:r w:rsidRPr="00B65CBC">
        <w:t>337</w:t>
      </w:r>
      <w:r w:rsidR="001F7F78" w:rsidRPr="00B65CBC">
        <w:t xml:space="preserve"> dollars des </w:t>
      </w:r>
      <w:r w:rsidR="00FA61EE" w:rsidRPr="00B65CBC">
        <w:t>É</w:t>
      </w:r>
      <w:r w:rsidR="001F7F78" w:rsidRPr="00B65CBC">
        <w:t>tats-Unis</w:t>
      </w:r>
      <w:r w:rsidRPr="00B65CBC">
        <w:t xml:space="preserve"> est proposé</w:t>
      </w:r>
      <w:r w:rsidR="001F7F78" w:rsidRPr="00B65CBC">
        <w:t>e</w:t>
      </w:r>
      <w:r w:rsidRPr="00B65CBC">
        <w:t xml:space="preserve"> pour </w:t>
      </w:r>
      <w:r w:rsidR="001F7F78" w:rsidRPr="00B65CBC">
        <w:t xml:space="preserve">la catégorie </w:t>
      </w:r>
      <w:r w:rsidR="001F7F78" w:rsidRPr="00B65CBC">
        <w:rPr>
          <w:b/>
        </w:rPr>
        <w:t>« </w:t>
      </w:r>
      <w:r w:rsidRPr="00B65CBC">
        <w:rPr>
          <w:b/>
        </w:rPr>
        <w:t>Communication et visibilité</w:t>
      </w:r>
      <w:r w:rsidR="001F7F78" w:rsidRPr="00B65CBC">
        <w:rPr>
          <w:b/>
        </w:rPr>
        <w:t> »</w:t>
      </w:r>
      <w:r w:rsidRPr="00B65CBC">
        <w:rPr>
          <w:b/>
        </w:rPr>
        <w:t xml:space="preserve"> (point C)</w:t>
      </w:r>
      <w:r w:rsidRPr="00B65CBC">
        <w:t xml:space="preserve"> ainsi qu</w:t>
      </w:r>
      <w:r w:rsidR="00DA4D2A" w:rsidRPr="00B65CBC">
        <w:t>’</w:t>
      </w:r>
      <w:r w:rsidRPr="00B65CBC">
        <w:t>une reprogrammation des fonds disponibles pour un total cumul</w:t>
      </w:r>
      <w:r w:rsidR="001F7F78" w:rsidRPr="00B65CBC">
        <w:t>é</w:t>
      </w:r>
      <w:r w:rsidRPr="00B65CBC">
        <w:t xml:space="preserve"> </w:t>
      </w:r>
      <w:r w:rsidR="00D80FAF" w:rsidRPr="00B65CBC">
        <w:t xml:space="preserve">de la catégorie C </w:t>
      </w:r>
      <w:r w:rsidRPr="00B65CBC">
        <w:t>de 94</w:t>
      </w:r>
      <w:r w:rsidR="001F7F78" w:rsidRPr="00B65CBC">
        <w:t> </w:t>
      </w:r>
      <w:r w:rsidRPr="00B65CBC">
        <w:t>164</w:t>
      </w:r>
      <w:r w:rsidR="001F7F78" w:rsidRPr="00B65CBC">
        <w:t xml:space="preserve"> dollars des </w:t>
      </w:r>
      <w:r w:rsidR="00FA61EE" w:rsidRPr="00B65CBC">
        <w:t>É</w:t>
      </w:r>
      <w:r w:rsidR="001F7F78" w:rsidRPr="00B65CBC">
        <w:t>tats-Unis</w:t>
      </w:r>
      <w:r w:rsidRPr="00B65CBC">
        <w:t xml:space="preserve">. </w:t>
      </w:r>
      <w:r w:rsidR="00572188" w:rsidRPr="00B65CBC">
        <w:t>Les activités principales comprendront</w:t>
      </w:r>
      <w:r w:rsidRPr="00B65CBC">
        <w:t xml:space="preserve"> la révision </w:t>
      </w:r>
      <w:r w:rsidR="00572188" w:rsidRPr="00B65CBC">
        <w:t xml:space="preserve">des versions arabe, chinoise, russe et espagnole des </w:t>
      </w:r>
      <w:r w:rsidR="007F0022" w:rsidRPr="00B65CBC">
        <w:rPr>
          <w:i/>
        </w:rPr>
        <w:t xml:space="preserve">Textes </w:t>
      </w:r>
      <w:r w:rsidR="00572188" w:rsidRPr="00B65CBC">
        <w:rPr>
          <w:i/>
        </w:rPr>
        <w:t>fondamentaux</w:t>
      </w:r>
      <w:r w:rsidR="00572188" w:rsidRPr="00B65CBC">
        <w:t xml:space="preserve"> </w:t>
      </w:r>
      <w:r w:rsidRPr="00B65CBC">
        <w:t>dans le</w:t>
      </w:r>
      <w:r w:rsidR="00572188" w:rsidRPr="00B65CBC">
        <w:t>s</w:t>
      </w:r>
      <w:r w:rsidRPr="00B65CBC">
        <w:t>que</w:t>
      </w:r>
      <w:r w:rsidR="007F0022" w:rsidRPr="00B65CBC">
        <w:t>l</w:t>
      </w:r>
      <w:r w:rsidRPr="00B65CBC">
        <w:t>l</w:t>
      </w:r>
      <w:r w:rsidR="007F0022" w:rsidRPr="00B65CBC">
        <w:t>e</w:t>
      </w:r>
      <w:r w:rsidR="00572188" w:rsidRPr="00B65CBC">
        <w:t>s</w:t>
      </w:r>
      <w:r w:rsidRPr="00B65CBC">
        <w:t xml:space="preserve"> un certain nombre d</w:t>
      </w:r>
      <w:r w:rsidR="00DA4D2A" w:rsidRPr="00B65CBC">
        <w:t>’</w:t>
      </w:r>
      <w:r w:rsidRPr="00B65CBC">
        <w:t xml:space="preserve">erreurs ont été identifiées. Ce travail de révision sera achevé en 2013 afin </w:t>
      </w:r>
      <w:r w:rsidR="007F0022" w:rsidRPr="00B65CBC">
        <w:t xml:space="preserve">de disposer de </w:t>
      </w:r>
      <w:r w:rsidRPr="00B65CBC">
        <w:t>textes définitifs prêts à accueillir les amendements que l</w:t>
      </w:r>
      <w:r w:rsidR="00DA4D2A" w:rsidRPr="00B65CBC">
        <w:t>’</w:t>
      </w:r>
      <w:r w:rsidRPr="00B65CBC">
        <w:t xml:space="preserve">Assemblée générale </w:t>
      </w:r>
      <w:r w:rsidR="00572188" w:rsidRPr="00B65CBC">
        <w:t xml:space="preserve">pourrait </w:t>
      </w:r>
      <w:r w:rsidRPr="00B65CBC">
        <w:t xml:space="preserve">introduire à sa cinquième session en </w:t>
      </w:r>
      <w:r w:rsidR="00572188" w:rsidRPr="00B65CBC">
        <w:t>j</w:t>
      </w:r>
      <w:r w:rsidRPr="00B65CBC">
        <w:t xml:space="preserve">uin 2014 avant </w:t>
      </w:r>
      <w:r w:rsidR="00572188" w:rsidRPr="00B65CBC">
        <w:t>qu</w:t>
      </w:r>
      <w:r w:rsidR="00DA4D2A" w:rsidRPr="00B65CBC">
        <w:t>’</w:t>
      </w:r>
      <w:r w:rsidR="00572188" w:rsidRPr="00B65CBC">
        <w:t xml:space="preserve">une </w:t>
      </w:r>
      <w:r w:rsidRPr="00B65CBC">
        <w:t xml:space="preserve">nouvelle version des </w:t>
      </w:r>
      <w:r w:rsidR="007F0022" w:rsidRPr="00B65CBC">
        <w:rPr>
          <w:i/>
        </w:rPr>
        <w:t xml:space="preserve">Textes </w:t>
      </w:r>
      <w:r w:rsidRPr="00B65CBC">
        <w:rPr>
          <w:i/>
        </w:rPr>
        <w:t>fondamentaux</w:t>
      </w:r>
      <w:r w:rsidRPr="00B65CBC">
        <w:t xml:space="preserve"> </w:t>
      </w:r>
      <w:r w:rsidR="00572188" w:rsidRPr="00B65CBC">
        <w:t>ne soit publiée</w:t>
      </w:r>
      <w:r w:rsidRPr="00B65CBC">
        <w:t xml:space="preserve">. Les activités comprendront aussi la préparation </w:t>
      </w:r>
      <w:r w:rsidR="00572188" w:rsidRPr="00B65CBC">
        <w:t xml:space="preserve">à la fois du dépliant </w:t>
      </w:r>
      <w:r w:rsidRPr="00B65CBC">
        <w:t xml:space="preserve">annuel sur les éléments inscrits sur la Liste du patrimoine culturel immatériel nécessitant une sauvegarde urgente et </w:t>
      </w:r>
      <w:r w:rsidR="00572188" w:rsidRPr="00B65CBC">
        <w:t xml:space="preserve">sur </w:t>
      </w:r>
      <w:r w:rsidRPr="00B65CBC">
        <w:t>la Liste représentative du patrimoine culturel immatériel de l</w:t>
      </w:r>
      <w:r w:rsidR="00DA4D2A" w:rsidRPr="00B65CBC">
        <w:t>’</w:t>
      </w:r>
      <w:r w:rsidRPr="00B65CBC">
        <w:t xml:space="preserve">humanité et les programmes pour le Registre des meilleures pratiques de sauvegarde inscrits </w:t>
      </w:r>
      <w:r w:rsidR="00572188" w:rsidRPr="00B65CBC">
        <w:t xml:space="preserve">et </w:t>
      </w:r>
      <w:r w:rsidRPr="00B65CBC">
        <w:t>sélectionné</w:t>
      </w:r>
      <w:r w:rsidR="00572188" w:rsidRPr="00B65CBC">
        <w:t>s</w:t>
      </w:r>
      <w:r w:rsidRPr="00B65CBC">
        <w:t xml:space="preserve"> par le Comité à sa huitième session à Bakou, en Azerbaïdjan, et la brochure cumulative </w:t>
      </w:r>
      <w:r w:rsidR="007F0022" w:rsidRPr="00B65CBC">
        <w:t xml:space="preserve">biannuelle </w:t>
      </w:r>
      <w:r w:rsidRPr="00B65CBC">
        <w:t xml:space="preserve">pour 2012-2013. Les </w:t>
      </w:r>
      <w:r w:rsidR="00572188" w:rsidRPr="00B65CBC">
        <w:t xml:space="preserve">importants </w:t>
      </w:r>
      <w:r w:rsidRPr="00B65CBC">
        <w:t xml:space="preserve">coûts </w:t>
      </w:r>
      <w:r w:rsidR="00572188" w:rsidRPr="00B65CBC">
        <w:t>d</w:t>
      </w:r>
      <w:r w:rsidR="00DA4D2A" w:rsidRPr="00B65CBC">
        <w:t>’</w:t>
      </w:r>
      <w:r w:rsidR="00572188" w:rsidRPr="00B65CBC">
        <w:t>expédition</w:t>
      </w:r>
      <w:r w:rsidRPr="00B65CBC">
        <w:t xml:space="preserve"> </w:t>
      </w:r>
      <w:r w:rsidR="00572188" w:rsidRPr="00B65CBC">
        <w:t>du matériel</w:t>
      </w:r>
      <w:r w:rsidRPr="00B65CBC">
        <w:t xml:space="preserve"> de renforcement des capacités et de communication pour les bureaux hors Siège</w:t>
      </w:r>
      <w:r w:rsidR="009F21CA" w:rsidRPr="00B65CBC">
        <w:t>,</w:t>
      </w:r>
      <w:r w:rsidRPr="00B65CBC">
        <w:t xml:space="preserve"> les </w:t>
      </w:r>
      <w:r w:rsidR="007F0022" w:rsidRPr="00B65CBC">
        <w:t xml:space="preserve">Commissions </w:t>
      </w:r>
      <w:r w:rsidRPr="00B65CBC">
        <w:t xml:space="preserve">nationales </w:t>
      </w:r>
      <w:r w:rsidR="009F21CA" w:rsidRPr="00B65CBC">
        <w:t>et</w:t>
      </w:r>
      <w:r w:rsidRPr="00B65CBC">
        <w:t xml:space="preserve"> les autres acteurs impliqués dans la stratégie de renforcement des capacités seront également couverts par ce montant.</w:t>
      </w:r>
    </w:p>
    <w:p w14:paraId="1286CFBE" w14:textId="26ED7A3B" w:rsidR="00846269" w:rsidRPr="00B65CBC" w:rsidRDefault="00846269" w:rsidP="00B65CBC">
      <w:pPr>
        <w:pStyle w:val="Paragraph"/>
      </w:pPr>
      <w:r w:rsidRPr="00B65CBC">
        <w:t xml:space="preserve">Enfin la ligne </w:t>
      </w:r>
      <w:r w:rsidR="000B17B1" w:rsidRPr="00B65CBC">
        <w:rPr>
          <w:b/>
        </w:rPr>
        <w:t>« </w:t>
      </w:r>
      <w:r w:rsidR="009F21CA" w:rsidRPr="00B65CBC">
        <w:rPr>
          <w:b/>
        </w:rPr>
        <w:t>service</w:t>
      </w:r>
      <w:r w:rsidR="00FA61EE" w:rsidRPr="00B65CBC">
        <w:rPr>
          <w:b/>
        </w:rPr>
        <w:t>s</w:t>
      </w:r>
      <w:r w:rsidR="000B17B1" w:rsidRPr="00B65CBC">
        <w:rPr>
          <w:b/>
        </w:rPr>
        <w:t xml:space="preserve"> </w:t>
      </w:r>
      <w:r w:rsidRPr="00B65CBC">
        <w:rPr>
          <w:b/>
        </w:rPr>
        <w:t>de gestion des connaissances</w:t>
      </w:r>
      <w:r w:rsidR="000B17B1" w:rsidRPr="00B65CBC">
        <w:rPr>
          <w:b/>
        </w:rPr>
        <w:t> »</w:t>
      </w:r>
      <w:r w:rsidRPr="00B65CBC">
        <w:rPr>
          <w:b/>
        </w:rPr>
        <w:t xml:space="preserve"> (point D)</w:t>
      </w:r>
      <w:r w:rsidRPr="00B65CBC">
        <w:t xml:space="preserve"> peut être réduit</w:t>
      </w:r>
      <w:r w:rsidR="00FA61EE" w:rsidRPr="00B65CBC">
        <w:t>e</w:t>
      </w:r>
      <w:r w:rsidRPr="00B65CBC">
        <w:t xml:space="preserve"> de 48</w:t>
      </w:r>
      <w:r w:rsidR="00BD1256" w:rsidRPr="00B65CBC">
        <w:t> </w:t>
      </w:r>
      <w:r w:rsidRPr="00B65CBC">
        <w:t>250</w:t>
      </w:r>
      <w:r w:rsidR="00BD1256" w:rsidRPr="00B65CBC">
        <w:t xml:space="preserve"> dollars des </w:t>
      </w:r>
      <w:r w:rsidR="00FA61EE" w:rsidRPr="00B65CBC">
        <w:t>É</w:t>
      </w:r>
      <w:r w:rsidR="00BD1256" w:rsidRPr="00B65CBC">
        <w:t>tats-Unis</w:t>
      </w:r>
      <w:r w:rsidRPr="00B65CBC">
        <w:t>. Le Secrétariat prévoit d</w:t>
      </w:r>
      <w:r w:rsidR="00DA4D2A" w:rsidRPr="00B65CBC">
        <w:t>’</w:t>
      </w:r>
      <w:r w:rsidRPr="00B65CBC">
        <w:t xml:space="preserve">engager le reste </w:t>
      </w:r>
      <w:r w:rsidR="00BD1256" w:rsidRPr="00B65CBC">
        <w:t>des 61 </w:t>
      </w:r>
      <w:r w:rsidRPr="00B65CBC">
        <w:t>484</w:t>
      </w:r>
      <w:r w:rsidR="00BD1256" w:rsidRPr="00B65CBC">
        <w:t> </w:t>
      </w:r>
      <w:r w:rsidR="002F0C28" w:rsidRPr="00B65CBC">
        <w:t>dollars</w:t>
      </w:r>
      <w:r w:rsidR="00BD1256" w:rsidRPr="00B65CBC">
        <w:t xml:space="preserve"> des </w:t>
      </w:r>
      <w:r w:rsidR="00E004A7" w:rsidRPr="00B65CBC">
        <w:t>É</w:t>
      </w:r>
      <w:r w:rsidR="00BD1256" w:rsidRPr="00B65CBC">
        <w:t xml:space="preserve">tats-Unis </w:t>
      </w:r>
      <w:r w:rsidRPr="00B65CBC">
        <w:t>avant le 31</w:t>
      </w:r>
      <w:r w:rsidR="00BD1256" w:rsidRPr="00B65CBC">
        <w:t> d</w:t>
      </w:r>
      <w:r w:rsidRPr="00B65CBC">
        <w:t>écembre</w:t>
      </w:r>
      <w:r w:rsidR="00BD1256" w:rsidRPr="00B65CBC">
        <w:t> </w:t>
      </w:r>
      <w:r w:rsidRPr="00B65CBC">
        <w:t>2013 pour rendre les pages web profils de</w:t>
      </w:r>
      <w:r w:rsidR="00BD1256" w:rsidRPr="00B65CBC">
        <w:t>s</w:t>
      </w:r>
      <w:r w:rsidRPr="00B65CBC">
        <w:t xml:space="preserve"> pays pleinement opérationnel</w:t>
      </w:r>
      <w:r w:rsidR="009F21CA" w:rsidRPr="00B65CBC">
        <w:t>les</w:t>
      </w:r>
      <w:r w:rsidRPr="00B65CBC">
        <w:t xml:space="preserve">, </w:t>
      </w:r>
      <w:r w:rsidR="00BD1256" w:rsidRPr="00B65CBC">
        <w:t>adapter</w:t>
      </w:r>
      <w:r w:rsidRPr="00B65CBC">
        <w:t xml:space="preserve"> le site du patrimoine culturel immatériel </w:t>
      </w:r>
      <w:r w:rsidR="00BD1256" w:rsidRPr="00B65CBC">
        <w:t>à</w:t>
      </w:r>
      <w:r w:rsidRPr="00B65CBC">
        <w:t xml:space="preserve"> la nouvelle charte graphique de la page d</w:t>
      </w:r>
      <w:r w:rsidR="00DA4D2A" w:rsidRPr="00B65CBC">
        <w:t>’</w:t>
      </w:r>
      <w:r w:rsidRPr="00B65CBC">
        <w:t>accueil de l</w:t>
      </w:r>
      <w:r w:rsidR="00DA4D2A" w:rsidRPr="00B65CBC">
        <w:t>’</w:t>
      </w:r>
      <w:r w:rsidRPr="00B65CBC">
        <w:t xml:space="preserve">UNESCO et </w:t>
      </w:r>
      <w:r w:rsidR="007F0022" w:rsidRPr="00B65CBC">
        <w:t>améliorer</w:t>
      </w:r>
      <w:r w:rsidR="00BD1256" w:rsidRPr="00B65CBC">
        <w:t xml:space="preserve"> </w:t>
      </w:r>
      <w:r w:rsidRPr="00B65CBC">
        <w:t xml:space="preserve">le niveau de sécurité </w:t>
      </w:r>
      <w:r w:rsidR="00BD1256" w:rsidRPr="00B65CBC">
        <w:t xml:space="preserve">des </w:t>
      </w:r>
      <w:r w:rsidRPr="00B65CBC">
        <w:t>applications en ligne</w:t>
      </w:r>
      <w:r w:rsidR="00BD1256" w:rsidRPr="00B65CBC">
        <w:t>.</w:t>
      </w:r>
    </w:p>
    <w:p w14:paraId="5FA9BA74" w14:textId="3E69FB8C" w:rsidR="00BD1256" w:rsidRPr="00B65CBC" w:rsidRDefault="00BD1256" w:rsidP="00B65CBC">
      <w:pPr>
        <w:pStyle w:val="Paragraph"/>
        <w:rPr>
          <w:rStyle w:val="hps"/>
        </w:rPr>
      </w:pPr>
      <w:r w:rsidRPr="00B65CBC">
        <w:rPr>
          <w:rStyle w:val="hpschar"/>
        </w:rPr>
        <w:t>Il est rappelé au Bureau que, dans le but d</w:t>
      </w:r>
      <w:r w:rsidR="00DA4D2A" w:rsidRPr="00B65CBC">
        <w:rPr>
          <w:rStyle w:val="hpschar"/>
        </w:rPr>
        <w:t>’</w:t>
      </w:r>
      <w:r w:rsidRPr="00B65CBC">
        <w:rPr>
          <w:rStyle w:val="hpschar"/>
        </w:rPr>
        <w:t>éviter des interruptions ou retards d</w:t>
      </w:r>
      <w:r w:rsidR="00DA4D2A" w:rsidRPr="00B65CBC">
        <w:rPr>
          <w:rStyle w:val="hpschar"/>
        </w:rPr>
        <w:t>’</w:t>
      </w:r>
      <w:r w:rsidRPr="00B65CBC">
        <w:rPr>
          <w:rStyle w:val="hpschar"/>
        </w:rPr>
        <w:t>exécution, le Comité a décidé (décision 6.COM 20) d</w:t>
      </w:r>
      <w:r w:rsidR="00DA4D2A" w:rsidRPr="00B65CBC">
        <w:rPr>
          <w:rStyle w:val="hpschar"/>
        </w:rPr>
        <w:t>’</w:t>
      </w:r>
      <w:r w:rsidRPr="00B65CBC">
        <w:rPr>
          <w:rStyle w:val="hpschar"/>
        </w:rPr>
        <w:t xml:space="preserve">autoriser </w:t>
      </w:r>
      <w:r w:rsidR="007F0022" w:rsidRPr="00B65CBC">
        <w:rPr>
          <w:rStyle w:val="hpschar"/>
        </w:rPr>
        <w:t xml:space="preserve">la Directrice </w:t>
      </w:r>
      <w:r w:rsidRPr="00B65CBC">
        <w:rPr>
          <w:rStyle w:val="hpschar"/>
        </w:rPr>
        <w:t>général</w:t>
      </w:r>
      <w:r w:rsidR="007F0022" w:rsidRPr="00B65CBC">
        <w:rPr>
          <w:rStyle w:val="hpschar"/>
        </w:rPr>
        <w:t>e</w:t>
      </w:r>
      <w:r w:rsidRPr="00B65CBC">
        <w:rPr>
          <w:rStyle w:val="hpschar"/>
        </w:rPr>
        <w:t xml:space="preserve"> à effectuer des transferts entre les activités approuvées au titre de cette ligne du plan d</w:t>
      </w:r>
      <w:r w:rsidR="00DA4D2A" w:rsidRPr="00B65CBC">
        <w:rPr>
          <w:rStyle w:val="hpschar"/>
        </w:rPr>
        <w:t>’</w:t>
      </w:r>
      <w:r w:rsidRPr="00B65CBC">
        <w:rPr>
          <w:rStyle w:val="hpschar"/>
        </w:rPr>
        <w:t>utilisation des ressources du Fonds jusqu</w:t>
      </w:r>
      <w:r w:rsidR="00DA4D2A" w:rsidRPr="00B65CBC">
        <w:rPr>
          <w:rStyle w:val="hpschar"/>
        </w:rPr>
        <w:t>’</w:t>
      </w:r>
      <w:r w:rsidRPr="00B65CBC">
        <w:rPr>
          <w:rStyle w:val="hpschar"/>
        </w:rPr>
        <w:t>à un montant cumulé de 25 000 dollars des États-Unis.</w:t>
      </w:r>
      <w:r w:rsidRPr="00B65CBC">
        <w:t xml:space="preserve"> </w:t>
      </w:r>
      <w:r w:rsidRPr="00B65CBC">
        <w:rPr>
          <w:rStyle w:val="hpschar"/>
        </w:rPr>
        <w:t>Le Secrétariat informerait alors le Bureau par écrit, lors de la session qui suit cette opération, des détails et des raisons de ces transferts.</w:t>
      </w:r>
      <w:r w:rsidRPr="00B65CBC">
        <w:t xml:space="preserve"> </w:t>
      </w:r>
      <w:r w:rsidRPr="00B65CBC">
        <w:rPr>
          <w:rStyle w:val="hpschar"/>
        </w:rPr>
        <w:t>Comme décidé par le Comité, tout transfert excédant ce montant nécessiterait l</w:t>
      </w:r>
      <w:r w:rsidR="00DA4D2A" w:rsidRPr="00B65CBC">
        <w:rPr>
          <w:rStyle w:val="hpschar"/>
        </w:rPr>
        <w:t>’</w:t>
      </w:r>
      <w:r w:rsidRPr="00B65CBC">
        <w:rPr>
          <w:rStyle w:val="hpschar"/>
        </w:rPr>
        <w:t>approbation préalable par le Bureau d</w:t>
      </w:r>
      <w:r w:rsidR="00DA4D2A" w:rsidRPr="00B65CBC">
        <w:rPr>
          <w:rStyle w:val="hpschar"/>
        </w:rPr>
        <w:t>’</w:t>
      </w:r>
      <w:r w:rsidRPr="00B65CBC">
        <w:rPr>
          <w:rStyle w:val="hpschar"/>
        </w:rPr>
        <w:t xml:space="preserve">un plan révisé des dépenses. </w:t>
      </w:r>
      <w:r w:rsidR="007F0022" w:rsidRPr="00B65CBC">
        <w:rPr>
          <w:rStyle w:val="hpschar"/>
        </w:rPr>
        <w:t>À</w:t>
      </w:r>
      <w:r w:rsidRPr="00B65CBC">
        <w:rPr>
          <w:rStyle w:val="hpschar"/>
        </w:rPr>
        <w:t xml:space="preserve"> ce jour, le Secrétariat n</w:t>
      </w:r>
      <w:r w:rsidR="00DA4D2A" w:rsidRPr="00B65CBC">
        <w:rPr>
          <w:rStyle w:val="hpschar"/>
        </w:rPr>
        <w:t>’</w:t>
      </w:r>
      <w:r w:rsidRPr="00B65CBC">
        <w:rPr>
          <w:rStyle w:val="hpschar"/>
        </w:rPr>
        <w:t>a pas fait usage de cette flexibilité.</w:t>
      </w:r>
    </w:p>
    <w:p w14:paraId="1BE2CA6F" w14:textId="0234F21F" w:rsidR="00BD1256" w:rsidRPr="00B65CBC" w:rsidRDefault="00BD1256" w:rsidP="00B65CBC">
      <w:pPr>
        <w:pStyle w:val="Paragraph"/>
      </w:pPr>
      <w:r w:rsidRPr="00B65CBC">
        <w:t>Le Bureau est invité à évaluer et à prendre une décision sur ce projet de plan de dépenses par le biais de la consultation par voie électronique, conformément à l</w:t>
      </w:r>
      <w:r w:rsidR="00DA4D2A" w:rsidRPr="00B65CBC">
        <w:t>’</w:t>
      </w:r>
      <w:r w:rsidRPr="00B65CBC">
        <w:t>article 12.3 du Règlement intérieur du Comité. Le Bureau du Comité souhaitera peut-être adopter la décision suivante :</w:t>
      </w:r>
    </w:p>
    <w:p w14:paraId="4D61D8D4" w14:textId="3FADF461" w:rsidR="00194988" w:rsidRPr="00B65CBC" w:rsidRDefault="00BD1256" w:rsidP="0051717D">
      <w:pPr>
        <w:pStyle w:val="Marge"/>
        <w:keepNext/>
        <w:spacing w:before="240"/>
        <w:ind w:left="567"/>
        <w:rPr>
          <w:b/>
          <w:lang w:val="fr-FR"/>
        </w:rPr>
      </w:pPr>
      <w:r w:rsidRPr="00B65CBC">
        <w:rPr>
          <w:b/>
          <w:lang w:val="fr-FR"/>
        </w:rPr>
        <w:t>PROJET DE D</w:t>
      </w:r>
      <w:r w:rsidRPr="00B65CBC">
        <w:rPr>
          <w:rFonts w:cs="Arial"/>
          <w:b/>
          <w:lang w:val="fr-FR"/>
        </w:rPr>
        <w:t>É</w:t>
      </w:r>
      <w:r w:rsidRPr="00B65CBC">
        <w:rPr>
          <w:b/>
          <w:lang w:val="fr-FR"/>
        </w:rPr>
        <w:t xml:space="preserve">CISION </w:t>
      </w:r>
      <w:r w:rsidR="00194988" w:rsidRPr="00B65CBC">
        <w:rPr>
          <w:b/>
          <w:lang w:val="fr-FR"/>
        </w:rPr>
        <w:t>8.COM 2.BUR 1</w:t>
      </w:r>
    </w:p>
    <w:p w14:paraId="3DC82624" w14:textId="7478D0F6" w:rsidR="00194988" w:rsidRPr="00B65CBC" w:rsidRDefault="00BD1256" w:rsidP="0051717D">
      <w:pPr>
        <w:pStyle w:val="Marge"/>
        <w:keepNext/>
        <w:spacing w:before="240"/>
        <w:ind w:left="567"/>
        <w:rPr>
          <w:lang w:val="fr-FR"/>
        </w:rPr>
      </w:pPr>
      <w:r w:rsidRPr="00B65CBC">
        <w:rPr>
          <w:lang w:val="fr-FR"/>
        </w:rPr>
        <w:t>Le Bureau</w:t>
      </w:r>
      <w:r w:rsidR="00194988" w:rsidRPr="00B65CBC">
        <w:rPr>
          <w:lang w:val="fr-FR"/>
        </w:rPr>
        <w:t>,</w:t>
      </w:r>
    </w:p>
    <w:p w14:paraId="426C06D9" w14:textId="1B5F7D01" w:rsidR="00194988" w:rsidRPr="00B65CBC" w:rsidRDefault="00BD1256" w:rsidP="00D442A7">
      <w:pPr>
        <w:pStyle w:val="Marge"/>
        <w:numPr>
          <w:ilvl w:val="0"/>
          <w:numId w:val="3"/>
        </w:numPr>
        <w:spacing w:before="120" w:after="120"/>
        <w:ind w:left="1134" w:hanging="567"/>
        <w:rPr>
          <w:lang w:val="fr-FR"/>
        </w:rPr>
      </w:pPr>
      <w:r w:rsidRPr="00B65CBC">
        <w:rPr>
          <w:u w:val="single"/>
          <w:lang w:val="fr-FR"/>
        </w:rPr>
        <w:t>Ayant examiné</w:t>
      </w:r>
      <w:r w:rsidRPr="00B65CBC">
        <w:rPr>
          <w:lang w:val="fr-FR"/>
        </w:rPr>
        <w:t xml:space="preserve"> le document </w:t>
      </w:r>
      <w:r w:rsidR="00194988" w:rsidRPr="00B65CBC">
        <w:rPr>
          <w:lang w:val="fr-FR"/>
        </w:rPr>
        <w:t xml:space="preserve">ITH/12/8.COM 2.BUR/1 </w:t>
      </w:r>
      <w:r w:rsidRPr="00B65CBC">
        <w:rPr>
          <w:lang w:val="fr-FR"/>
        </w:rPr>
        <w:t>et son annexe</w:t>
      </w:r>
      <w:r w:rsidR="00194988" w:rsidRPr="00B65CBC">
        <w:rPr>
          <w:lang w:val="fr-FR"/>
        </w:rPr>
        <w:t>,</w:t>
      </w:r>
    </w:p>
    <w:p w14:paraId="454F8F85" w14:textId="2DB29562" w:rsidR="00194988" w:rsidRPr="00B65CBC" w:rsidRDefault="001350FA" w:rsidP="00D442A7">
      <w:pPr>
        <w:pStyle w:val="Marge"/>
        <w:numPr>
          <w:ilvl w:val="0"/>
          <w:numId w:val="3"/>
        </w:numPr>
        <w:spacing w:before="120" w:after="120"/>
        <w:ind w:left="1134" w:hanging="567"/>
        <w:rPr>
          <w:lang w:val="fr-FR"/>
        </w:rPr>
      </w:pPr>
      <w:r w:rsidRPr="00B65CBC">
        <w:rPr>
          <w:u w:val="single"/>
          <w:lang w:val="fr-FR"/>
        </w:rPr>
        <w:t>Rappelant</w:t>
      </w:r>
      <w:r w:rsidRPr="00B65CBC">
        <w:rPr>
          <w:lang w:val="fr-FR"/>
        </w:rPr>
        <w:t xml:space="preserve"> la résolution 4.GA 7 et la décision 6.COM 20</w:t>
      </w:r>
      <w:r w:rsidR="00194988" w:rsidRPr="00B65CBC">
        <w:rPr>
          <w:lang w:val="fr-FR"/>
        </w:rPr>
        <w:t>,</w:t>
      </w:r>
    </w:p>
    <w:p w14:paraId="1841AF3F" w14:textId="0B665C25" w:rsidR="00194988" w:rsidRPr="00B65CBC" w:rsidRDefault="001350FA" w:rsidP="00D442A7">
      <w:pPr>
        <w:pStyle w:val="Marge"/>
        <w:numPr>
          <w:ilvl w:val="0"/>
          <w:numId w:val="3"/>
        </w:numPr>
        <w:spacing w:before="120" w:after="120"/>
        <w:ind w:left="1134" w:hanging="567"/>
        <w:rPr>
          <w:lang w:val="fr-FR"/>
        </w:rPr>
      </w:pPr>
      <w:r w:rsidRPr="00B65CBC">
        <w:rPr>
          <w:u w:val="single"/>
          <w:lang w:val="fr-FR"/>
        </w:rPr>
        <w:t>Autorise</w:t>
      </w:r>
      <w:r w:rsidRPr="00B65CBC">
        <w:rPr>
          <w:lang w:val="fr-FR"/>
        </w:rPr>
        <w:t xml:space="preserve"> les dépenses spécifiées dans ce document et son annexe ;</w:t>
      </w:r>
    </w:p>
    <w:p w14:paraId="2AECB3C4" w14:textId="62A86B02" w:rsidR="00194988" w:rsidRPr="00B65CBC" w:rsidRDefault="006B5B46" w:rsidP="00D442A7">
      <w:pPr>
        <w:pStyle w:val="Marge"/>
        <w:numPr>
          <w:ilvl w:val="0"/>
          <w:numId w:val="3"/>
        </w:numPr>
        <w:spacing w:before="120" w:after="120"/>
        <w:ind w:left="1134" w:hanging="567"/>
        <w:rPr>
          <w:lang w:val="fr-FR"/>
        </w:rPr>
      </w:pPr>
      <w:r w:rsidRPr="00B65CBC">
        <w:rPr>
          <w:u w:val="single"/>
          <w:lang w:val="fr-FR"/>
        </w:rPr>
        <w:t>Demande</w:t>
      </w:r>
      <w:r w:rsidRPr="00B65CBC">
        <w:rPr>
          <w:lang w:val="fr-FR"/>
        </w:rPr>
        <w:t xml:space="preserve"> au Secrétariat de rendre compte de l</w:t>
      </w:r>
      <w:r w:rsidR="00DA4D2A" w:rsidRPr="00B65CBC">
        <w:rPr>
          <w:lang w:val="fr-FR"/>
        </w:rPr>
        <w:t>’</w:t>
      </w:r>
      <w:r w:rsidRPr="00B65CBC">
        <w:rPr>
          <w:lang w:val="fr-FR"/>
        </w:rPr>
        <w:t>avancement de la mise en œuvre et de la façon dont les fonds sont dépensés ;</w:t>
      </w:r>
    </w:p>
    <w:p w14:paraId="55B942AA" w14:textId="0571F5B9" w:rsidR="0032260E" w:rsidRPr="00B65CBC" w:rsidRDefault="006B5B46" w:rsidP="00D442A7">
      <w:pPr>
        <w:pStyle w:val="Marge"/>
        <w:numPr>
          <w:ilvl w:val="0"/>
          <w:numId w:val="3"/>
        </w:numPr>
        <w:spacing w:before="120" w:after="120"/>
        <w:ind w:left="1134" w:hanging="567"/>
        <w:rPr>
          <w:lang w:val="fr-FR"/>
        </w:rPr>
      </w:pPr>
      <w:r w:rsidRPr="00B65CBC">
        <w:rPr>
          <w:u w:val="single"/>
          <w:lang w:val="fr-FR"/>
        </w:rPr>
        <w:t>Invite</w:t>
      </w:r>
      <w:r w:rsidRPr="00B65CBC">
        <w:rPr>
          <w:lang w:val="fr-FR"/>
        </w:rPr>
        <w:t xml:space="preserve"> le Président du Comité à porter cette décision à l</w:t>
      </w:r>
      <w:r w:rsidR="00DA4D2A" w:rsidRPr="00B65CBC">
        <w:rPr>
          <w:lang w:val="fr-FR"/>
        </w:rPr>
        <w:t>’</w:t>
      </w:r>
      <w:r w:rsidRPr="00B65CBC">
        <w:rPr>
          <w:lang w:val="fr-FR"/>
        </w:rPr>
        <w:t>attention du Comité lors de sa huitième session.</w:t>
      </w:r>
    </w:p>
    <w:p w14:paraId="3F3F5324" w14:textId="77777777" w:rsidR="00194988" w:rsidRPr="00B65CBC" w:rsidRDefault="00194988" w:rsidP="00B65CBC">
      <w:pPr>
        <w:pStyle w:val="Paragraph"/>
        <w:numPr>
          <w:ilvl w:val="0"/>
          <w:numId w:val="0"/>
        </w:numPr>
        <w:ind w:left="567"/>
      </w:pPr>
    </w:p>
    <w:p w14:paraId="7B656EAE" w14:textId="77777777" w:rsidR="00C120F8" w:rsidRPr="00B65CBC" w:rsidRDefault="00C120F8" w:rsidP="00B65CBC">
      <w:pPr>
        <w:pStyle w:val="Paragraph"/>
        <w:numPr>
          <w:ilvl w:val="0"/>
          <w:numId w:val="0"/>
        </w:numPr>
        <w:ind w:left="567"/>
        <w:sectPr w:rsidR="00C120F8" w:rsidRPr="00B65CBC" w:rsidSect="004E0F0D">
          <w:headerReference w:type="even" r:id="rId10"/>
          <w:headerReference w:type="default" r:id="rId11"/>
          <w:headerReference w:type="first" r:id="rId12"/>
          <w:pgSz w:w="11906" w:h="16838" w:code="9"/>
          <w:pgMar w:top="1418" w:right="1134" w:bottom="1134" w:left="1134" w:header="397" w:footer="284" w:gutter="0"/>
          <w:cols w:space="708"/>
          <w:titlePg/>
          <w:docGrid w:linePitch="360"/>
        </w:sectPr>
      </w:pPr>
    </w:p>
    <w:p w14:paraId="7D540AE9" w14:textId="3DE26283" w:rsidR="00556F25" w:rsidRPr="00B65CBC" w:rsidRDefault="00556F25" w:rsidP="0051717D">
      <w:pPr>
        <w:spacing w:before="240" w:after="240"/>
        <w:jc w:val="center"/>
        <w:rPr>
          <w:rFonts w:ascii="Arial" w:hAnsi="Arial" w:cs="Arial"/>
          <w:b/>
          <w:caps/>
          <w:sz w:val="22"/>
          <w:szCs w:val="22"/>
          <w:lang w:val="fr-FR"/>
        </w:rPr>
      </w:pPr>
      <w:r w:rsidRPr="00B65CBC">
        <w:rPr>
          <w:rFonts w:ascii="Arial" w:hAnsi="Arial" w:cs="Arial"/>
          <w:b/>
          <w:caps/>
          <w:sz w:val="22"/>
          <w:szCs w:val="22"/>
          <w:lang w:val="fr-FR"/>
        </w:rPr>
        <w:t>Annex</w:t>
      </w:r>
      <w:r w:rsidR="00342F85" w:rsidRPr="00B65CBC">
        <w:rPr>
          <w:rFonts w:ascii="Arial" w:hAnsi="Arial" w:cs="Arial"/>
          <w:b/>
          <w:caps/>
          <w:sz w:val="22"/>
          <w:szCs w:val="22"/>
          <w:lang w:val="fr-FR"/>
        </w:rPr>
        <w:t>e</w:t>
      </w:r>
    </w:p>
    <w:tbl>
      <w:tblPr>
        <w:tblW w:w="11737"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3878"/>
        <w:gridCol w:w="2042"/>
        <w:gridCol w:w="1705"/>
      </w:tblGrid>
      <w:tr w:rsidR="0042712F" w:rsidRPr="00B65CBC" w14:paraId="6709CF07" w14:textId="77777777" w:rsidTr="009F6EEB">
        <w:trPr>
          <w:cantSplit/>
          <w:tblHeader/>
          <w:jc w:val="center"/>
        </w:trPr>
        <w:tc>
          <w:tcPr>
            <w:tcW w:w="4112" w:type="dxa"/>
            <w:shd w:val="clear" w:color="000000" w:fill="BFBFBF"/>
            <w:vAlign w:val="center"/>
            <w:hideMark/>
          </w:tcPr>
          <w:p w14:paraId="1C3376AC" w14:textId="77C144D3" w:rsidR="0042712F" w:rsidRPr="00B65CBC" w:rsidRDefault="00342F85" w:rsidP="0051717D">
            <w:pPr>
              <w:jc w:val="center"/>
              <w:rPr>
                <w:rFonts w:ascii="Arial" w:hAnsi="Arial" w:cs="Arial"/>
                <w:b/>
                <w:bCs/>
                <w:sz w:val="20"/>
                <w:szCs w:val="20"/>
                <w:lang w:val="fr-FR"/>
              </w:rPr>
            </w:pPr>
            <w:r w:rsidRPr="00B65CBC">
              <w:rPr>
                <w:rFonts w:ascii="Arial" w:hAnsi="Arial" w:cs="Arial"/>
                <w:b/>
                <w:bCs/>
                <w:sz w:val="20"/>
                <w:szCs w:val="20"/>
                <w:lang w:val="fr-FR"/>
              </w:rPr>
              <w:t>Activité</w:t>
            </w:r>
          </w:p>
        </w:tc>
        <w:tc>
          <w:tcPr>
            <w:tcW w:w="3878" w:type="dxa"/>
            <w:shd w:val="clear" w:color="000000" w:fill="BFBFBF"/>
            <w:vAlign w:val="center"/>
            <w:hideMark/>
          </w:tcPr>
          <w:p w14:paraId="7D5C58DB" w14:textId="77777777" w:rsidR="0042712F" w:rsidRPr="00B65CBC" w:rsidRDefault="0042712F" w:rsidP="0051717D">
            <w:pPr>
              <w:jc w:val="center"/>
              <w:rPr>
                <w:rFonts w:ascii="Arial" w:hAnsi="Arial" w:cs="Arial"/>
                <w:b/>
                <w:bCs/>
                <w:sz w:val="20"/>
                <w:szCs w:val="20"/>
                <w:lang w:val="fr-FR"/>
              </w:rPr>
            </w:pPr>
            <w:r w:rsidRPr="00B65CBC">
              <w:rPr>
                <w:rFonts w:ascii="Arial" w:hAnsi="Arial" w:cs="Arial"/>
                <w:b/>
                <w:bCs/>
                <w:sz w:val="20"/>
                <w:szCs w:val="20"/>
                <w:lang w:val="fr-FR"/>
              </w:rPr>
              <w:t>Description</w:t>
            </w:r>
          </w:p>
        </w:tc>
        <w:tc>
          <w:tcPr>
            <w:tcW w:w="2042" w:type="dxa"/>
            <w:shd w:val="clear" w:color="000000" w:fill="BFBFBF"/>
            <w:vAlign w:val="center"/>
            <w:hideMark/>
          </w:tcPr>
          <w:p w14:paraId="5AC9C87C" w14:textId="7D697E7C" w:rsidR="0042712F" w:rsidRPr="00B65CBC" w:rsidRDefault="0042712F" w:rsidP="00342F85">
            <w:pPr>
              <w:jc w:val="center"/>
              <w:rPr>
                <w:rFonts w:ascii="Arial" w:hAnsi="Arial" w:cs="Arial"/>
                <w:b/>
                <w:bCs/>
                <w:sz w:val="20"/>
                <w:szCs w:val="20"/>
                <w:lang w:val="fr-FR"/>
              </w:rPr>
            </w:pPr>
            <w:r w:rsidRPr="00B65CBC">
              <w:rPr>
                <w:rFonts w:ascii="Arial" w:hAnsi="Arial" w:cs="Arial"/>
                <w:b/>
                <w:bCs/>
                <w:sz w:val="20"/>
                <w:szCs w:val="20"/>
                <w:lang w:val="fr-FR"/>
              </w:rPr>
              <w:t xml:space="preserve">Total </w:t>
            </w:r>
            <w:r w:rsidR="00342F85" w:rsidRPr="00B65CBC">
              <w:rPr>
                <w:rFonts w:ascii="Arial" w:hAnsi="Arial" w:cs="Arial"/>
                <w:b/>
                <w:bCs/>
                <w:sz w:val="20"/>
                <w:szCs w:val="20"/>
                <w:lang w:val="fr-FR"/>
              </w:rPr>
              <w:t>approuvé par le</w:t>
            </w:r>
            <w:r w:rsidR="00194019" w:rsidRPr="00B65CBC">
              <w:rPr>
                <w:rFonts w:ascii="Arial" w:hAnsi="Arial" w:cs="Arial"/>
                <w:b/>
                <w:bCs/>
                <w:sz w:val="20"/>
                <w:szCs w:val="20"/>
                <w:lang w:val="fr-FR"/>
              </w:rPr>
              <w:t>s</w:t>
            </w:r>
            <w:r w:rsidR="00342F85" w:rsidRPr="00B65CBC">
              <w:rPr>
                <w:rFonts w:ascii="Arial" w:hAnsi="Arial" w:cs="Arial"/>
                <w:b/>
                <w:bCs/>
                <w:sz w:val="20"/>
                <w:szCs w:val="20"/>
                <w:lang w:val="fr-FR"/>
              </w:rPr>
              <w:t xml:space="preserve"> précédent</w:t>
            </w:r>
            <w:r w:rsidR="00194019" w:rsidRPr="00B65CBC">
              <w:rPr>
                <w:rFonts w:ascii="Arial" w:hAnsi="Arial" w:cs="Arial"/>
                <w:b/>
                <w:bCs/>
                <w:sz w:val="20"/>
                <w:szCs w:val="20"/>
                <w:lang w:val="fr-FR"/>
              </w:rPr>
              <w:t>s</w:t>
            </w:r>
            <w:r w:rsidRPr="00B65CBC">
              <w:rPr>
                <w:rFonts w:ascii="Arial" w:hAnsi="Arial" w:cs="Arial"/>
                <w:b/>
                <w:bCs/>
                <w:sz w:val="20"/>
                <w:szCs w:val="20"/>
                <w:lang w:val="fr-FR"/>
              </w:rPr>
              <w:t xml:space="preserve"> </w:t>
            </w:r>
            <w:r w:rsidR="00194019" w:rsidRPr="00B65CBC">
              <w:rPr>
                <w:rFonts w:ascii="Arial" w:hAnsi="Arial" w:cs="Arial"/>
                <w:b/>
                <w:bCs/>
                <w:sz w:val="20"/>
                <w:szCs w:val="20"/>
                <w:lang w:val="fr-FR"/>
              </w:rPr>
              <w:t xml:space="preserve">Bureaux </w:t>
            </w:r>
            <w:r w:rsidR="00194019" w:rsidRPr="00B65CBC">
              <w:rPr>
                <w:rFonts w:ascii="Arial" w:hAnsi="Arial" w:cs="Arial"/>
                <w:b/>
                <w:bCs/>
                <w:sz w:val="20"/>
                <w:szCs w:val="20"/>
                <w:lang w:val="fr-FR"/>
              </w:rPr>
              <w:br/>
            </w:r>
            <w:r w:rsidR="00022F91" w:rsidRPr="00B65CBC">
              <w:rPr>
                <w:rFonts w:ascii="Arial" w:hAnsi="Arial" w:cs="Arial"/>
                <w:b/>
                <w:bCs/>
                <w:sz w:val="20"/>
                <w:szCs w:val="20"/>
                <w:lang w:val="fr-FR"/>
              </w:rPr>
              <w:t>(2012-2013)</w:t>
            </w:r>
          </w:p>
        </w:tc>
        <w:tc>
          <w:tcPr>
            <w:tcW w:w="1705" w:type="dxa"/>
            <w:shd w:val="clear" w:color="000000" w:fill="BFBFBF"/>
            <w:vAlign w:val="center"/>
            <w:hideMark/>
          </w:tcPr>
          <w:p w14:paraId="55F304BE" w14:textId="7FC49754" w:rsidR="0042712F" w:rsidRPr="00B65CBC" w:rsidRDefault="00AF2EF9" w:rsidP="00AF2EF9">
            <w:pPr>
              <w:jc w:val="center"/>
              <w:rPr>
                <w:rFonts w:ascii="Arial" w:hAnsi="Arial" w:cs="Arial"/>
                <w:b/>
                <w:bCs/>
                <w:sz w:val="20"/>
                <w:szCs w:val="20"/>
                <w:lang w:val="fr-FR"/>
              </w:rPr>
            </w:pPr>
            <w:r w:rsidRPr="00B65CBC">
              <w:rPr>
                <w:rFonts w:ascii="Arial" w:hAnsi="Arial" w:cs="Arial"/>
                <w:b/>
                <w:bCs/>
                <w:sz w:val="20"/>
                <w:szCs w:val="20"/>
                <w:lang w:val="fr-FR"/>
              </w:rPr>
              <w:t>Plan d’allocation révisé</w:t>
            </w:r>
            <w:r w:rsidR="00342F85" w:rsidRPr="00B65CBC">
              <w:rPr>
                <w:rFonts w:ascii="Arial" w:hAnsi="Arial" w:cs="Arial"/>
                <w:b/>
                <w:bCs/>
                <w:sz w:val="20"/>
                <w:szCs w:val="20"/>
                <w:lang w:val="fr-FR"/>
              </w:rPr>
              <w:t xml:space="preserve"> </w:t>
            </w:r>
          </w:p>
        </w:tc>
      </w:tr>
      <w:tr w:rsidR="0042712F" w:rsidRPr="00B65CBC" w14:paraId="089A7513" w14:textId="77777777" w:rsidTr="009F6EEB">
        <w:trPr>
          <w:cantSplit/>
          <w:trHeight w:val="300"/>
          <w:jc w:val="center"/>
        </w:trPr>
        <w:tc>
          <w:tcPr>
            <w:tcW w:w="7990" w:type="dxa"/>
            <w:gridSpan w:val="2"/>
            <w:shd w:val="clear" w:color="auto" w:fill="D9D9D9" w:themeFill="background1" w:themeFillShade="D9"/>
            <w:vAlign w:val="center"/>
            <w:hideMark/>
          </w:tcPr>
          <w:p w14:paraId="7E582FDB" w14:textId="0DE1A5AA" w:rsidR="0042712F" w:rsidRPr="00B65CBC" w:rsidRDefault="0042712F" w:rsidP="0051717D">
            <w:pPr>
              <w:rPr>
                <w:rFonts w:ascii="Arial" w:hAnsi="Arial" w:cs="Arial"/>
                <w:b/>
                <w:bCs/>
                <w:sz w:val="20"/>
                <w:szCs w:val="20"/>
                <w:lang w:val="fr-FR"/>
              </w:rPr>
            </w:pPr>
            <w:r w:rsidRPr="00B65CBC">
              <w:rPr>
                <w:rFonts w:ascii="Arial" w:hAnsi="Arial" w:cs="Arial"/>
                <w:b/>
                <w:bCs/>
                <w:sz w:val="20"/>
                <w:szCs w:val="20"/>
                <w:lang w:val="fr-FR"/>
              </w:rPr>
              <w:t xml:space="preserve">A. </w:t>
            </w:r>
            <w:r w:rsidR="00342F85" w:rsidRPr="00B65CBC">
              <w:rPr>
                <w:rFonts w:ascii="Arial" w:hAnsi="Arial" w:cs="Arial"/>
                <w:b/>
                <w:bCs/>
                <w:color w:val="000000"/>
                <w:sz w:val="20"/>
                <w:szCs w:val="20"/>
                <w:lang w:val="fr-FR"/>
              </w:rPr>
              <w:t>Renforcement des capacités</w:t>
            </w:r>
          </w:p>
        </w:tc>
        <w:tc>
          <w:tcPr>
            <w:tcW w:w="2042" w:type="dxa"/>
            <w:shd w:val="clear" w:color="auto" w:fill="D9D9D9" w:themeFill="background1" w:themeFillShade="D9"/>
            <w:vAlign w:val="center"/>
            <w:hideMark/>
          </w:tcPr>
          <w:p w14:paraId="1830EF7A" w14:textId="532656D4" w:rsidR="0042712F" w:rsidRPr="00B65CBC" w:rsidRDefault="0042712F" w:rsidP="00342F85">
            <w:pPr>
              <w:jc w:val="right"/>
              <w:rPr>
                <w:rFonts w:ascii="Arial" w:hAnsi="Arial" w:cs="Arial"/>
                <w:b/>
                <w:bCs/>
                <w:sz w:val="20"/>
                <w:szCs w:val="20"/>
                <w:lang w:val="fr-FR"/>
              </w:rPr>
            </w:pPr>
            <w:r w:rsidRPr="00B65CBC">
              <w:rPr>
                <w:rFonts w:ascii="Arial" w:hAnsi="Arial" w:cs="Arial"/>
                <w:b/>
                <w:bCs/>
                <w:sz w:val="20"/>
                <w:szCs w:val="20"/>
                <w:lang w:val="fr-FR"/>
              </w:rPr>
              <w:t>375</w:t>
            </w:r>
            <w:r w:rsidR="00194019" w:rsidRPr="00B65CBC">
              <w:rPr>
                <w:rFonts w:ascii="Arial" w:hAnsi="Arial" w:cs="Arial"/>
                <w:b/>
                <w:bCs/>
                <w:sz w:val="20"/>
                <w:szCs w:val="20"/>
                <w:lang w:val="fr-FR"/>
              </w:rPr>
              <w:t> </w:t>
            </w:r>
            <w:r w:rsidRPr="00B65CBC">
              <w:rPr>
                <w:rFonts w:ascii="Arial" w:hAnsi="Arial" w:cs="Arial"/>
                <w:b/>
                <w:bCs/>
                <w:sz w:val="20"/>
                <w:szCs w:val="20"/>
                <w:lang w:val="fr-FR"/>
              </w:rPr>
              <w:t>000</w:t>
            </w:r>
            <w:r w:rsidR="00194019" w:rsidRPr="00B65CBC">
              <w:rPr>
                <w:rFonts w:ascii="Arial" w:hAnsi="Arial" w:cs="Arial"/>
                <w:b/>
                <w:bCs/>
                <w:sz w:val="20"/>
                <w:szCs w:val="20"/>
                <w:lang w:val="fr-FR"/>
              </w:rPr>
              <w:t> </w:t>
            </w:r>
            <w:r w:rsidR="00342F85" w:rsidRPr="00B65CBC">
              <w:rPr>
                <w:rFonts w:ascii="Arial" w:hAnsi="Arial" w:cs="Arial"/>
                <w:b/>
                <w:bCs/>
                <w:sz w:val="20"/>
                <w:szCs w:val="20"/>
                <w:lang w:val="fr-FR"/>
              </w:rPr>
              <w:t>$</w:t>
            </w:r>
          </w:p>
        </w:tc>
        <w:tc>
          <w:tcPr>
            <w:tcW w:w="1705" w:type="dxa"/>
            <w:shd w:val="clear" w:color="auto" w:fill="D9D9D9" w:themeFill="background1" w:themeFillShade="D9"/>
            <w:vAlign w:val="center"/>
            <w:hideMark/>
          </w:tcPr>
          <w:p w14:paraId="66C0AC2F" w14:textId="00DDF6A2" w:rsidR="0042712F" w:rsidRPr="00B65CBC" w:rsidRDefault="00D442A7" w:rsidP="00342F85">
            <w:pPr>
              <w:jc w:val="right"/>
              <w:rPr>
                <w:rFonts w:ascii="Arial" w:hAnsi="Arial" w:cs="Arial"/>
                <w:b/>
                <w:iCs/>
                <w:sz w:val="20"/>
                <w:szCs w:val="20"/>
                <w:lang w:val="fr-FR"/>
              </w:rPr>
            </w:pPr>
            <w:r w:rsidRPr="00B65CBC">
              <w:rPr>
                <w:rFonts w:ascii="Arial" w:hAnsi="Arial" w:cs="Arial"/>
                <w:b/>
                <w:iCs/>
                <w:sz w:val="20"/>
                <w:szCs w:val="20"/>
                <w:lang w:val="fr-FR"/>
              </w:rPr>
              <w:t>535</w:t>
            </w:r>
            <w:r w:rsidR="00194019" w:rsidRPr="00B65CBC">
              <w:rPr>
                <w:rFonts w:ascii="Arial" w:hAnsi="Arial" w:cs="Arial"/>
                <w:b/>
                <w:iCs/>
                <w:sz w:val="20"/>
                <w:szCs w:val="20"/>
                <w:lang w:val="fr-FR"/>
              </w:rPr>
              <w:t> </w:t>
            </w:r>
            <w:r w:rsidRPr="00B65CBC">
              <w:rPr>
                <w:rFonts w:ascii="Arial" w:hAnsi="Arial" w:cs="Arial"/>
                <w:b/>
                <w:iCs/>
                <w:sz w:val="20"/>
                <w:szCs w:val="20"/>
                <w:lang w:val="fr-FR"/>
              </w:rPr>
              <w:t>811</w:t>
            </w:r>
            <w:r w:rsidR="00194019" w:rsidRPr="00B65CBC">
              <w:rPr>
                <w:rFonts w:ascii="Arial" w:hAnsi="Arial" w:cs="Arial"/>
                <w:b/>
                <w:iCs/>
                <w:sz w:val="20"/>
                <w:szCs w:val="20"/>
                <w:lang w:val="fr-FR"/>
              </w:rPr>
              <w:t> </w:t>
            </w:r>
            <w:r w:rsidR="00342F85" w:rsidRPr="00B65CBC">
              <w:rPr>
                <w:rFonts w:ascii="Arial" w:hAnsi="Arial" w:cs="Arial"/>
                <w:b/>
                <w:iCs/>
                <w:sz w:val="20"/>
                <w:szCs w:val="20"/>
                <w:lang w:val="fr-FR"/>
              </w:rPr>
              <w:t>$</w:t>
            </w:r>
          </w:p>
        </w:tc>
      </w:tr>
      <w:tr w:rsidR="0042712F" w:rsidRPr="00B65CBC" w14:paraId="6AA6C4EC" w14:textId="77777777" w:rsidTr="009F6EEB">
        <w:trPr>
          <w:cantSplit/>
          <w:trHeight w:val="825"/>
          <w:jc w:val="center"/>
        </w:trPr>
        <w:tc>
          <w:tcPr>
            <w:tcW w:w="7990" w:type="dxa"/>
            <w:gridSpan w:val="2"/>
            <w:shd w:val="clear" w:color="auto" w:fill="auto"/>
            <w:vAlign w:val="center"/>
            <w:hideMark/>
          </w:tcPr>
          <w:p w14:paraId="288A16E5" w14:textId="3A5DD6A5" w:rsidR="0042712F" w:rsidRPr="00B65CBC" w:rsidRDefault="0042712F" w:rsidP="0051717D">
            <w:pPr>
              <w:rPr>
                <w:rFonts w:ascii="Arial" w:hAnsi="Arial" w:cs="Arial"/>
                <w:b/>
                <w:bCs/>
                <w:sz w:val="20"/>
                <w:szCs w:val="20"/>
                <w:lang w:val="fr-FR"/>
              </w:rPr>
            </w:pPr>
            <w:r w:rsidRPr="00B65CBC">
              <w:rPr>
                <w:rFonts w:ascii="Arial" w:hAnsi="Arial" w:cs="Arial"/>
                <w:b/>
                <w:bCs/>
                <w:sz w:val="20"/>
                <w:szCs w:val="20"/>
                <w:lang w:val="fr-FR"/>
              </w:rPr>
              <w:t xml:space="preserve">A.1 </w:t>
            </w:r>
            <w:r w:rsidR="00342F85" w:rsidRPr="00B65CBC">
              <w:rPr>
                <w:rFonts w:ascii="Arial" w:hAnsi="Arial" w:cs="Arial"/>
                <w:b/>
                <w:bCs/>
                <w:sz w:val="20"/>
                <w:szCs w:val="20"/>
                <w:lang w:val="fr-FR"/>
              </w:rPr>
              <w:t>Développement de contenus pour les nouveaux supports de renforcement des capacités : élaboration de plans de sauvegarde, patrimoine culturel immatériel et développement durable</w:t>
            </w:r>
          </w:p>
        </w:tc>
        <w:tc>
          <w:tcPr>
            <w:tcW w:w="2042" w:type="dxa"/>
            <w:vMerge w:val="restart"/>
            <w:shd w:val="clear" w:color="auto" w:fill="auto"/>
            <w:vAlign w:val="center"/>
            <w:hideMark/>
          </w:tcPr>
          <w:p w14:paraId="549D237C" w14:textId="5E4B62BE" w:rsidR="0042712F" w:rsidRPr="00B65CBC" w:rsidRDefault="0042712F" w:rsidP="00342F85">
            <w:pPr>
              <w:jc w:val="right"/>
              <w:rPr>
                <w:rFonts w:ascii="Arial" w:hAnsi="Arial" w:cs="Arial"/>
                <w:sz w:val="20"/>
                <w:szCs w:val="20"/>
                <w:lang w:val="fr-FR"/>
              </w:rPr>
            </w:pPr>
            <w:r w:rsidRPr="00B65CBC">
              <w:rPr>
                <w:rFonts w:ascii="Arial" w:hAnsi="Arial" w:cs="Arial"/>
                <w:sz w:val="20"/>
                <w:szCs w:val="20"/>
                <w:lang w:val="fr-FR"/>
              </w:rPr>
              <w:t>100</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342F85" w:rsidRPr="00B65CBC">
              <w:rPr>
                <w:rFonts w:ascii="Arial" w:hAnsi="Arial" w:cs="Arial"/>
                <w:sz w:val="20"/>
                <w:szCs w:val="20"/>
                <w:lang w:val="fr-FR"/>
              </w:rPr>
              <w:t>$</w:t>
            </w:r>
          </w:p>
        </w:tc>
        <w:tc>
          <w:tcPr>
            <w:tcW w:w="1705" w:type="dxa"/>
            <w:vMerge w:val="restart"/>
            <w:shd w:val="clear" w:color="auto" w:fill="auto"/>
            <w:vAlign w:val="center"/>
            <w:hideMark/>
          </w:tcPr>
          <w:p w14:paraId="02D619C1" w14:textId="0D17EE37" w:rsidR="0042712F" w:rsidRPr="00B65CBC" w:rsidRDefault="00E0526B" w:rsidP="00342F85">
            <w:pPr>
              <w:jc w:val="right"/>
              <w:rPr>
                <w:rFonts w:ascii="Arial" w:hAnsi="Arial" w:cs="Arial"/>
                <w:iCs/>
                <w:sz w:val="20"/>
                <w:szCs w:val="20"/>
                <w:lang w:val="fr-FR"/>
              </w:rPr>
            </w:pPr>
            <w:r w:rsidRPr="00B65CBC">
              <w:rPr>
                <w:rFonts w:ascii="Arial" w:hAnsi="Arial" w:cs="Arial"/>
                <w:iCs/>
                <w:sz w:val="20"/>
                <w:szCs w:val="20"/>
                <w:lang w:val="fr-FR"/>
              </w:rPr>
              <w:t>8</w:t>
            </w:r>
            <w:r w:rsidR="00D442A7" w:rsidRPr="00B65CBC">
              <w:rPr>
                <w:rFonts w:ascii="Arial" w:hAnsi="Arial" w:cs="Arial"/>
                <w:iCs/>
                <w:sz w:val="20"/>
                <w:szCs w:val="20"/>
                <w:lang w:val="fr-FR"/>
              </w:rPr>
              <w:t>1</w:t>
            </w:r>
            <w:r w:rsidR="00194019" w:rsidRPr="00B65CBC">
              <w:rPr>
                <w:rFonts w:ascii="Arial" w:hAnsi="Arial" w:cs="Arial"/>
                <w:iCs/>
                <w:sz w:val="20"/>
                <w:szCs w:val="20"/>
                <w:lang w:val="fr-FR"/>
              </w:rPr>
              <w:t> </w:t>
            </w:r>
            <w:r w:rsidR="00D442A7" w:rsidRPr="00B65CBC">
              <w:rPr>
                <w:rFonts w:ascii="Arial" w:hAnsi="Arial" w:cs="Arial"/>
                <w:iCs/>
                <w:sz w:val="20"/>
                <w:szCs w:val="20"/>
                <w:lang w:val="fr-FR"/>
              </w:rPr>
              <w:t>0</w:t>
            </w:r>
            <w:r w:rsidRPr="00B65CBC">
              <w:rPr>
                <w:rFonts w:ascii="Arial" w:hAnsi="Arial" w:cs="Arial"/>
                <w:iCs/>
                <w:sz w:val="20"/>
                <w:szCs w:val="20"/>
                <w:lang w:val="fr-FR"/>
              </w:rPr>
              <w:t>00</w:t>
            </w:r>
            <w:r w:rsidR="00194019" w:rsidRPr="00B65CBC">
              <w:rPr>
                <w:rFonts w:ascii="Arial" w:hAnsi="Arial" w:cs="Arial"/>
                <w:iCs/>
                <w:sz w:val="20"/>
                <w:szCs w:val="20"/>
                <w:lang w:val="fr-FR"/>
              </w:rPr>
              <w:t> </w:t>
            </w:r>
            <w:r w:rsidR="00342F85" w:rsidRPr="00B65CBC">
              <w:rPr>
                <w:rFonts w:ascii="Arial" w:hAnsi="Arial" w:cs="Arial"/>
                <w:iCs/>
                <w:sz w:val="20"/>
                <w:szCs w:val="20"/>
                <w:lang w:val="fr-FR"/>
              </w:rPr>
              <w:t>$</w:t>
            </w:r>
          </w:p>
        </w:tc>
      </w:tr>
      <w:tr w:rsidR="0042712F" w:rsidRPr="00B65CBC" w14:paraId="43D3144E" w14:textId="77777777" w:rsidTr="009F6EEB">
        <w:trPr>
          <w:cantSplit/>
          <w:trHeight w:val="840"/>
          <w:jc w:val="center"/>
        </w:trPr>
        <w:tc>
          <w:tcPr>
            <w:tcW w:w="4112" w:type="dxa"/>
            <w:shd w:val="clear" w:color="auto" w:fill="auto"/>
            <w:vAlign w:val="center"/>
            <w:hideMark/>
          </w:tcPr>
          <w:p w14:paraId="1ADD7A57" w14:textId="1B7C1D6A" w:rsidR="0042712F" w:rsidRPr="00B65CBC" w:rsidRDefault="00342F85" w:rsidP="0051717D">
            <w:pPr>
              <w:rPr>
                <w:rFonts w:ascii="Arial" w:hAnsi="Arial" w:cs="Arial"/>
                <w:sz w:val="20"/>
                <w:szCs w:val="20"/>
                <w:lang w:val="fr-FR"/>
              </w:rPr>
            </w:pPr>
            <w:r w:rsidRPr="00B65CBC">
              <w:rPr>
                <w:rFonts w:ascii="Arial" w:hAnsi="Arial" w:cs="Arial"/>
                <w:sz w:val="20"/>
                <w:szCs w:val="20"/>
                <w:lang w:val="fr-FR"/>
              </w:rPr>
              <w:t>Développement de contenus pour les manuels des facilitateurs et des participants</w:t>
            </w:r>
          </w:p>
        </w:tc>
        <w:tc>
          <w:tcPr>
            <w:tcW w:w="3878" w:type="dxa"/>
            <w:shd w:val="clear" w:color="auto" w:fill="auto"/>
            <w:vAlign w:val="center"/>
            <w:hideMark/>
          </w:tcPr>
          <w:p w14:paraId="3DAB159A" w14:textId="1D0EF682" w:rsidR="0042712F" w:rsidRPr="00B65CBC" w:rsidRDefault="00342F85" w:rsidP="0051717D">
            <w:pPr>
              <w:rPr>
                <w:rFonts w:ascii="Arial" w:hAnsi="Arial" w:cs="Arial"/>
                <w:sz w:val="20"/>
                <w:szCs w:val="20"/>
                <w:lang w:val="fr-FR"/>
              </w:rPr>
            </w:pPr>
            <w:r w:rsidRPr="00B65CBC">
              <w:rPr>
                <w:rFonts w:ascii="Arial" w:hAnsi="Arial" w:cs="Arial"/>
                <w:sz w:val="20"/>
                <w:szCs w:val="20"/>
                <w:lang w:val="fr-FR"/>
              </w:rPr>
              <w:t>Services professionnels pour le développement de contenus</w:t>
            </w:r>
          </w:p>
        </w:tc>
        <w:tc>
          <w:tcPr>
            <w:tcW w:w="2042" w:type="dxa"/>
            <w:vMerge/>
            <w:vAlign w:val="center"/>
            <w:hideMark/>
          </w:tcPr>
          <w:p w14:paraId="67687F0C" w14:textId="77777777" w:rsidR="0042712F" w:rsidRPr="00B65CBC" w:rsidRDefault="0042712F" w:rsidP="0051717D">
            <w:pPr>
              <w:rPr>
                <w:rFonts w:ascii="Arial" w:hAnsi="Arial" w:cs="Arial"/>
                <w:sz w:val="20"/>
                <w:szCs w:val="20"/>
                <w:lang w:val="fr-FR"/>
              </w:rPr>
            </w:pPr>
          </w:p>
        </w:tc>
        <w:tc>
          <w:tcPr>
            <w:tcW w:w="1705" w:type="dxa"/>
            <w:vMerge/>
            <w:vAlign w:val="center"/>
            <w:hideMark/>
          </w:tcPr>
          <w:p w14:paraId="71D642F1" w14:textId="77777777" w:rsidR="0042712F" w:rsidRPr="00B65CBC" w:rsidRDefault="0042712F" w:rsidP="0051717D">
            <w:pPr>
              <w:rPr>
                <w:rFonts w:ascii="Arial" w:hAnsi="Arial" w:cs="Arial"/>
                <w:iCs/>
                <w:sz w:val="20"/>
                <w:szCs w:val="20"/>
                <w:lang w:val="fr-FR"/>
              </w:rPr>
            </w:pPr>
          </w:p>
        </w:tc>
      </w:tr>
      <w:tr w:rsidR="0042712F" w:rsidRPr="00B65CBC" w14:paraId="1CADE5E6" w14:textId="77777777" w:rsidTr="009F6EEB">
        <w:trPr>
          <w:cantSplit/>
          <w:trHeight w:val="780"/>
          <w:jc w:val="center"/>
        </w:trPr>
        <w:tc>
          <w:tcPr>
            <w:tcW w:w="7990" w:type="dxa"/>
            <w:gridSpan w:val="2"/>
            <w:shd w:val="clear" w:color="auto" w:fill="auto"/>
            <w:vAlign w:val="center"/>
            <w:hideMark/>
          </w:tcPr>
          <w:p w14:paraId="13BEDED0" w14:textId="34180CFE" w:rsidR="0042712F" w:rsidRPr="00B65CBC" w:rsidRDefault="0042712F" w:rsidP="00683AA8">
            <w:pPr>
              <w:rPr>
                <w:rFonts w:ascii="Arial" w:hAnsi="Arial" w:cs="Arial"/>
                <w:b/>
                <w:bCs/>
                <w:sz w:val="20"/>
                <w:szCs w:val="20"/>
                <w:lang w:val="fr-FR"/>
              </w:rPr>
            </w:pPr>
            <w:r w:rsidRPr="00B65CBC">
              <w:rPr>
                <w:rFonts w:ascii="Arial" w:hAnsi="Arial" w:cs="Arial"/>
                <w:b/>
                <w:bCs/>
                <w:sz w:val="20"/>
                <w:szCs w:val="20"/>
                <w:lang w:val="fr-FR"/>
              </w:rPr>
              <w:t xml:space="preserve">A.2 </w:t>
            </w:r>
            <w:r w:rsidR="00683AA8" w:rsidRPr="00B65CBC">
              <w:rPr>
                <w:rFonts w:ascii="Arial" w:hAnsi="Arial" w:cs="Arial"/>
                <w:b/>
                <w:bCs/>
                <w:sz w:val="20"/>
                <w:szCs w:val="20"/>
                <w:lang w:val="fr-FR"/>
              </w:rPr>
              <w:t>Production des supports de renforcement des capacités existants: mise en œuvre nationale, inventaire,</w:t>
            </w:r>
            <w:r w:rsidRPr="00B65CBC">
              <w:rPr>
                <w:rFonts w:ascii="Arial" w:hAnsi="Arial" w:cs="Arial"/>
                <w:b/>
                <w:bCs/>
                <w:sz w:val="20"/>
                <w:szCs w:val="20"/>
                <w:lang w:val="fr-FR"/>
              </w:rPr>
              <w:t xml:space="preserve"> </w:t>
            </w:r>
            <w:r w:rsidR="00683AA8" w:rsidRPr="00B65CBC">
              <w:rPr>
                <w:rFonts w:ascii="Arial" w:hAnsi="Arial" w:cs="Arial"/>
                <w:b/>
                <w:bCs/>
                <w:sz w:val="20"/>
                <w:szCs w:val="20"/>
                <w:lang w:val="fr-FR"/>
              </w:rPr>
              <w:t>candidatures à la Liste de sauvegarde urgente</w:t>
            </w:r>
          </w:p>
        </w:tc>
        <w:tc>
          <w:tcPr>
            <w:tcW w:w="2042" w:type="dxa"/>
            <w:vMerge w:val="restart"/>
            <w:shd w:val="clear" w:color="auto" w:fill="auto"/>
            <w:vAlign w:val="center"/>
            <w:hideMark/>
          </w:tcPr>
          <w:p w14:paraId="1C768950" w14:textId="6A1A7517" w:rsidR="0042712F" w:rsidRPr="00B65CBC" w:rsidRDefault="0042712F" w:rsidP="00683AA8">
            <w:pPr>
              <w:jc w:val="right"/>
              <w:rPr>
                <w:rFonts w:ascii="Arial" w:hAnsi="Arial" w:cs="Arial"/>
                <w:sz w:val="20"/>
                <w:szCs w:val="20"/>
                <w:lang w:val="fr-FR"/>
              </w:rPr>
            </w:pPr>
            <w:r w:rsidRPr="00B65CBC">
              <w:rPr>
                <w:rFonts w:ascii="Arial" w:hAnsi="Arial" w:cs="Arial"/>
                <w:sz w:val="20"/>
                <w:szCs w:val="20"/>
                <w:lang w:val="fr-FR"/>
              </w:rPr>
              <w:t>115</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683AA8" w:rsidRPr="00B65CBC">
              <w:rPr>
                <w:rFonts w:ascii="Arial" w:hAnsi="Arial" w:cs="Arial"/>
                <w:sz w:val="20"/>
                <w:szCs w:val="20"/>
                <w:lang w:val="fr-FR"/>
              </w:rPr>
              <w:t>$</w:t>
            </w:r>
          </w:p>
        </w:tc>
        <w:tc>
          <w:tcPr>
            <w:tcW w:w="1705" w:type="dxa"/>
            <w:vMerge w:val="restart"/>
            <w:shd w:val="clear" w:color="auto" w:fill="auto"/>
            <w:vAlign w:val="center"/>
            <w:hideMark/>
          </w:tcPr>
          <w:p w14:paraId="57A9805A" w14:textId="140AEDA4" w:rsidR="0042712F" w:rsidRPr="00B65CBC" w:rsidRDefault="00E0526B" w:rsidP="00D442A7">
            <w:pPr>
              <w:jc w:val="right"/>
              <w:rPr>
                <w:rFonts w:ascii="Arial" w:hAnsi="Arial" w:cs="Arial"/>
                <w:iCs/>
                <w:sz w:val="20"/>
                <w:szCs w:val="20"/>
                <w:lang w:val="fr-FR"/>
              </w:rPr>
            </w:pPr>
            <w:r w:rsidRPr="00B65CBC">
              <w:rPr>
                <w:rFonts w:ascii="Arial" w:hAnsi="Arial" w:cs="Arial"/>
                <w:iCs/>
                <w:sz w:val="20"/>
                <w:szCs w:val="20"/>
                <w:lang w:val="fr-FR"/>
              </w:rPr>
              <w:t>2</w:t>
            </w:r>
            <w:r w:rsidR="00D442A7" w:rsidRPr="00B65CBC">
              <w:rPr>
                <w:rFonts w:ascii="Arial" w:hAnsi="Arial" w:cs="Arial"/>
                <w:iCs/>
                <w:sz w:val="20"/>
                <w:szCs w:val="20"/>
                <w:lang w:val="fr-FR"/>
              </w:rPr>
              <w:t>18</w:t>
            </w:r>
            <w:r w:rsidR="00194019" w:rsidRPr="00B65CBC">
              <w:rPr>
                <w:rFonts w:ascii="Arial" w:hAnsi="Arial" w:cs="Arial"/>
                <w:iCs/>
                <w:sz w:val="20"/>
                <w:szCs w:val="20"/>
                <w:lang w:val="fr-FR"/>
              </w:rPr>
              <w:t> </w:t>
            </w:r>
            <w:r w:rsidR="00D442A7" w:rsidRPr="00B65CBC">
              <w:rPr>
                <w:rFonts w:ascii="Arial" w:hAnsi="Arial" w:cs="Arial"/>
                <w:iCs/>
                <w:sz w:val="20"/>
                <w:szCs w:val="20"/>
                <w:lang w:val="fr-FR"/>
              </w:rPr>
              <w:t>8</w:t>
            </w:r>
            <w:r w:rsidR="00060BB1" w:rsidRPr="00B65CBC">
              <w:rPr>
                <w:rFonts w:ascii="Arial" w:hAnsi="Arial" w:cs="Arial"/>
                <w:iCs/>
                <w:sz w:val="20"/>
                <w:szCs w:val="20"/>
                <w:lang w:val="fr-FR"/>
              </w:rPr>
              <w:t>11</w:t>
            </w:r>
            <w:r w:rsidR="00194019" w:rsidRPr="00B65CBC">
              <w:rPr>
                <w:rFonts w:ascii="Arial" w:hAnsi="Arial" w:cs="Arial"/>
                <w:iCs/>
                <w:sz w:val="20"/>
                <w:szCs w:val="20"/>
                <w:lang w:val="fr-FR"/>
              </w:rPr>
              <w:t> </w:t>
            </w:r>
            <w:r w:rsidR="00683AA8" w:rsidRPr="00B65CBC">
              <w:rPr>
                <w:rFonts w:ascii="Arial" w:hAnsi="Arial" w:cs="Arial"/>
                <w:iCs/>
                <w:sz w:val="20"/>
                <w:szCs w:val="20"/>
                <w:lang w:val="fr-FR"/>
              </w:rPr>
              <w:t>$</w:t>
            </w:r>
          </w:p>
        </w:tc>
      </w:tr>
      <w:tr w:rsidR="00683AA8" w:rsidRPr="00B65CBC" w14:paraId="2A7486E2" w14:textId="77777777" w:rsidTr="009F6EEB">
        <w:trPr>
          <w:cantSplit/>
          <w:trHeight w:val="915"/>
          <w:jc w:val="center"/>
        </w:trPr>
        <w:tc>
          <w:tcPr>
            <w:tcW w:w="4112" w:type="dxa"/>
            <w:shd w:val="clear" w:color="auto" w:fill="auto"/>
            <w:vAlign w:val="center"/>
            <w:hideMark/>
          </w:tcPr>
          <w:p w14:paraId="56595CEE" w14:textId="72E4080F" w:rsidR="00683AA8" w:rsidRPr="00B65CBC" w:rsidRDefault="00683AA8" w:rsidP="0051717D">
            <w:pPr>
              <w:rPr>
                <w:rFonts w:ascii="Arial" w:hAnsi="Arial" w:cs="Arial"/>
                <w:sz w:val="20"/>
                <w:szCs w:val="20"/>
                <w:lang w:val="fr-FR"/>
              </w:rPr>
            </w:pPr>
            <w:r w:rsidRPr="00B65CBC">
              <w:rPr>
                <w:rFonts w:ascii="Arial" w:hAnsi="Arial" w:cs="Arial"/>
                <w:sz w:val="20"/>
                <w:szCs w:val="20"/>
                <w:lang w:val="fr-FR"/>
              </w:rPr>
              <w:t>Pré-production</w:t>
            </w:r>
          </w:p>
        </w:tc>
        <w:tc>
          <w:tcPr>
            <w:tcW w:w="3878" w:type="dxa"/>
            <w:shd w:val="clear" w:color="auto" w:fill="auto"/>
            <w:vAlign w:val="center"/>
            <w:hideMark/>
          </w:tcPr>
          <w:p w14:paraId="3D4EEF07" w14:textId="41FFC933" w:rsidR="00683AA8" w:rsidRPr="00B65CBC" w:rsidRDefault="00683AA8" w:rsidP="00AF2EF9">
            <w:pPr>
              <w:rPr>
                <w:rFonts w:ascii="Arial" w:hAnsi="Arial" w:cs="Arial"/>
                <w:sz w:val="20"/>
                <w:szCs w:val="20"/>
                <w:lang w:val="fr-FR"/>
              </w:rPr>
            </w:pPr>
            <w:r w:rsidRPr="00B65CBC">
              <w:rPr>
                <w:rFonts w:ascii="Arial" w:hAnsi="Arial" w:cs="Arial"/>
                <w:sz w:val="20"/>
                <w:szCs w:val="20"/>
                <w:lang w:val="fr-FR"/>
              </w:rPr>
              <w:t>Services professionnels pour la traduction, la préparation de copies, la conception graphique</w:t>
            </w:r>
            <w:r w:rsidR="00AF2EF9" w:rsidRPr="00B65CBC">
              <w:rPr>
                <w:rFonts w:ascii="Arial" w:hAnsi="Arial" w:cs="Arial"/>
                <w:sz w:val="20"/>
                <w:szCs w:val="20"/>
                <w:lang w:val="fr-FR"/>
              </w:rPr>
              <w:t>,</w:t>
            </w:r>
            <w:r w:rsidRPr="00B65CBC">
              <w:rPr>
                <w:rFonts w:ascii="Arial" w:hAnsi="Arial" w:cs="Arial"/>
                <w:sz w:val="20"/>
                <w:szCs w:val="20"/>
                <w:lang w:val="fr-FR"/>
              </w:rPr>
              <w:t xml:space="preserve"> la mise en page</w:t>
            </w:r>
            <w:r w:rsidR="00AF2EF9" w:rsidRPr="00B65CBC">
              <w:rPr>
                <w:rFonts w:ascii="Arial" w:hAnsi="Arial" w:cs="Arial"/>
                <w:sz w:val="20"/>
                <w:szCs w:val="20"/>
                <w:lang w:val="fr-FR"/>
              </w:rPr>
              <w:t xml:space="preserve"> et la correction d’épreuves</w:t>
            </w:r>
          </w:p>
        </w:tc>
        <w:tc>
          <w:tcPr>
            <w:tcW w:w="2042" w:type="dxa"/>
            <w:vMerge/>
            <w:shd w:val="clear" w:color="auto" w:fill="auto"/>
            <w:vAlign w:val="center"/>
            <w:hideMark/>
          </w:tcPr>
          <w:p w14:paraId="1834ADD9" w14:textId="77777777" w:rsidR="00683AA8" w:rsidRPr="00B65CBC" w:rsidRDefault="00683AA8" w:rsidP="0051717D">
            <w:pPr>
              <w:rPr>
                <w:rFonts w:ascii="Arial" w:hAnsi="Arial" w:cs="Arial"/>
                <w:sz w:val="20"/>
                <w:szCs w:val="20"/>
                <w:lang w:val="fr-FR"/>
              </w:rPr>
            </w:pPr>
          </w:p>
        </w:tc>
        <w:tc>
          <w:tcPr>
            <w:tcW w:w="1705" w:type="dxa"/>
            <w:vMerge/>
            <w:shd w:val="clear" w:color="auto" w:fill="auto"/>
            <w:vAlign w:val="center"/>
            <w:hideMark/>
          </w:tcPr>
          <w:p w14:paraId="67E72B49" w14:textId="77777777" w:rsidR="00683AA8" w:rsidRPr="00B65CBC" w:rsidRDefault="00683AA8" w:rsidP="0051717D">
            <w:pPr>
              <w:rPr>
                <w:rFonts w:ascii="Arial" w:hAnsi="Arial" w:cs="Arial"/>
                <w:iCs/>
                <w:sz w:val="20"/>
                <w:szCs w:val="20"/>
                <w:lang w:val="fr-FR"/>
              </w:rPr>
            </w:pPr>
          </w:p>
        </w:tc>
      </w:tr>
      <w:tr w:rsidR="00683AA8" w:rsidRPr="00B65CBC" w14:paraId="6187CF16" w14:textId="77777777" w:rsidTr="009F6EEB">
        <w:trPr>
          <w:cantSplit/>
          <w:trHeight w:val="435"/>
          <w:jc w:val="center"/>
        </w:trPr>
        <w:tc>
          <w:tcPr>
            <w:tcW w:w="7990" w:type="dxa"/>
            <w:gridSpan w:val="2"/>
            <w:shd w:val="clear" w:color="auto" w:fill="auto"/>
            <w:vAlign w:val="center"/>
            <w:hideMark/>
          </w:tcPr>
          <w:p w14:paraId="53674D23" w14:textId="36C67E2D" w:rsidR="00683AA8" w:rsidRPr="00B65CBC" w:rsidRDefault="00683AA8" w:rsidP="0051717D">
            <w:pPr>
              <w:rPr>
                <w:rFonts w:ascii="Arial" w:hAnsi="Arial" w:cs="Arial"/>
                <w:b/>
                <w:bCs/>
                <w:sz w:val="20"/>
                <w:szCs w:val="20"/>
                <w:lang w:val="fr-FR"/>
              </w:rPr>
            </w:pPr>
            <w:r w:rsidRPr="00B65CBC">
              <w:rPr>
                <w:rFonts w:ascii="Arial" w:hAnsi="Arial" w:cs="Arial"/>
                <w:b/>
                <w:bCs/>
                <w:sz w:val="20"/>
                <w:szCs w:val="20"/>
                <w:lang w:val="fr-FR"/>
              </w:rPr>
              <w:t xml:space="preserve">A.3 </w:t>
            </w:r>
            <w:r w:rsidR="007B6415" w:rsidRPr="00B65CBC">
              <w:rPr>
                <w:rFonts w:ascii="Arial" w:hAnsi="Arial" w:cs="Arial"/>
                <w:b/>
                <w:bCs/>
                <w:sz w:val="20"/>
                <w:szCs w:val="20"/>
                <w:lang w:val="fr-FR"/>
              </w:rPr>
              <w:t>Atelier de bilan pour les facilitateurs formés</w:t>
            </w:r>
          </w:p>
        </w:tc>
        <w:tc>
          <w:tcPr>
            <w:tcW w:w="2042" w:type="dxa"/>
            <w:vMerge w:val="restart"/>
            <w:shd w:val="clear" w:color="auto" w:fill="auto"/>
            <w:vAlign w:val="center"/>
            <w:hideMark/>
          </w:tcPr>
          <w:p w14:paraId="3D072B08" w14:textId="024B70D8" w:rsidR="00683AA8" w:rsidRPr="00B65CBC" w:rsidRDefault="00683AA8" w:rsidP="007B6415">
            <w:pPr>
              <w:jc w:val="right"/>
              <w:rPr>
                <w:rFonts w:ascii="Arial" w:hAnsi="Arial" w:cs="Arial"/>
                <w:sz w:val="20"/>
                <w:szCs w:val="20"/>
                <w:lang w:val="fr-FR"/>
              </w:rPr>
            </w:pPr>
            <w:r w:rsidRPr="00B65CBC">
              <w:rPr>
                <w:rFonts w:ascii="Arial" w:hAnsi="Arial" w:cs="Arial"/>
                <w:sz w:val="20"/>
                <w:szCs w:val="20"/>
                <w:lang w:val="fr-FR"/>
              </w:rPr>
              <w:t>80</w:t>
            </w:r>
            <w:r w:rsidR="00194019" w:rsidRPr="00B65CBC">
              <w:rPr>
                <w:rFonts w:ascii="Arial" w:hAnsi="Arial" w:cs="Arial"/>
                <w:sz w:val="20"/>
                <w:szCs w:val="20"/>
                <w:lang w:val="fr-FR"/>
              </w:rPr>
              <w:t> </w:t>
            </w:r>
            <w:r w:rsidR="007B6415" w:rsidRPr="00B65CBC">
              <w:rPr>
                <w:rFonts w:ascii="Arial" w:hAnsi="Arial" w:cs="Arial"/>
                <w:sz w:val="20"/>
                <w:szCs w:val="20"/>
                <w:lang w:val="fr-FR"/>
              </w:rPr>
              <w:t>0</w:t>
            </w:r>
            <w:r w:rsidRPr="00B65CBC">
              <w:rPr>
                <w:rFonts w:ascii="Arial" w:hAnsi="Arial" w:cs="Arial"/>
                <w:sz w:val="20"/>
                <w:szCs w:val="20"/>
                <w:lang w:val="fr-FR"/>
              </w:rPr>
              <w:t>00</w:t>
            </w:r>
            <w:r w:rsidR="00194019" w:rsidRPr="00B65CBC">
              <w:rPr>
                <w:rFonts w:ascii="Arial" w:hAnsi="Arial" w:cs="Arial"/>
                <w:sz w:val="20"/>
                <w:szCs w:val="20"/>
                <w:lang w:val="fr-FR"/>
              </w:rPr>
              <w:t> </w:t>
            </w:r>
            <w:r w:rsidR="007B6415" w:rsidRPr="00B65CBC">
              <w:rPr>
                <w:rFonts w:ascii="Arial" w:hAnsi="Arial" w:cs="Arial"/>
                <w:sz w:val="20"/>
                <w:szCs w:val="20"/>
                <w:lang w:val="fr-FR"/>
              </w:rPr>
              <w:t>$</w:t>
            </w:r>
          </w:p>
        </w:tc>
        <w:tc>
          <w:tcPr>
            <w:tcW w:w="1705" w:type="dxa"/>
            <w:vMerge w:val="restart"/>
            <w:shd w:val="clear" w:color="auto" w:fill="auto"/>
            <w:vAlign w:val="center"/>
            <w:hideMark/>
          </w:tcPr>
          <w:p w14:paraId="0E6C0851" w14:textId="2334ADCA" w:rsidR="00683AA8" w:rsidRPr="00B65CBC" w:rsidRDefault="00683AA8" w:rsidP="007B6415">
            <w:pPr>
              <w:jc w:val="right"/>
              <w:rPr>
                <w:rFonts w:ascii="Arial" w:hAnsi="Arial" w:cs="Arial"/>
                <w:iCs/>
                <w:sz w:val="20"/>
                <w:szCs w:val="20"/>
                <w:lang w:val="fr-FR"/>
              </w:rPr>
            </w:pPr>
            <w:r w:rsidRPr="00B65CBC">
              <w:rPr>
                <w:rFonts w:ascii="Arial" w:hAnsi="Arial" w:cs="Arial"/>
                <w:iCs/>
                <w:sz w:val="20"/>
                <w:szCs w:val="20"/>
                <w:lang w:val="fr-FR"/>
              </w:rPr>
              <w:t>80</w:t>
            </w:r>
            <w:r w:rsidR="00194019" w:rsidRPr="00B65CBC">
              <w:rPr>
                <w:rFonts w:ascii="Arial" w:hAnsi="Arial" w:cs="Arial"/>
                <w:iCs/>
                <w:sz w:val="20"/>
                <w:szCs w:val="20"/>
                <w:lang w:val="fr-FR"/>
              </w:rPr>
              <w:t> </w:t>
            </w:r>
            <w:r w:rsidR="007B6415" w:rsidRPr="00B65CBC">
              <w:rPr>
                <w:rFonts w:ascii="Arial" w:hAnsi="Arial" w:cs="Arial"/>
                <w:iCs/>
                <w:sz w:val="20"/>
                <w:szCs w:val="20"/>
                <w:lang w:val="fr-FR"/>
              </w:rPr>
              <w:t>0</w:t>
            </w:r>
            <w:r w:rsidRPr="00B65CBC">
              <w:rPr>
                <w:rFonts w:ascii="Arial" w:hAnsi="Arial" w:cs="Arial"/>
                <w:iCs/>
                <w:sz w:val="20"/>
                <w:szCs w:val="20"/>
                <w:lang w:val="fr-FR"/>
              </w:rPr>
              <w:t>00</w:t>
            </w:r>
            <w:r w:rsidR="00194019" w:rsidRPr="00B65CBC">
              <w:rPr>
                <w:rFonts w:ascii="Arial" w:hAnsi="Arial" w:cs="Arial"/>
                <w:iCs/>
                <w:sz w:val="20"/>
                <w:szCs w:val="20"/>
                <w:lang w:val="fr-FR"/>
              </w:rPr>
              <w:t> </w:t>
            </w:r>
            <w:r w:rsidR="007B6415" w:rsidRPr="00B65CBC">
              <w:rPr>
                <w:rFonts w:ascii="Arial" w:hAnsi="Arial" w:cs="Arial"/>
                <w:iCs/>
                <w:sz w:val="20"/>
                <w:szCs w:val="20"/>
                <w:lang w:val="fr-FR"/>
              </w:rPr>
              <w:t>$</w:t>
            </w:r>
          </w:p>
        </w:tc>
      </w:tr>
      <w:tr w:rsidR="00683AA8" w:rsidRPr="00B65CBC" w14:paraId="05BBC67E" w14:textId="77777777" w:rsidTr="009F6EEB">
        <w:trPr>
          <w:cantSplit/>
          <w:trHeight w:val="1020"/>
          <w:jc w:val="center"/>
        </w:trPr>
        <w:tc>
          <w:tcPr>
            <w:tcW w:w="4112" w:type="dxa"/>
            <w:shd w:val="clear" w:color="auto" w:fill="auto"/>
            <w:vAlign w:val="center"/>
            <w:hideMark/>
          </w:tcPr>
          <w:p w14:paraId="322059A8" w14:textId="649C62E4" w:rsidR="00683AA8" w:rsidRPr="00B65CBC" w:rsidRDefault="007B6415" w:rsidP="0051717D">
            <w:pPr>
              <w:rPr>
                <w:rFonts w:ascii="Arial" w:hAnsi="Arial" w:cs="Arial"/>
                <w:sz w:val="20"/>
                <w:szCs w:val="20"/>
                <w:lang w:val="fr-FR"/>
              </w:rPr>
            </w:pPr>
            <w:r w:rsidRPr="00B65CBC">
              <w:rPr>
                <w:rFonts w:ascii="Arial" w:hAnsi="Arial" w:cs="Arial"/>
                <w:sz w:val="20"/>
                <w:szCs w:val="20"/>
                <w:lang w:val="fr-FR"/>
              </w:rPr>
              <w:t>Atelier pour 10 à 15 facilitateurs</w:t>
            </w:r>
          </w:p>
        </w:tc>
        <w:tc>
          <w:tcPr>
            <w:tcW w:w="3878" w:type="dxa"/>
            <w:shd w:val="clear" w:color="auto" w:fill="auto"/>
            <w:vAlign w:val="center"/>
            <w:hideMark/>
          </w:tcPr>
          <w:p w14:paraId="1E1C53A1" w14:textId="0558A0E7" w:rsidR="00683AA8" w:rsidRPr="00B65CBC" w:rsidRDefault="007B6415" w:rsidP="0051717D">
            <w:pPr>
              <w:rPr>
                <w:rFonts w:ascii="Arial" w:hAnsi="Arial" w:cs="Arial"/>
                <w:sz w:val="20"/>
                <w:szCs w:val="20"/>
                <w:lang w:val="fr-FR"/>
              </w:rPr>
            </w:pPr>
            <w:r w:rsidRPr="00B65CBC">
              <w:rPr>
                <w:rFonts w:ascii="Arial" w:hAnsi="Arial" w:cs="Arial"/>
                <w:sz w:val="20"/>
                <w:szCs w:val="20"/>
                <w:lang w:val="fr-FR"/>
              </w:rPr>
              <w:t>Voyage et séjour des participants, salles de réunion et équipement, frais de reproduction, déplacements locaux, hospitalité, communication, expédition</w:t>
            </w:r>
          </w:p>
        </w:tc>
        <w:tc>
          <w:tcPr>
            <w:tcW w:w="2042" w:type="dxa"/>
            <w:vMerge/>
            <w:vAlign w:val="center"/>
            <w:hideMark/>
          </w:tcPr>
          <w:p w14:paraId="3FC119E9" w14:textId="77777777" w:rsidR="00683AA8" w:rsidRPr="00B65CBC" w:rsidRDefault="00683AA8" w:rsidP="0051717D">
            <w:pPr>
              <w:rPr>
                <w:rFonts w:ascii="Arial" w:hAnsi="Arial" w:cs="Arial"/>
                <w:sz w:val="20"/>
                <w:szCs w:val="20"/>
                <w:lang w:val="fr-FR"/>
              </w:rPr>
            </w:pPr>
          </w:p>
        </w:tc>
        <w:tc>
          <w:tcPr>
            <w:tcW w:w="1705" w:type="dxa"/>
            <w:vMerge/>
            <w:vAlign w:val="center"/>
            <w:hideMark/>
          </w:tcPr>
          <w:p w14:paraId="18B57E52" w14:textId="77777777" w:rsidR="00683AA8" w:rsidRPr="00B65CBC" w:rsidRDefault="00683AA8" w:rsidP="0051717D">
            <w:pPr>
              <w:rPr>
                <w:rFonts w:ascii="Arial" w:hAnsi="Arial" w:cs="Arial"/>
                <w:iCs/>
                <w:sz w:val="20"/>
                <w:szCs w:val="20"/>
                <w:lang w:val="fr-FR"/>
              </w:rPr>
            </w:pPr>
          </w:p>
        </w:tc>
      </w:tr>
      <w:tr w:rsidR="00683AA8" w:rsidRPr="00B65CBC" w14:paraId="06E70A6C" w14:textId="77777777" w:rsidTr="009F6EEB">
        <w:trPr>
          <w:cantSplit/>
          <w:trHeight w:val="630"/>
          <w:jc w:val="center"/>
        </w:trPr>
        <w:tc>
          <w:tcPr>
            <w:tcW w:w="7990" w:type="dxa"/>
            <w:gridSpan w:val="2"/>
            <w:shd w:val="clear" w:color="auto" w:fill="auto"/>
            <w:vAlign w:val="center"/>
            <w:hideMark/>
          </w:tcPr>
          <w:p w14:paraId="0FBA73D1" w14:textId="4A614201" w:rsidR="00683AA8" w:rsidRPr="00B65CBC" w:rsidRDefault="00683AA8" w:rsidP="0051717D">
            <w:pPr>
              <w:rPr>
                <w:rFonts w:ascii="Arial" w:hAnsi="Arial" w:cs="Arial"/>
                <w:b/>
                <w:bCs/>
                <w:sz w:val="20"/>
                <w:szCs w:val="20"/>
                <w:lang w:val="fr-FR"/>
              </w:rPr>
            </w:pPr>
            <w:r w:rsidRPr="00B65CBC">
              <w:rPr>
                <w:rFonts w:ascii="Arial" w:hAnsi="Arial" w:cs="Arial"/>
                <w:b/>
                <w:bCs/>
                <w:sz w:val="20"/>
                <w:szCs w:val="20"/>
                <w:lang w:val="fr-FR"/>
              </w:rPr>
              <w:t xml:space="preserve">A.4 </w:t>
            </w:r>
            <w:r w:rsidR="00301645" w:rsidRPr="00B65CBC">
              <w:rPr>
                <w:rFonts w:ascii="Arial" w:hAnsi="Arial" w:cs="Arial"/>
                <w:b/>
                <w:bCs/>
                <w:sz w:val="20"/>
                <w:szCs w:val="20"/>
                <w:lang w:val="fr-FR"/>
              </w:rPr>
              <w:t>Premier Forum des jeunes des Caraïbes sur la sauvegarde du patrimoine culturel immatériel</w:t>
            </w:r>
            <w:r w:rsidRPr="00B65CBC">
              <w:rPr>
                <w:rFonts w:ascii="Arial" w:hAnsi="Arial" w:cs="Arial"/>
                <w:b/>
                <w:bCs/>
                <w:sz w:val="20"/>
                <w:szCs w:val="20"/>
                <w:lang w:val="fr-FR"/>
              </w:rPr>
              <w:t xml:space="preserve"> </w:t>
            </w:r>
          </w:p>
        </w:tc>
        <w:tc>
          <w:tcPr>
            <w:tcW w:w="2042" w:type="dxa"/>
            <w:vMerge w:val="restart"/>
            <w:shd w:val="clear" w:color="auto" w:fill="auto"/>
            <w:vAlign w:val="center"/>
            <w:hideMark/>
          </w:tcPr>
          <w:p w14:paraId="7EF9DA8F" w14:textId="36FBF561" w:rsidR="00683AA8" w:rsidRPr="00B65CBC" w:rsidRDefault="00683AA8" w:rsidP="00301645">
            <w:pPr>
              <w:jc w:val="right"/>
              <w:rPr>
                <w:rFonts w:ascii="Arial" w:hAnsi="Arial" w:cs="Arial"/>
                <w:sz w:val="20"/>
                <w:szCs w:val="20"/>
                <w:lang w:val="fr-FR"/>
              </w:rPr>
            </w:pPr>
            <w:r w:rsidRPr="00B65CBC">
              <w:rPr>
                <w:rFonts w:ascii="Arial" w:hAnsi="Arial" w:cs="Arial"/>
                <w:sz w:val="20"/>
                <w:szCs w:val="20"/>
                <w:lang w:val="fr-FR"/>
              </w:rPr>
              <w:t>20</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301645" w:rsidRPr="00B65CBC">
              <w:rPr>
                <w:rFonts w:ascii="Arial" w:hAnsi="Arial" w:cs="Arial"/>
                <w:sz w:val="20"/>
                <w:szCs w:val="20"/>
                <w:lang w:val="fr-FR"/>
              </w:rPr>
              <w:t>$</w:t>
            </w:r>
          </w:p>
        </w:tc>
        <w:tc>
          <w:tcPr>
            <w:tcW w:w="1705" w:type="dxa"/>
            <w:vMerge w:val="restart"/>
            <w:shd w:val="clear" w:color="auto" w:fill="auto"/>
            <w:vAlign w:val="center"/>
            <w:hideMark/>
          </w:tcPr>
          <w:p w14:paraId="34FDC7CE" w14:textId="7B01504B" w:rsidR="00683AA8" w:rsidRPr="00B65CBC" w:rsidRDefault="00683AA8" w:rsidP="00301645">
            <w:pPr>
              <w:jc w:val="right"/>
              <w:rPr>
                <w:rFonts w:ascii="Arial" w:hAnsi="Arial" w:cs="Arial"/>
                <w:iCs/>
                <w:sz w:val="20"/>
                <w:szCs w:val="20"/>
                <w:lang w:val="fr-FR"/>
              </w:rPr>
            </w:pPr>
            <w:r w:rsidRPr="00B65CBC">
              <w:rPr>
                <w:rFonts w:ascii="Arial" w:hAnsi="Arial" w:cs="Arial"/>
                <w:iCs/>
                <w:sz w:val="20"/>
                <w:szCs w:val="20"/>
                <w:lang w:val="fr-FR"/>
              </w:rPr>
              <w:t>20</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301645" w:rsidRPr="00B65CBC">
              <w:rPr>
                <w:rFonts w:ascii="Arial" w:hAnsi="Arial" w:cs="Arial"/>
                <w:iCs/>
                <w:sz w:val="20"/>
                <w:szCs w:val="20"/>
                <w:lang w:val="fr-FR"/>
              </w:rPr>
              <w:t>$</w:t>
            </w:r>
          </w:p>
        </w:tc>
      </w:tr>
      <w:tr w:rsidR="00683AA8" w:rsidRPr="00B65CBC" w14:paraId="2408A8AE" w14:textId="77777777" w:rsidTr="009F6EEB">
        <w:trPr>
          <w:cantSplit/>
          <w:trHeight w:val="1275"/>
          <w:jc w:val="center"/>
        </w:trPr>
        <w:tc>
          <w:tcPr>
            <w:tcW w:w="4112" w:type="dxa"/>
            <w:shd w:val="clear" w:color="auto" w:fill="auto"/>
            <w:vAlign w:val="center"/>
            <w:hideMark/>
          </w:tcPr>
          <w:p w14:paraId="688789E1" w14:textId="61D1E45C" w:rsidR="00683AA8" w:rsidRPr="00B65CBC" w:rsidRDefault="00194019" w:rsidP="00194019">
            <w:pPr>
              <w:rPr>
                <w:rFonts w:ascii="Arial" w:hAnsi="Arial" w:cs="Arial"/>
                <w:sz w:val="20"/>
                <w:szCs w:val="20"/>
                <w:lang w:val="fr-FR"/>
              </w:rPr>
            </w:pPr>
            <w:r w:rsidRPr="00B65CBC">
              <w:rPr>
                <w:rFonts w:ascii="Arial" w:hAnsi="Arial" w:cs="Arial"/>
                <w:sz w:val="20"/>
                <w:szCs w:val="20"/>
                <w:lang w:val="fr-FR"/>
              </w:rPr>
              <w:t>A</w:t>
            </w:r>
            <w:r w:rsidR="00301645" w:rsidRPr="00B65CBC">
              <w:rPr>
                <w:rFonts w:ascii="Arial" w:hAnsi="Arial" w:cs="Arial"/>
                <w:sz w:val="20"/>
                <w:szCs w:val="20"/>
                <w:lang w:val="fr-FR"/>
              </w:rPr>
              <w:t>telier</w:t>
            </w:r>
            <w:r w:rsidR="00683AA8" w:rsidRPr="00B65CBC">
              <w:rPr>
                <w:rFonts w:ascii="Arial" w:hAnsi="Arial" w:cs="Arial"/>
                <w:sz w:val="20"/>
                <w:szCs w:val="20"/>
                <w:lang w:val="fr-FR"/>
              </w:rPr>
              <w:t xml:space="preserve"> </w:t>
            </w:r>
            <w:r w:rsidRPr="00B65CBC">
              <w:rPr>
                <w:rFonts w:ascii="Arial" w:hAnsi="Arial" w:cs="Arial"/>
                <w:sz w:val="20"/>
                <w:szCs w:val="20"/>
                <w:lang w:val="fr-FR"/>
              </w:rPr>
              <w:t xml:space="preserve">de 3 jours </w:t>
            </w:r>
            <w:r w:rsidR="00301645" w:rsidRPr="00B65CBC">
              <w:rPr>
                <w:rFonts w:ascii="Arial" w:hAnsi="Arial" w:cs="Arial"/>
                <w:sz w:val="20"/>
                <w:szCs w:val="20"/>
                <w:lang w:val="fr-FR"/>
              </w:rPr>
              <w:t xml:space="preserve">sur la mise en œuvre de la Convention de 2003 pour 25 à 30 participants </w:t>
            </w:r>
            <w:r w:rsidR="00AF2EF9" w:rsidRPr="00B65CBC">
              <w:rPr>
                <w:rFonts w:ascii="Arial" w:hAnsi="Arial" w:cs="Arial"/>
                <w:sz w:val="20"/>
                <w:szCs w:val="20"/>
                <w:lang w:val="fr-FR"/>
              </w:rPr>
              <w:t>issus</w:t>
            </w:r>
            <w:r w:rsidR="00301645" w:rsidRPr="00B65CBC">
              <w:rPr>
                <w:rFonts w:ascii="Arial" w:hAnsi="Arial" w:cs="Arial"/>
                <w:sz w:val="20"/>
                <w:szCs w:val="20"/>
                <w:lang w:val="fr-FR"/>
              </w:rPr>
              <w:t xml:space="preserve"> d</w:t>
            </w:r>
            <w:r w:rsidR="00DA4D2A" w:rsidRPr="00B65CBC">
              <w:rPr>
                <w:rFonts w:ascii="Arial" w:hAnsi="Arial" w:cs="Arial"/>
                <w:sz w:val="20"/>
                <w:szCs w:val="20"/>
                <w:lang w:val="fr-FR"/>
              </w:rPr>
              <w:t>’</w:t>
            </w:r>
            <w:r w:rsidR="00301645" w:rsidRPr="00B65CBC">
              <w:rPr>
                <w:rFonts w:ascii="Arial" w:hAnsi="Arial" w:cs="Arial"/>
                <w:sz w:val="20"/>
                <w:szCs w:val="20"/>
                <w:lang w:val="fr-FR"/>
              </w:rPr>
              <w:t xml:space="preserve">organisations </w:t>
            </w:r>
            <w:r w:rsidRPr="00B65CBC">
              <w:rPr>
                <w:rFonts w:ascii="Arial" w:hAnsi="Arial" w:cs="Arial"/>
                <w:sz w:val="20"/>
                <w:szCs w:val="20"/>
                <w:lang w:val="fr-FR"/>
              </w:rPr>
              <w:t>de</w:t>
            </w:r>
            <w:r w:rsidR="00AF2EF9" w:rsidRPr="00B65CBC">
              <w:rPr>
                <w:rFonts w:ascii="Arial" w:hAnsi="Arial" w:cs="Arial"/>
                <w:sz w:val="20"/>
                <w:szCs w:val="20"/>
                <w:lang w:val="fr-FR"/>
              </w:rPr>
              <w:t xml:space="preserve"> </w:t>
            </w:r>
            <w:r w:rsidR="00301645" w:rsidRPr="00B65CBC">
              <w:rPr>
                <w:rFonts w:ascii="Arial" w:hAnsi="Arial" w:cs="Arial"/>
                <w:sz w:val="20"/>
                <w:szCs w:val="20"/>
                <w:lang w:val="fr-FR"/>
              </w:rPr>
              <w:t xml:space="preserve">jeunes </w:t>
            </w:r>
          </w:p>
        </w:tc>
        <w:tc>
          <w:tcPr>
            <w:tcW w:w="3878" w:type="dxa"/>
            <w:shd w:val="clear" w:color="auto" w:fill="auto"/>
            <w:vAlign w:val="center"/>
            <w:hideMark/>
          </w:tcPr>
          <w:p w14:paraId="32C162DE" w14:textId="72FA7D0F" w:rsidR="00683AA8" w:rsidRPr="00B65CBC" w:rsidRDefault="00301645" w:rsidP="0051717D">
            <w:pPr>
              <w:rPr>
                <w:rFonts w:ascii="Arial" w:hAnsi="Arial" w:cs="Arial"/>
                <w:sz w:val="20"/>
                <w:szCs w:val="20"/>
                <w:lang w:val="fr-FR"/>
              </w:rPr>
            </w:pPr>
            <w:r w:rsidRPr="00B65CBC">
              <w:rPr>
                <w:rFonts w:ascii="Arial" w:hAnsi="Arial" w:cs="Arial"/>
                <w:sz w:val="20"/>
                <w:szCs w:val="20"/>
                <w:lang w:val="fr-FR"/>
              </w:rPr>
              <w:t>Voyage et séjour des participants, services de facilitation et dépenses associées, salles de réunion et équipement, frais de reproduction, déplacements locaux, hospitalité, communication, expédition</w:t>
            </w:r>
          </w:p>
        </w:tc>
        <w:tc>
          <w:tcPr>
            <w:tcW w:w="2042" w:type="dxa"/>
            <w:vMerge/>
            <w:vAlign w:val="center"/>
            <w:hideMark/>
          </w:tcPr>
          <w:p w14:paraId="3FFAA83A" w14:textId="77777777" w:rsidR="00683AA8" w:rsidRPr="00B65CBC" w:rsidRDefault="00683AA8" w:rsidP="0051717D">
            <w:pPr>
              <w:rPr>
                <w:rFonts w:ascii="Arial" w:hAnsi="Arial" w:cs="Arial"/>
                <w:sz w:val="20"/>
                <w:szCs w:val="20"/>
                <w:lang w:val="fr-FR"/>
              </w:rPr>
            </w:pPr>
          </w:p>
        </w:tc>
        <w:tc>
          <w:tcPr>
            <w:tcW w:w="1705" w:type="dxa"/>
            <w:vMerge/>
            <w:vAlign w:val="center"/>
            <w:hideMark/>
          </w:tcPr>
          <w:p w14:paraId="158B820B" w14:textId="77777777" w:rsidR="00683AA8" w:rsidRPr="00B65CBC" w:rsidRDefault="00683AA8" w:rsidP="0051717D">
            <w:pPr>
              <w:rPr>
                <w:rFonts w:ascii="Arial" w:hAnsi="Arial" w:cs="Arial"/>
                <w:iCs/>
                <w:sz w:val="20"/>
                <w:szCs w:val="20"/>
                <w:lang w:val="fr-FR"/>
              </w:rPr>
            </w:pPr>
          </w:p>
        </w:tc>
      </w:tr>
      <w:tr w:rsidR="00683AA8" w:rsidRPr="00B65CBC" w14:paraId="0BFAC693" w14:textId="77777777" w:rsidTr="009F6EEB">
        <w:trPr>
          <w:cantSplit/>
          <w:trHeight w:val="1170"/>
          <w:jc w:val="center"/>
        </w:trPr>
        <w:tc>
          <w:tcPr>
            <w:tcW w:w="4112" w:type="dxa"/>
            <w:shd w:val="clear" w:color="auto" w:fill="auto"/>
            <w:vAlign w:val="center"/>
            <w:hideMark/>
          </w:tcPr>
          <w:p w14:paraId="7B3BD607" w14:textId="4C125D97" w:rsidR="00683AA8" w:rsidRPr="00B65CBC" w:rsidRDefault="0053518E" w:rsidP="00194019">
            <w:pPr>
              <w:rPr>
                <w:rFonts w:ascii="Arial" w:hAnsi="Arial" w:cs="Arial"/>
                <w:sz w:val="20"/>
                <w:szCs w:val="20"/>
                <w:lang w:val="fr-FR"/>
              </w:rPr>
            </w:pPr>
            <w:r w:rsidRPr="00B65CBC">
              <w:rPr>
                <w:rFonts w:ascii="Arial" w:hAnsi="Arial" w:cs="Arial"/>
                <w:sz w:val="20"/>
                <w:szCs w:val="20"/>
                <w:lang w:val="fr-FR"/>
              </w:rPr>
              <w:t xml:space="preserve">Atelier de </w:t>
            </w:r>
            <w:r w:rsidR="00B85D26" w:rsidRPr="00B65CBC">
              <w:rPr>
                <w:rFonts w:ascii="Arial" w:hAnsi="Arial" w:cs="Arial"/>
                <w:sz w:val="20"/>
                <w:szCs w:val="20"/>
                <w:lang w:val="fr-FR"/>
              </w:rPr>
              <w:t>renforcement</w:t>
            </w:r>
            <w:r w:rsidRPr="00B65CBC">
              <w:rPr>
                <w:rFonts w:ascii="Arial" w:hAnsi="Arial" w:cs="Arial"/>
                <w:sz w:val="20"/>
                <w:szCs w:val="20"/>
                <w:lang w:val="fr-FR"/>
              </w:rPr>
              <w:t xml:space="preserve"> des capacités dans le domaine du patrimoine culturel immatériel d</w:t>
            </w:r>
            <w:r w:rsidR="00DA4D2A" w:rsidRPr="00B65CBC">
              <w:rPr>
                <w:rFonts w:ascii="Arial" w:hAnsi="Arial" w:cs="Arial"/>
                <w:sz w:val="20"/>
                <w:szCs w:val="20"/>
                <w:lang w:val="fr-FR"/>
              </w:rPr>
              <w:t>’</w:t>
            </w:r>
            <w:r w:rsidRPr="00B65CBC">
              <w:rPr>
                <w:rFonts w:ascii="Arial" w:hAnsi="Arial" w:cs="Arial"/>
                <w:sz w:val="20"/>
                <w:szCs w:val="20"/>
                <w:lang w:val="fr-FR"/>
              </w:rPr>
              <w:t xml:space="preserve">une institution </w:t>
            </w:r>
            <w:r w:rsidR="00B85D26" w:rsidRPr="00B65CBC">
              <w:rPr>
                <w:rFonts w:ascii="Arial" w:hAnsi="Arial" w:cs="Arial"/>
                <w:sz w:val="20"/>
                <w:szCs w:val="20"/>
                <w:lang w:val="fr-FR"/>
              </w:rPr>
              <w:t xml:space="preserve">africaine </w:t>
            </w:r>
            <w:r w:rsidRPr="00B65CBC">
              <w:rPr>
                <w:rFonts w:ascii="Arial" w:hAnsi="Arial" w:cs="Arial"/>
                <w:sz w:val="20"/>
                <w:szCs w:val="20"/>
                <w:lang w:val="fr-FR"/>
              </w:rPr>
              <w:t xml:space="preserve">de formation </w:t>
            </w:r>
            <w:r w:rsidR="00194019" w:rsidRPr="00B65CBC">
              <w:rPr>
                <w:rFonts w:ascii="Arial" w:hAnsi="Arial" w:cs="Arial"/>
                <w:sz w:val="20"/>
                <w:szCs w:val="20"/>
                <w:lang w:val="fr-FR"/>
              </w:rPr>
              <w:t xml:space="preserve">de gestionnaires du </w:t>
            </w:r>
            <w:r w:rsidR="007562E8" w:rsidRPr="00B65CBC">
              <w:rPr>
                <w:rFonts w:ascii="Arial" w:hAnsi="Arial" w:cs="Arial"/>
                <w:sz w:val="20"/>
                <w:szCs w:val="20"/>
                <w:lang w:val="fr-FR"/>
              </w:rPr>
              <w:t xml:space="preserve">patrimoine </w:t>
            </w:r>
          </w:p>
        </w:tc>
        <w:tc>
          <w:tcPr>
            <w:tcW w:w="3878" w:type="dxa"/>
            <w:shd w:val="clear" w:color="auto" w:fill="auto"/>
            <w:vAlign w:val="center"/>
            <w:hideMark/>
          </w:tcPr>
          <w:p w14:paraId="418EBAF0" w14:textId="4B5B5438" w:rsidR="00683AA8" w:rsidRPr="00B65CBC" w:rsidRDefault="0053518E" w:rsidP="0051717D">
            <w:pPr>
              <w:rPr>
                <w:rFonts w:ascii="Arial" w:hAnsi="Arial" w:cs="Arial"/>
                <w:sz w:val="20"/>
                <w:szCs w:val="20"/>
                <w:lang w:val="fr-FR"/>
              </w:rPr>
            </w:pPr>
            <w:r w:rsidRPr="00B65CBC">
              <w:rPr>
                <w:rFonts w:ascii="Arial" w:hAnsi="Arial" w:cs="Arial"/>
                <w:sz w:val="20"/>
                <w:szCs w:val="20"/>
                <w:lang w:val="fr-FR"/>
              </w:rPr>
              <w:t>Voyage et séjour des participants, salles de réunion et équipement, frais de reproduction, déplacements locaux, hospitalité, communication, expédition</w:t>
            </w:r>
          </w:p>
        </w:tc>
        <w:tc>
          <w:tcPr>
            <w:tcW w:w="2042" w:type="dxa"/>
            <w:shd w:val="clear" w:color="auto" w:fill="auto"/>
            <w:vAlign w:val="center"/>
            <w:hideMark/>
          </w:tcPr>
          <w:p w14:paraId="1BA64E59" w14:textId="779D4EEE" w:rsidR="00683AA8" w:rsidRPr="00B65CBC" w:rsidRDefault="00683AA8" w:rsidP="0053518E">
            <w:pPr>
              <w:jc w:val="right"/>
              <w:rPr>
                <w:rFonts w:ascii="Arial" w:hAnsi="Arial" w:cs="Arial"/>
                <w:sz w:val="20"/>
                <w:szCs w:val="20"/>
                <w:lang w:val="fr-FR"/>
              </w:rPr>
            </w:pPr>
            <w:r w:rsidRPr="00B65CBC">
              <w:rPr>
                <w:rFonts w:ascii="Arial" w:hAnsi="Arial" w:cs="Arial"/>
                <w:sz w:val="20"/>
                <w:szCs w:val="20"/>
                <w:lang w:val="fr-FR"/>
              </w:rPr>
              <w:t>60</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53518E" w:rsidRPr="00B65CBC">
              <w:rPr>
                <w:rFonts w:ascii="Arial" w:hAnsi="Arial" w:cs="Arial"/>
                <w:sz w:val="20"/>
                <w:szCs w:val="20"/>
                <w:lang w:val="fr-FR"/>
              </w:rPr>
              <w:t>$</w:t>
            </w:r>
          </w:p>
        </w:tc>
        <w:tc>
          <w:tcPr>
            <w:tcW w:w="1705" w:type="dxa"/>
            <w:shd w:val="clear" w:color="auto" w:fill="auto"/>
            <w:vAlign w:val="center"/>
            <w:hideMark/>
          </w:tcPr>
          <w:p w14:paraId="42492AC6" w14:textId="68EA01EF" w:rsidR="00683AA8" w:rsidRPr="00B65CBC" w:rsidRDefault="00683AA8" w:rsidP="0053518E">
            <w:pPr>
              <w:jc w:val="right"/>
              <w:rPr>
                <w:rFonts w:ascii="Arial" w:hAnsi="Arial" w:cs="Arial"/>
                <w:iCs/>
                <w:sz w:val="20"/>
                <w:szCs w:val="20"/>
                <w:lang w:val="fr-FR"/>
              </w:rPr>
            </w:pPr>
            <w:r w:rsidRPr="00B65CBC">
              <w:rPr>
                <w:rFonts w:ascii="Arial" w:hAnsi="Arial" w:cs="Arial"/>
                <w:iCs/>
                <w:sz w:val="20"/>
                <w:szCs w:val="20"/>
                <w:lang w:val="fr-FR"/>
              </w:rPr>
              <w:t>56</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53518E" w:rsidRPr="00B65CBC">
              <w:rPr>
                <w:rFonts w:ascii="Arial" w:hAnsi="Arial" w:cs="Arial"/>
                <w:iCs/>
                <w:sz w:val="20"/>
                <w:szCs w:val="20"/>
                <w:lang w:val="fr-FR"/>
              </w:rPr>
              <w:t>$</w:t>
            </w:r>
          </w:p>
        </w:tc>
      </w:tr>
      <w:tr w:rsidR="00683AA8" w:rsidRPr="00B65CBC" w14:paraId="77AD8CCB" w14:textId="77777777" w:rsidTr="009F6EEB">
        <w:trPr>
          <w:cantSplit/>
          <w:trHeight w:val="1170"/>
          <w:jc w:val="center"/>
        </w:trPr>
        <w:tc>
          <w:tcPr>
            <w:tcW w:w="4112" w:type="dxa"/>
            <w:shd w:val="clear" w:color="auto" w:fill="auto"/>
            <w:vAlign w:val="center"/>
            <w:hideMark/>
          </w:tcPr>
          <w:p w14:paraId="2EA0A44F" w14:textId="202FAF91" w:rsidR="00683AA8" w:rsidRPr="00B65CBC" w:rsidRDefault="0053518E" w:rsidP="00194019">
            <w:pPr>
              <w:rPr>
                <w:rFonts w:ascii="Arial" w:hAnsi="Arial" w:cs="Arial"/>
                <w:sz w:val="20"/>
                <w:szCs w:val="20"/>
                <w:lang w:val="fr-FR"/>
              </w:rPr>
            </w:pPr>
            <w:r w:rsidRPr="00B65CBC">
              <w:rPr>
                <w:rFonts w:ascii="Arial" w:hAnsi="Arial" w:cs="Arial"/>
                <w:sz w:val="20"/>
                <w:szCs w:val="20"/>
                <w:lang w:val="fr-FR"/>
              </w:rPr>
              <w:t xml:space="preserve">Atelier de </w:t>
            </w:r>
            <w:r w:rsidR="00194019" w:rsidRPr="00B65CBC">
              <w:rPr>
                <w:rFonts w:ascii="Arial" w:hAnsi="Arial" w:cs="Arial"/>
                <w:sz w:val="20"/>
                <w:szCs w:val="20"/>
                <w:lang w:val="fr-FR"/>
              </w:rPr>
              <w:t xml:space="preserve">renforcement </w:t>
            </w:r>
            <w:r w:rsidRPr="00B65CBC">
              <w:rPr>
                <w:rFonts w:ascii="Arial" w:hAnsi="Arial" w:cs="Arial"/>
                <w:sz w:val="20"/>
                <w:szCs w:val="20"/>
                <w:lang w:val="fr-FR"/>
              </w:rPr>
              <w:t xml:space="preserve">des capacités </w:t>
            </w:r>
            <w:r w:rsidR="00B85D26" w:rsidRPr="00B65CBC">
              <w:rPr>
                <w:rFonts w:ascii="Arial" w:hAnsi="Arial" w:cs="Arial"/>
                <w:sz w:val="20"/>
                <w:szCs w:val="20"/>
                <w:lang w:val="fr-FR"/>
              </w:rPr>
              <w:t xml:space="preserve">sur </w:t>
            </w:r>
            <w:r w:rsidR="00194019" w:rsidRPr="00B65CBC">
              <w:rPr>
                <w:rFonts w:ascii="Arial" w:hAnsi="Arial" w:cs="Arial"/>
                <w:sz w:val="20"/>
                <w:szCs w:val="20"/>
                <w:lang w:val="fr-FR"/>
              </w:rPr>
              <w:t xml:space="preserve">l’élaboration d’inventaires </w:t>
            </w:r>
            <w:r w:rsidRPr="00B65CBC">
              <w:rPr>
                <w:rFonts w:ascii="Arial" w:hAnsi="Arial" w:cs="Arial"/>
                <w:sz w:val="20"/>
                <w:szCs w:val="20"/>
                <w:lang w:val="fr-FR"/>
              </w:rPr>
              <w:t>du patrimoine culturel immatériel avec la participation des communautés d</w:t>
            </w:r>
            <w:r w:rsidR="00DA4D2A" w:rsidRPr="00B65CBC">
              <w:rPr>
                <w:rFonts w:ascii="Arial" w:hAnsi="Arial" w:cs="Arial"/>
                <w:sz w:val="20"/>
                <w:szCs w:val="20"/>
                <w:lang w:val="fr-FR"/>
              </w:rPr>
              <w:t>’</w:t>
            </w:r>
            <w:r w:rsidRPr="00B65CBC">
              <w:rPr>
                <w:rFonts w:ascii="Arial" w:hAnsi="Arial" w:cs="Arial"/>
                <w:sz w:val="20"/>
                <w:szCs w:val="20"/>
                <w:lang w:val="fr-FR"/>
              </w:rPr>
              <w:t xml:space="preserve">une institution africaine de </w:t>
            </w:r>
            <w:r w:rsidR="00B85D26" w:rsidRPr="00B65CBC">
              <w:rPr>
                <w:rFonts w:ascii="Arial" w:hAnsi="Arial" w:cs="Arial"/>
                <w:sz w:val="20"/>
                <w:szCs w:val="20"/>
                <w:lang w:val="fr-FR"/>
              </w:rPr>
              <w:t xml:space="preserve">formation </w:t>
            </w:r>
            <w:r w:rsidR="00194019" w:rsidRPr="00B65CBC">
              <w:rPr>
                <w:rFonts w:ascii="Arial" w:hAnsi="Arial" w:cs="Arial"/>
                <w:sz w:val="20"/>
                <w:szCs w:val="20"/>
                <w:lang w:val="fr-FR"/>
              </w:rPr>
              <w:t>de gestionnaires du patrimoine</w:t>
            </w:r>
          </w:p>
        </w:tc>
        <w:tc>
          <w:tcPr>
            <w:tcW w:w="3878" w:type="dxa"/>
            <w:shd w:val="clear" w:color="auto" w:fill="auto"/>
            <w:vAlign w:val="center"/>
            <w:hideMark/>
          </w:tcPr>
          <w:p w14:paraId="63CC394C" w14:textId="372E0F45" w:rsidR="00683AA8" w:rsidRPr="00B65CBC" w:rsidRDefault="0053518E" w:rsidP="0051717D">
            <w:pPr>
              <w:rPr>
                <w:rFonts w:ascii="Arial" w:hAnsi="Arial" w:cs="Arial"/>
                <w:sz w:val="20"/>
                <w:szCs w:val="20"/>
                <w:lang w:val="fr-FR"/>
              </w:rPr>
            </w:pPr>
            <w:r w:rsidRPr="00B65CBC">
              <w:rPr>
                <w:rFonts w:ascii="Arial" w:hAnsi="Arial" w:cs="Arial"/>
                <w:sz w:val="20"/>
                <w:szCs w:val="20"/>
                <w:lang w:val="fr-FR"/>
              </w:rPr>
              <w:t>Voyage et séjour des participants, salles de réunion et équipement, frais de reproduction, déplacements locaux, hospitalité, communication, expédition</w:t>
            </w:r>
          </w:p>
        </w:tc>
        <w:tc>
          <w:tcPr>
            <w:tcW w:w="2042" w:type="dxa"/>
            <w:shd w:val="clear" w:color="auto" w:fill="auto"/>
            <w:vAlign w:val="center"/>
            <w:hideMark/>
          </w:tcPr>
          <w:p w14:paraId="2CBF0734" w14:textId="4FF537CD" w:rsidR="00683AA8" w:rsidRPr="00B65CBC" w:rsidRDefault="00683AA8" w:rsidP="0051717D">
            <w:pPr>
              <w:jc w:val="right"/>
              <w:rPr>
                <w:rFonts w:ascii="Arial" w:hAnsi="Arial" w:cs="Arial"/>
                <w:sz w:val="20"/>
                <w:szCs w:val="20"/>
                <w:lang w:val="fr-FR"/>
              </w:rPr>
            </w:pPr>
            <w:r w:rsidRPr="00B65CBC">
              <w:rPr>
                <w:rFonts w:ascii="Arial" w:hAnsi="Arial" w:cs="Arial"/>
                <w:sz w:val="20"/>
                <w:szCs w:val="20"/>
                <w:lang w:val="fr-FR"/>
              </w:rPr>
              <w:t>0</w:t>
            </w:r>
            <w:r w:rsidR="00194019" w:rsidRPr="00B65CBC">
              <w:rPr>
                <w:rFonts w:ascii="Arial" w:hAnsi="Arial" w:cs="Arial"/>
                <w:sz w:val="20"/>
                <w:szCs w:val="20"/>
                <w:lang w:val="fr-FR"/>
              </w:rPr>
              <w:t> </w:t>
            </w:r>
            <w:r w:rsidR="0053518E" w:rsidRPr="00B65CBC">
              <w:rPr>
                <w:rFonts w:ascii="Arial" w:hAnsi="Arial" w:cs="Arial"/>
                <w:sz w:val="20"/>
                <w:szCs w:val="20"/>
                <w:lang w:val="fr-FR"/>
              </w:rPr>
              <w:t>$</w:t>
            </w:r>
          </w:p>
        </w:tc>
        <w:tc>
          <w:tcPr>
            <w:tcW w:w="1705" w:type="dxa"/>
            <w:shd w:val="clear" w:color="auto" w:fill="auto"/>
            <w:vAlign w:val="center"/>
            <w:hideMark/>
          </w:tcPr>
          <w:p w14:paraId="2DAD9804" w14:textId="606F081E" w:rsidR="00683AA8" w:rsidRPr="00B65CBC" w:rsidRDefault="00683AA8" w:rsidP="0053518E">
            <w:pPr>
              <w:jc w:val="right"/>
              <w:rPr>
                <w:rFonts w:ascii="Arial" w:hAnsi="Arial" w:cs="Arial"/>
                <w:iCs/>
                <w:sz w:val="20"/>
                <w:szCs w:val="20"/>
                <w:lang w:val="fr-FR"/>
              </w:rPr>
            </w:pPr>
            <w:r w:rsidRPr="00B65CBC">
              <w:rPr>
                <w:rFonts w:ascii="Arial" w:hAnsi="Arial" w:cs="Arial"/>
                <w:iCs/>
                <w:sz w:val="20"/>
                <w:szCs w:val="20"/>
                <w:lang w:val="fr-FR"/>
              </w:rPr>
              <w:t>80</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53518E" w:rsidRPr="00B65CBC">
              <w:rPr>
                <w:rFonts w:ascii="Arial" w:hAnsi="Arial" w:cs="Arial"/>
                <w:iCs/>
                <w:sz w:val="20"/>
                <w:szCs w:val="20"/>
                <w:lang w:val="fr-FR"/>
              </w:rPr>
              <w:t>$</w:t>
            </w:r>
          </w:p>
        </w:tc>
      </w:tr>
      <w:tr w:rsidR="00683AA8" w:rsidRPr="00B65CBC" w14:paraId="6E1CDEDB" w14:textId="77777777" w:rsidTr="009F6EEB">
        <w:trPr>
          <w:cantSplit/>
          <w:trHeight w:val="585"/>
          <w:jc w:val="center"/>
        </w:trPr>
        <w:tc>
          <w:tcPr>
            <w:tcW w:w="7990" w:type="dxa"/>
            <w:gridSpan w:val="2"/>
            <w:shd w:val="clear" w:color="auto" w:fill="D9D9D9" w:themeFill="background1" w:themeFillShade="D9"/>
            <w:vAlign w:val="center"/>
            <w:hideMark/>
          </w:tcPr>
          <w:p w14:paraId="57FF428D" w14:textId="5296108B" w:rsidR="00683AA8" w:rsidRPr="00B65CBC" w:rsidRDefault="00683AA8" w:rsidP="0051717D">
            <w:pPr>
              <w:rPr>
                <w:rFonts w:ascii="Arial" w:hAnsi="Arial" w:cs="Arial"/>
                <w:b/>
                <w:bCs/>
                <w:sz w:val="20"/>
                <w:szCs w:val="20"/>
                <w:lang w:val="fr-FR"/>
              </w:rPr>
            </w:pPr>
            <w:r w:rsidRPr="00B65CBC">
              <w:rPr>
                <w:rFonts w:ascii="Arial" w:hAnsi="Arial" w:cs="Arial"/>
                <w:b/>
                <w:bCs/>
                <w:sz w:val="20"/>
                <w:szCs w:val="20"/>
                <w:lang w:val="fr-FR"/>
              </w:rPr>
              <w:t xml:space="preserve">B. </w:t>
            </w:r>
            <w:r w:rsidR="0053518E" w:rsidRPr="00B65CBC">
              <w:rPr>
                <w:rFonts w:ascii="Arial" w:hAnsi="Arial" w:cs="Arial"/>
                <w:b/>
                <w:color w:val="000000"/>
                <w:sz w:val="20"/>
                <w:szCs w:val="20"/>
                <w:lang w:val="fr-FR"/>
              </w:rPr>
              <w:t>Promotion et diffusion des meilleures pratiques de sauvegarde</w:t>
            </w:r>
          </w:p>
        </w:tc>
        <w:tc>
          <w:tcPr>
            <w:tcW w:w="2042" w:type="dxa"/>
            <w:shd w:val="clear" w:color="auto" w:fill="D9D9D9" w:themeFill="background1" w:themeFillShade="D9"/>
            <w:vAlign w:val="center"/>
            <w:hideMark/>
          </w:tcPr>
          <w:p w14:paraId="76A91055" w14:textId="1E975AD1" w:rsidR="00683AA8" w:rsidRPr="00B65CBC" w:rsidRDefault="00683AA8" w:rsidP="0053518E">
            <w:pPr>
              <w:jc w:val="right"/>
              <w:rPr>
                <w:rFonts w:ascii="Arial" w:hAnsi="Arial" w:cs="Arial"/>
                <w:b/>
                <w:bCs/>
                <w:sz w:val="20"/>
                <w:szCs w:val="20"/>
                <w:lang w:val="fr-FR"/>
              </w:rPr>
            </w:pPr>
            <w:r w:rsidRPr="00B65CBC">
              <w:rPr>
                <w:rFonts w:ascii="Arial" w:hAnsi="Arial" w:cs="Arial"/>
                <w:b/>
                <w:bCs/>
                <w:sz w:val="20"/>
                <w:szCs w:val="20"/>
                <w:lang w:val="fr-FR"/>
              </w:rPr>
              <w:t>75</w:t>
            </w:r>
            <w:r w:rsidR="00194019" w:rsidRPr="00B65CBC">
              <w:rPr>
                <w:rFonts w:ascii="Arial" w:hAnsi="Arial" w:cs="Arial"/>
                <w:b/>
                <w:bCs/>
                <w:sz w:val="20"/>
                <w:szCs w:val="20"/>
                <w:lang w:val="fr-FR"/>
              </w:rPr>
              <w:t> </w:t>
            </w:r>
            <w:r w:rsidRPr="00B65CBC">
              <w:rPr>
                <w:rFonts w:ascii="Arial" w:hAnsi="Arial" w:cs="Arial"/>
                <w:b/>
                <w:bCs/>
                <w:sz w:val="20"/>
                <w:szCs w:val="20"/>
                <w:lang w:val="fr-FR"/>
              </w:rPr>
              <w:t>000</w:t>
            </w:r>
            <w:r w:rsidR="00194019" w:rsidRPr="00B65CBC">
              <w:rPr>
                <w:rFonts w:ascii="Arial" w:hAnsi="Arial" w:cs="Arial"/>
                <w:b/>
                <w:bCs/>
                <w:sz w:val="20"/>
                <w:szCs w:val="20"/>
                <w:lang w:val="fr-FR"/>
              </w:rPr>
              <w:t> </w:t>
            </w:r>
            <w:r w:rsidR="0053518E" w:rsidRPr="00B65CBC">
              <w:rPr>
                <w:rFonts w:ascii="Arial" w:hAnsi="Arial" w:cs="Arial"/>
                <w:b/>
                <w:bCs/>
                <w:sz w:val="20"/>
                <w:szCs w:val="20"/>
                <w:lang w:val="fr-FR"/>
              </w:rPr>
              <w:t>$</w:t>
            </w:r>
          </w:p>
        </w:tc>
        <w:tc>
          <w:tcPr>
            <w:tcW w:w="1705" w:type="dxa"/>
            <w:shd w:val="clear" w:color="auto" w:fill="D9D9D9" w:themeFill="background1" w:themeFillShade="D9"/>
            <w:vAlign w:val="center"/>
            <w:hideMark/>
          </w:tcPr>
          <w:p w14:paraId="13A64E77" w14:textId="2F83B754" w:rsidR="00683AA8" w:rsidRPr="00B65CBC" w:rsidRDefault="00683AA8" w:rsidP="0053518E">
            <w:pPr>
              <w:jc w:val="right"/>
              <w:rPr>
                <w:rFonts w:ascii="Arial" w:hAnsi="Arial" w:cs="Arial"/>
                <w:b/>
                <w:bCs/>
                <w:iCs/>
                <w:sz w:val="20"/>
                <w:szCs w:val="20"/>
                <w:lang w:val="fr-FR"/>
              </w:rPr>
            </w:pPr>
            <w:r w:rsidRPr="00B65CBC">
              <w:rPr>
                <w:rFonts w:ascii="Arial" w:hAnsi="Arial" w:cs="Arial"/>
                <w:b/>
                <w:bCs/>
                <w:iCs/>
                <w:sz w:val="20"/>
                <w:szCs w:val="20"/>
                <w:lang w:val="fr-FR"/>
              </w:rPr>
              <w:t>75</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r w:rsidR="0053518E" w:rsidRPr="00B65CBC">
              <w:rPr>
                <w:rFonts w:ascii="Arial" w:hAnsi="Arial" w:cs="Arial"/>
                <w:b/>
                <w:bCs/>
                <w:iCs/>
                <w:sz w:val="20"/>
                <w:szCs w:val="20"/>
                <w:lang w:val="fr-FR"/>
              </w:rPr>
              <w:t>$</w:t>
            </w:r>
          </w:p>
        </w:tc>
      </w:tr>
      <w:tr w:rsidR="00683AA8" w:rsidRPr="00B65CBC" w14:paraId="38A7A71A" w14:textId="77777777" w:rsidTr="009F6EEB">
        <w:trPr>
          <w:cantSplit/>
          <w:trHeight w:val="1215"/>
          <w:jc w:val="center"/>
        </w:trPr>
        <w:tc>
          <w:tcPr>
            <w:tcW w:w="4112" w:type="dxa"/>
            <w:shd w:val="clear" w:color="auto" w:fill="auto"/>
            <w:vAlign w:val="center"/>
            <w:hideMark/>
          </w:tcPr>
          <w:p w14:paraId="649E572A" w14:textId="25A0F869" w:rsidR="00683AA8" w:rsidRPr="00B65CBC" w:rsidRDefault="00F84D29" w:rsidP="00194019">
            <w:pPr>
              <w:rPr>
                <w:rFonts w:ascii="Arial" w:hAnsi="Arial" w:cs="Arial"/>
                <w:sz w:val="20"/>
                <w:szCs w:val="20"/>
                <w:lang w:val="fr-FR"/>
              </w:rPr>
            </w:pPr>
            <w:r w:rsidRPr="00B65CBC">
              <w:rPr>
                <w:rFonts w:ascii="Arial" w:hAnsi="Arial" w:cs="Arial"/>
                <w:sz w:val="20"/>
                <w:szCs w:val="20"/>
                <w:lang w:val="fr-FR"/>
              </w:rPr>
              <w:t>Recherche, documentation, publication et diffusion de deux meilleures pratiques déjà sé</w:t>
            </w:r>
            <w:r w:rsidR="00AF2EF9" w:rsidRPr="00B65CBC">
              <w:rPr>
                <w:rFonts w:ascii="Arial" w:hAnsi="Arial" w:cs="Arial"/>
                <w:sz w:val="20"/>
                <w:szCs w:val="20"/>
                <w:lang w:val="fr-FR"/>
              </w:rPr>
              <w:t>lectionnées par le Comité</w:t>
            </w:r>
          </w:p>
        </w:tc>
        <w:tc>
          <w:tcPr>
            <w:tcW w:w="3878" w:type="dxa"/>
            <w:shd w:val="clear" w:color="auto" w:fill="auto"/>
            <w:vAlign w:val="center"/>
            <w:hideMark/>
          </w:tcPr>
          <w:p w14:paraId="2982DDC5" w14:textId="66243B12" w:rsidR="00683AA8" w:rsidRPr="00B65CBC" w:rsidRDefault="00F84D29" w:rsidP="00AF2EF9">
            <w:pPr>
              <w:rPr>
                <w:rFonts w:ascii="Arial" w:hAnsi="Arial" w:cs="Arial"/>
                <w:sz w:val="20"/>
                <w:szCs w:val="20"/>
                <w:lang w:val="fr-FR"/>
              </w:rPr>
            </w:pPr>
            <w:r w:rsidRPr="00B65CBC">
              <w:rPr>
                <w:rFonts w:ascii="Arial" w:hAnsi="Arial" w:cs="Arial"/>
                <w:sz w:val="20"/>
                <w:szCs w:val="20"/>
                <w:lang w:val="fr-FR"/>
              </w:rPr>
              <w:t>Services p</w:t>
            </w:r>
            <w:r w:rsidR="00AF2EF9" w:rsidRPr="00B65CBC">
              <w:rPr>
                <w:rFonts w:ascii="Arial" w:hAnsi="Arial" w:cs="Arial"/>
                <w:sz w:val="20"/>
                <w:szCs w:val="20"/>
                <w:lang w:val="fr-FR"/>
              </w:rPr>
              <w:t>rofessionnels pour le développement de contenus</w:t>
            </w:r>
            <w:r w:rsidRPr="00B65CBC">
              <w:rPr>
                <w:rFonts w:ascii="Arial" w:hAnsi="Arial" w:cs="Arial"/>
                <w:sz w:val="20"/>
                <w:szCs w:val="20"/>
                <w:lang w:val="fr-FR"/>
              </w:rPr>
              <w:t xml:space="preserve">, la préparation de </w:t>
            </w:r>
            <w:r w:rsidR="00AF2EF9" w:rsidRPr="00B65CBC">
              <w:rPr>
                <w:rFonts w:ascii="Arial" w:hAnsi="Arial" w:cs="Arial"/>
                <w:sz w:val="20"/>
                <w:szCs w:val="20"/>
                <w:lang w:val="fr-FR"/>
              </w:rPr>
              <w:t>textes</w:t>
            </w:r>
            <w:r w:rsidRPr="00B65CBC">
              <w:rPr>
                <w:rFonts w:ascii="Arial" w:hAnsi="Arial" w:cs="Arial"/>
                <w:sz w:val="20"/>
                <w:szCs w:val="20"/>
                <w:lang w:val="fr-FR"/>
              </w:rPr>
              <w:t xml:space="preserve">, la conception graphique et la mise en page en anglais et en français </w:t>
            </w:r>
          </w:p>
        </w:tc>
        <w:tc>
          <w:tcPr>
            <w:tcW w:w="2042" w:type="dxa"/>
            <w:shd w:val="clear" w:color="auto" w:fill="auto"/>
            <w:vAlign w:val="center"/>
            <w:hideMark/>
          </w:tcPr>
          <w:p w14:paraId="1C829D8B" w14:textId="2B66A36C" w:rsidR="00683AA8" w:rsidRPr="00B65CBC" w:rsidRDefault="00683AA8" w:rsidP="00F84D29">
            <w:pPr>
              <w:jc w:val="right"/>
              <w:rPr>
                <w:rFonts w:ascii="Arial" w:hAnsi="Arial" w:cs="Arial"/>
                <w:sz w:val="20"/>
                <w:szCs w:val="20"/>
                <w:lang w:val="fr-FR"/>
              </w:rPr>
            </w:pPr>
            <w:r w:rsidRPr="00B65CBC">
              <w:rPr>
                <w:rFonts w:ascii="Arial" w:hAnsi="Arial" w:cs="Arial"/>
                <w:sz w:val="20"/>
                <w:szCs w:val="20"/>
                <w:lang w:val="fr-FR"/>
              </w:rPr>
              <w:t>75</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b/>
                <w:sz w:val="20"/>
                <w:szCs w:val="20"/>
                <w:lang w:val="fr-FR"/>
              </w:rPr>
              <w:t> </w:t>
            </w:r>
            <w:r w:rsidR="00F84D29" w:rsidRPr="00B65CBC">
              <w:rPr>
                <w:rFonts w:ascii="Arial" w:hAnsi="Arial" w:cs="Arial"/>
                <w:sz w:val="20"/>
                <w:szCs w:val="20"/>
                <w:lang w:val="fr-FR"/>
              </w:rPr>
              <w:t>$</w:t>
            </w:r>
          </w:p>
        </w:tc>
        <w:tc>
          <w:tcPr>
            <w:tcW w:w="1705" w:type="dxa"/>
            <w:shd w:val="clear" w:color="auto" w:fill="auto"/>
            <w:vAlign w:val="center"/>
            <w:hideMark/>
          </w:tcPr>
          <w:p w14:paraId="47CA583B" w14:textId="1B982075" w:rsidR="00683AA8" w:rsidRPr="00B65CBC" w:rsidRDefault="00683AA8" w:rsidP="00F84D29">
            <w:pPr>
              <w:jc w:val="right"/>
              <w:rPr>
                <w:rFonts w:ascii="Arial" w:hAnsi="Arial" w:cs="Arial"/>
                <w:iCs/>
                <w:sz w:val="20"/>
                <w:szCs w:val="20"/>
                <w:lang w:val="fr-FR"/>
              </w:rPr>
            </w:pPr>
            <w:r w:rsidRPr="00B65CBC">
              <w:rPr>
                <w:rFonts w:ascii="Arial" w:hAnsi="Arial" w:cs="Arial"/>
                <w:iCs/>
                <w:sz w:val="20"/>
                <w:szCs w:val="20"/>
                <w:lang w:val="fr-FR"/>
              </w:rPr>
              <w:t>75</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F84D29" w:rsidRPr="00B65CBC">
              <w:rPr>
                <w:rFonts w:ascii="Arial" w:hAnsi="Arial" w:cs="Arial"/>
                <w:iCs/>
                <w:sz w:val="20"/>
                <w:szCs w:val="20"/>
                <w:lang w:val="fr-FR"/>
              </w:rPr>
              <w:t>$</w:t>
            </w:r>
          </w:p>
        </w:tc>
      </w:tr>
      <w:tr w:rsidR="00683AA8" w:rsidRPr="00B65CBC" w14:paraId="35BFABAE" w14:textId="77777777" w:rsidTr="009F6EEB">
        <w:trPr>
          <w:cantSplit/>
          <w:trHeight w:val="540"/>
          <w:jc w:val="center"/>
        </w:trPr>
        <w:tc>
          <w:tcPr>
            <w:tcW w:w="7990" w:type="dxa"/>
            <w:gridSpan w:val="2"/>
            <w:shd w:val="clear" w:color="auto" w:fill="D9D9D9" w:themeFill="background1" w:themeFillShade="D9"/>
            <w:vAlign w:val="center"/>
            <w:hideMark/>
          </w:tcPr>
          <w:p w14:paraId="12C257DB" w14:textId="74A99563" w:rsidR="00683AA8" w:rsidRPr="00B65CBC" w:rsidRDefault="00683AA8" w:rsidP="00F84D29">
            <w:pPr>
              <w:rPr>
                <w:rFonts w:ascii="Arial" w:hAnsi="Arial" w:cs="Arial"/>
                <w:b/>
                <w:bCs/>
                <w:sz w:val="20"/>
                <w:szCs w:val="20"/>
                <w:lang w:val="fr-FR"/>
              </w:rPr>
            </w:pPr>
            <w:r w:rsidRPr="00B65CBC">
              <w:rPr>
                <w:rFonts w:ascii="Arial" w:hAnsi="Arial" w:cs="Arial"/>
                <w:b/>
                <w:bCs/>
                <w:sz w:val="20"/>
                <w:szCs w:val="20"/>
                <w:lang w:val="fr-FR"/>
              </w:rPr>
              <w:t xml:space="preserve">C. Communication and </w:t>
            </w:r>
            <w:r w:rsidR="00F84D29" w:rsidRPr="00B65CBC">
              <w:rPr>
                <w:rFonts w:ascii="Arial" w:hAnsi="Arial" w:cs="Arial"/>
                <w:b/>
                <w:bCs/>
                <w:sz w:val="20"/>
                <w:szCs w:val="20"/>
                <w:lang w:val="fr-FR"/>
              </w:rPr>
              <w:t>visibilité</w:t>
            </w:r>
          </w:p>
        </w:tc>
        <w:tc>
          <w:tcPr>
            <w:tcW w:w="2042" w:type="dxa"/>
            <w:shd w:val="clear" w:color="auto" w:fill="D9D9D9" w:themeFill="background1" w:themeFillShade="D9"/>
            <w:vAlign w:val="center"/>
            <w:hideMark/>
          </w:tcPr>
          <w:p w14:paraId="44B12401" w14:textId="4CC754EE" w:rsidR="00683AA8" w:rsidRPr="00B65CBC" w:rsidRDefault="00683AA8" w:rsidP="00194019">
            <w:pPr>
              <w:jc w:val="right"/>
              <w:rPr>
                <w:rFonts w:ascii="Arial" w:hAnsi="Arial" w:cs="Arial"/>
                <w:b/>
                <w:bCs/>
                <w:sz w:val="20"/>
                <w:szCs w:val="20"/>
                <w:lang w:val="fr-FR"/>
              </w:rPr>
            </w:pPr>
            <w:r w:rsidRPr="00B65CBC">
              <w:rPr>
                <w:rFonts w:ascii="Arial" w:hAnsi="Arial" w:cs="Arial"/>
                <w:b/>
                <w:bCs/>
                <w:sz w:val="20"/>
                <w:szCs w:val="20"/>
                <w:lang w:val="fr-FR"/>
              </w:rPr>
              <w:t>189</w:t>
            </w:r>
            <w:r w:rsidR="00194019" w:rsidRPr="00B65CBC">
              <w:rPr>
                <w:rFonts w:ascii="Arial" w:hAnsi="Arial" w:cs="Arial"/>
                <w:b/>
                <w:bCs/>
                <w:sz w:val="20"/>
                <w:szCs w:val="20"/>
                <w:lang w:val="fr-FR"/>
              </w:rPr>
              <w:t> </w:t>
            </w:r>
            <w:r w:rsidRPr="00B65CBC">
              <w:rPr>
                <w:rFonts w:ascii="Arial" w:hAnsi="Arial" w:cs="Arial"/>
                <w:b/>
                <w:bCs/>
                <w:sz w:val="20"/>
                <w:szCs w:val="20"/>
                <w:lang w:val="fr-FR"/>
              </w:rPr>
              <w:t>663</w:t>
            </w:r>
            <w:r w:rsidR="00194019" w:rsidRPr="00B65CBC">
              <w:rPr>
                <w:rFonts w:ascii="Arial" w:hAnsi="Arial" w:cs="Arial"/>
                <w:b/>
                <w:bCs/>
                <w:sz w:val="20"/>
                <w:szCs w:val="20"/>
                <w:lang w:val="fr-FR"/>
              </w:rPr>
              <w:t> $</w:t>
            </w:r>
          </w:p>
        </w:tc>
        <w:tc>
          <w:tcPr>
            <w:tcW w:w="1705" w:type="dxa"/>
            <w:shd w:val="clear" w:color="auto" w:fill="D9D9D9" w:themeFill="background1" w:themeFillShade="D9"/>
            <w:vAlign w:val="center"/>
            <w:hideMark/>
          </w:tcPr>
          <w:p w14:paraId="10E17E87" w14:textId="50253D7E" w:rsidR="00683AA8" w:rsidRPr="00B65CBC" w:rsidRDefault="00683AA8" w:rsidP="00194019">
            <w:pPr>
              <w:jc w:val="right"/>
              <w:rPr>
                <w:rFonts w:ascii="Arial" w:hAnsi="Arial" w:cs="Arial"/>
                <w:b/>
                <w:bCs/>
                <w:iCs/>
                <w:sz w:val="20"/>
                <w:szCs w:val="20"/>
                <w:lang w:val="fr-FR"/>
              </w:rPr>
            </w:pPr>
            <w:r w:rsidRPr="00B65CBC">
              <w:rPr>
                <w:rFonts w:ascii="Arial" w:hAnsi="Arial" w:cs="Arial"/>
                <w:b/>
                <w:bCs/>
                <w:iCs/>
                <w:sz w:val="20"/>
                <w:szCs w:val="20"/>
                <w:lang w:val="fr-FR"/>
              </w:rPr>
              <w:t>207</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p>
        </w:tc>
      </w:tr>
      <w:tr w:rsidR="00683AA8" w:rsidRPr="00B65CBC" w14:paraId="37C02702" w14:textId="77777777" w:rsidTr="009F6EEB">
        <w:trPr>
          <w:cantSplit/>
          <w:trHeight w:val="795"/>
          <w:jc w:val="center"/>
        </w:trPr>
        <w:tc>
          <w:tcPr>
            <w:tcW w:w="7990" w:type="dxa"/>
            <w:gridSpan w:val="2"/>
            <w:shd w:val="clear" w:color="auto" w:fill="auto"/>
            <w:vAlign w:val="center"/>
            <w:hideMark/>
          </w:tcPr>
          <w:p w14:paraId="1529F340" w14:textId="7BD54076" w:rsidR="00683AA8" w:rsidRPr="00B65CBC" w:rsidRDefault="00683AA8" w:rsidP="0051717D">
            <w:pPr>
              <w:rPr>
                <w:rFonts w:ascii="Arial" w:hAnsi="Arial" w:cs="Arial"/>
                <w:b/>
                <w:bCs/>
                <w:sz w:val="20"/>
                <w:szCs w:val="20"/>
                <w:lang w:val="fr-FR"/>
              </w:rPr>
            </w:pPr>
            <w:r w:rsidRPr="00B65CBC">
              <w:rPr>
                <w:rFonts w:ascii="Arial" w:hAnsi="Arial" w:cs="Arial"/>
                <w:b/>
                <w:bCs/>
                <w:sz w:val="20"/>
                <w:szCs w:val="20"/>
                <w:lang w:val="fr-FR"/>
              </w:rPr>
              <w:t xml:space="preserve">C.1 </w:t>
            </w:r>
            <w:r w:rsidR="00F84D29" w:rsidRPr="00B65CBC">
              <w:rPr>
                <w:rStyle w:val="normal0020tablechar"/>
                <w:rFonts w:ascii="Arial" w:hAnsi="Arial" w:cs="Arial"/>
                <w:b/>
                <w:bCs/>
                <w:sz w:val="20"/>
                <w:szCs w:val="20"/>
                <w:lang w:val="fr-FR"/>
              </w:rPr>
              <w:t>Publication des Textes fondamentaux</w:t>
            </w:r>
            <w:r w:rsidRPr="00B65CBC">
              <w:rPr>
                <w:rFonts w:ascii="Arial" w:hAnsi="Arial" w:cs="Arial"/>
                <w:b/>
                <w:bCs/>
                <w:sz w:val="20"/>
                <w:szCs w:val="20"/>
                <w:lang w:val="fr-FR"/>
              </w:rPr>
              <w:t xml:space="preserve"> </w:t>
            </w:r>
            <w:r w:rsidR="00F84D29" w:rsidRPr="00B65CBC">
              <w:rPr>
                <w:rStyle w:val="normal0020tablechar"/>
                <w:rFonts w:ascii="Arial" w:hAnsi="Arial" w:cs="Arial"/>
                <w:b/>
                <w:bCs/>
                <w:sz w:val="20"/>
                <w:szCs w:val="20"/>
                <w:lang w:val="fr-FR"/>
              </w:rPr>
              <w:t>(anglais, arabe, chinois, espagnol, français, russe)</w:t>
            </w:r>
          </w:p>
        </w:tc>
        <w:tc>
          <w:tcPr>
            <w:tcW w:w="2042" w:type="dxa"/>
            <w:shd w:val="clear" w:color="auto" w:fill="auto"/>
            <w:vAlign w:val="center"/>
            <w:hideMark/>
          </w:tcPr>
          <w:p w14:paraId="0565AB35" w14:textId="1B6AF8EC" w:rsidR="00683AA8" w:rsidRPr="00B65CBC" w:rsidRDefault="00683AA8" w:rsidP="00194019">
            <w:pPr>
              <w:jc w:val="right"/>
              <w:rPr>
                <w:rFonts w:ascii="Arial" w:hAnsi="Arial" w:cs="Arial"/>
                <w:sz w:val="20"/>
                <w:szCs w:val="20"/>
                <w:lang w:val="fr-FR"/>
              </w:rPr>
            </w:pPr>
            <w:r w:rsidRPr="00B65CBC">
              <w:rPr>
                <w:rFonts w:ascii="Arial" w:hAnsi="Arial" w:cs="Arial"/>
                <w:b/>
                <w:bCs/>
                <w:sz w:val="20"/>
                <w:szCs w:val="20"/>
                <w:lang w:val="fr-FR"/>
              </w:rPr>
              <w:t>90</w:t>
            </w:r>
            <w:r w:rsidR="00194019" w:rsidRPr="00B65CBC">
              <w:rPr>
                <w:rFonts w:ascii="Arial" w:hAnsi="Arial" w:cs="Arial"/>
                <w:b/>
                <w:bCs/>
                <w:sz w:val="20"/>
                <w:szCs w:val="20"/>
                <w:lang w:val="fr-FR"/>
              </w:rPr>
              <w:t> </w:t>
            </w:r>
            <w:r w:rsidRPr="00B65CBC">
              <w:rPr>
                <w:rFonts w:ascii="Arial" w:hAnsi="Arial" w:cs="Arial"/>
                <w:b/>
                <w:bCs/>
                <w:sz w:val="20"/>
                <w:szCs w:val="20"/>
                <w:lang w:val="fr-FR"/>
              </w:rPr>
              <w:t>000</w:t>
            </w:r>
            <w:r w:rsidR="00194019" w:rsidRPr="00B65CBC">
              <w:rPr>
                <w:rFonts w:ascii="Arial" w:hAnsi="Arial" w:cs="Arial"/>
                <w:b/>
                <w:bCs/>
                <w:sz w:val="20"/>
                <w:szCs w:val="20"/>
                <w:lang w:val="fr-FR"/>
              </w:rPr>
              <w:t> $</w:t>
            </w:r>
          </w:p>
        </w:tc>
        <w:tc>
          <w:tcPr>
            <w:tcW w:w="1705" w:type="dxa"/>
            <w:shd w:val="clear" w:color="auto" w:fill="auto"/>
            <w:vAlign w:val="center"/>
            <w:hideMark/>
          </w:tcPr>
          <w:p w14:paraId="00AAE92D" w14:textId="295349B1" w:rsidR="00683AA8" w:rsidRPr="00B65CBC" w:rsidRDefault="00683AA8" w:rsidP="00194019">
            <w:pPr>
              <w:jc w:val="right"/>
              <w:rPr>
                <w:rFonts w:ascii="Calibri" w:hAnsi="Calibri"/>
                <w:sz w:val="20"/>
                <w:szCs w:val="20"/>
                <w:lang w:val="fr-FR"/>
              </w:rPr>
            </w:pPr>
            <w:r w:rsidRPr="00B65CBC">
              <w:rPr>
                <w:rFonts w:ascii="Arial" w:hAnsi="Arial" w:cs="Arial"/>
                <w:b/>
                <w:bCs/>
                <w:iCs/>
                <w:sz w:val="20"/>
                <w:szCs w:val="20"/>
                <w:lang w:val="fr-FR"/>
              </w:rPr>
              <w:t>63</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p>
        </w:tc>
      </w:tr>
      <w:tr w:rsidR="00683AA8" w:rsidRPr="00B65CBC" w14:paraId="0297EDAA" w14:textId="77777777" w:rsidTr="009F6EEB">
        <w:trPr>
          <w:cantSplit/>
          <w:trHeight w:val="765"/>
          <w:jc w:val="center"/>
        </w:trPr>
        <w:tc>
          <w:tcPr>
            <w:tcW w:w="4112" w:type="dxa"/>
            <w:shd w:val="clear" w:color="auto" w:fill="auto"/>
            <w:vAlign w:val="center"/>
            <w:hideMark/>
          </w:tcPr>
          <w:p w14:paraId="61A55264" w14:textId="397E0AB9" w:rsidR="00683AA8" w:rsidRPr="00B65CBC" w:rsidRDefault="00F84D29" w:rsidP="00194019">
            <w:pPr>
              <w:rPr>
                <w:rFonts w:ascii="Arial" w:hAnsi="Arial" w:cs="Arial"/>
                <w:sz w:val="20"/>
                <w:szCs w:val="20"/>
                <w:lang w:val="fr-FR"/>
              </w:rPr>
            </w:pPr>
            <w:r w:rsidRPr="00B65CBC">
              <w:rPr>
                <w:rFonts w:ascii="Arial" w:hAnsi="Arial" w:cs="Arial"/>
                <w:sz w:val="20"/>
                <w:szCs w:val="20"/>
                <w:lang w:val="fr-FR"/>
              </w:rPr>
              <w:t xml:space="preserve">Pré-production </w:t>
            </w:r>
            <w:r w:rsidR="00194019" w:rsidRPr="00B65CBC">
              <w:rPr>
                <w:rFonts w:ascii="Arial" w:hAnsi="Arial" w:cs="Arial"/>
                <w:sz w:val="20"/>
                <w:szCs w:val="20"/>
                <w:lang w:val="fr-FR"/>
              </w:rPr>
              <w:t xml:space="preserve">des éditions </w:t>
            </w:r>
            <w:r w:rsidR="00683AA8" w:rsidRPr="00B65CBC">
              <w:rPr>
                <w:rFonts w:ascii="Arial" w:hAnsi="Arial" w:cs="Arial"/>
                <w:sz w:val="20"/>
                <w:szCs w:val="20"/>
                <w:lang w:val="fr-FR"/>
              </w:rPr>
              <w:t xml:space="preserve">2012 </w:t>
            </w:r>
            <w:r w:rsidRPr="00B65CBC">
              <w:rPr>
                <w:rFonts w:ascii="Arial" w:hAnsi="Arial" w:cs="Arial"/>
                <w:sz w:val="20"/>
                <w:szCs w:val="20"/>
                <w:lang w:val="fr-FR"/>
              </w:rPr>
              <w:t>et 2014</w:t>
            </w:r>
          </w:p>
        </w:tc>
        <w:tc>
          <w:tcPr>
            <w:tcW w:w="3878" w:type="dxa"/>
            <w:shd w:val="clear" w:color="auto" w:fill="auto"/>
            <w:vAlign w:val="center"/>
            <w:hideMark/>
          </w:tcPr>
          <w:p w14:paraId="1E56A364" w14:textId="559D577B" w:rsidR="00683AA8" w:rsidRPr="00B65CBC" w:rsidRDefault="00F84D29" w:rsidP="00AF2EF9">
            <w:pPr>
              <w:rPr>
                <w:rFonts w:ascii="Arial" w:hAnsi="Arial" w:cs="Arial"/>
                <w:sz w:val="20"/>
                <w:szCs w:val="20"/>
                <w:lang w:val="fr-FR"/>
              </w:rPr>
            </w:pPr>
            <w:r w:rsidRPr="00B65CBC">
              <w:rPr>
                <w:rFonts w:ascii="Arial" w:hAnsi="Arial" w:cs="Arial"/>
                <w:sz w:val="20"/>
                <w:szCs w:val="20"/>
                <w:lang w:val="fr-FR"/>
              </w:rPr>
              <w:t xml:space="preserve">Services professionnels pour la </w:t>
            </w:r>
            <w:r w:rsidR="00AF2EF9" w:rsidRPr="00B65CBC">
              <w:rPr>
                <w:rFonts w:ascii="Arial" w:hAnsi="Arial" w:cs="Arial"/>
                <w:sz w:val="20"/>
                <w:szCs w:val="20"/>
                <w:lang w:val="fr-FR"/>
              </w:rPr>
              <w:t>traduction</w:t>
            </w:r>
            <w:r w:rsidR="00683AA8" w:rsidRPr="00B65CBC">
              <w:rPr>
                <w:rFonts w:ascii="Arial" w:hAnsi="Arial" w:cs="Arial"/>
                <w:sz w:val="20"/>
                <w:szCs w:val="20"/>
                <w:lang w:val="fr-FR"/>
              </w:rPr>
              <w:t xml:space="preserve">, </w:t>
            </w:r>
            <w:r w:rsidRPr="00B65CBC">
              <w:rPr>
                <w:rFonts w:ascii="Arial" w:hAnsi="Arial" w:cs="Arial"/>
                <w:sz w:val="20"/>
                <w:szCs w:val="20"/>
                <w:lang w:val="fr-FR"/>
              </w:rPr>
              <w:t>la préparation de copies, la conception graphique, la mise en page et la correction d</w:t>
            </w:r>
            <w:r w:rsidR="00DA4D2A" w:rsidRPr="00B65CBC">
              <w:rPr>
                <w:rFonts w:ascii="Arial" w:hAnsi="Arial" w:cs="Arial"/>
                <w:sz w:val="20"/>
                <w:szCs w:val="20"/>
                <w:lang w:val="fr-FR"/>
              </w:rPr>
              <w:t>’</w:t>
            </w:r>
            <w:r w:rsidRPr="00B65CBC">
              <w:rPr>
                <w:rFonts w:ascii="Arial" w:hAnsi="Arial" w:cs="Arial"/>
                <w:sz w:val="20"/>
                <w:szCs w:val="20"/>
                <w:lang w:val="fr-FR"/>
              </w:rPr>
              <w:t>épreuves</w:t>
            </w:r>
          </w:p>
        </w:tc>
        <w:tc>
          <w:tcPr>
            <w:tcW w:w="2042" w:type="dxa"/>
            <w:shd w:val="clear" w:color="auto" w:fill="auto"/>
            <w:vAlign w:val="center"/>
            <w:hideMark/>
          </w:tcPr>
          <w:p w14:paraId="7CC6FDBB" w14:textId="336E319A" w:rsidR="00683AA8" w:rsidRPr="00B65CBC" w:rsidRDefault="00683AA8" w:rsidP="00F84D29">
            <w:pPr>
              <w:jc w:val="right"/>
              <w:rPr>
                <w:rFonts w:ascii="Arial" w:hAnsi="Arial" w:cs="Arial"/>
                <w:sz w:val="20"/>
                <w:szCs w:val="20"/>
                <w:lang w:val="fr-FR"/>
              </w:rPr>
            </w:pPr>
            <w:r w:rsidRPr="00B65CBC">
              <w:rPr>
                <w:rFonts w:ascii="Arial" w:hAnsi="Arial" w:cs="Arial"/>
                <w:sz w:val="20"/>
                <w:szCs w:val="20"/>
                <w:lang w:val="fr-FR"/>
              </w:rPr>
              <w:t>20</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F84D29" w:rsidRPr="00B65CBC">
              <w:rPr>
                <w:rFonts w:ascii="Arial" w:hAnsi="Arial" w:cs="Arial"/>
                <w:sz w:val="20"/>
                <w:szCs w:val="20"/>
                <w:lang w:val="fr-FR"/>
              </w:rPr>
              <w:t>$</w:t>
            </w:r>
          </w:p>
        </w:tc>
        <w:tc>
          <w:tcPr>
            <w:tcW w:w="1705" w:type="dxa"/>
            <w:shd w:val="clear" w:color="auto" w:fill="auto"/>
            <w:vAlign w:val="center"/>
            <w:hideMark/>
          </w:tcPr>
          <w:p w14:paraId="7F628BBE" w14:textId="2571A4FB" w:rsidR="00683AA8" w:rsidRPr="00B65CBC" w:rsidRDefault="00683AA8" w:rsidP="00F84D29">
            <w:pPr>
              <w:jc w:val="right"/>
              <w:rPr>
                <w:rFonts w:ascii="Arial" w:hAnsi="Arial" w:cs="Arial"/>
                <w:iCs/>
                <w:sz w:val="20"/>
                <w:szCs w:val="20"/>
                <w:lang w:val="fr-FR"/>
              </w:rPr>
            </w:pPr>
            <w:r w:rsidRPr="00B65CBC">
              <w:rPr>
                <w:rFonts w:ascii="Arial" w:hAnsi="Arial" w:cs="Arial"/>
                <w:iCs/>
                <w:sz w:val="20"/>
                <w:szCs w:val="20"/>
                <w:lang w:val="fr-FR"/>
              </w:rPr>
              <w:t>41</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F84D29" w:rsidRPr="00B65CBC">
              <w:rPr>
                <w:rFonts w:ascii="Arial" w:hAnsi="Arial" w:cs="Arial"/>
                <w:iCs/>
                <w:sz w:val="20"/>
                <w:szCs w:val="20"/>
                <w:lang w:val="fr-FR"/>
              </w:rPr>
              <w:t>$</w:t>
            </w:r>
          </w:p>
        </w:tc>
      </w:tr>
      <w:tr w:rsidR="00683AA8" w:rsidRPr="00B65CBC" w14:paraId="5CB1627C" w14:textId="77777777" w:rsidTr="009F6EEB">
        <w:trPr>
          <w:cantSplit/>
          <w:trHeight w:val="1020"/>
          <w:jc w:val="center"/>
        </w:trPr>
        <w:tc>
          <w:tcPr>
            <w:tcW w:w="4112" w:type="dxa"/>
            <w:shd w:val="clear" w:color="auto" w:fill="auto"/>
            <w:vAlign w:val="center"/>
            <w:hideMark/>
          </w:tcPr>
          <w:p w14:paraId="19854D21" w14:textId="44AA6694" w:rsidR="00683AA8" w:rsidRPr="00B65CBC" w:rsidRDefault="00F84D29" w:rsidP="0051717D">
            <w:pPr>
              <w:rPr>
                <w:rFonts w:ascii="Arial" w:hAnsi="Arial" w:cs="Arial"/>
                <w:sz w:val="20"/>
                <w:szCs w:val="20"/>
                <w:lang w:val="fr-FR"/>
              </w:rPr>
            </w:pPr>
            <w:r w:rsidRPr="00B65CBC">
              <w:rPr>
                <w:rFonts w:ascii="Arial" w:hAnsi="Arial" w:cs="Arial"/>
                <w:sz w:val="20"/>
                <w:szCs w:val="20"/>
                <w:lang w:val="fr-FR"/>
              </w:rPr>
              <w:t>Impression de l</w:t>
            </w:r>
            <w:r w:rsidR="00DA4D2A" w:rsidRPr="00B65CBC">
              <w:rPr>
                <w:rFonts w:ascii="Arial" w:hAnsi="Arial" w:cs="Arial"/>
                <w:sz w:val="20"/>
                <w:szCs w:val="20"/>
                <w:lang w:val="fr-FR"/>
              </w:rPr>
              <w:t>’</w:t>
            </w:r>
            <w:r w:rsidRPr="00B65CBC">
              <w:rPr>
                <w:rFonts w:ascii="Arial" w:hAnsi="Arial" w:cs="Arial"/>
                <w:sz w:val="20"/>
                <w:szCs w:val="20"/>
                <w:lang w:val="fr-FR"/>
              </w:rPr>
              <w:t>édition 2012</w:t>
            </w:r>
          </w:p>
        </w:tc>
        <w:tc>
          <w:tcPr>
            <w:tcW w:w="3878" w:type="dxa"/>
            <w:shd w:val="clear" w:color="auto" w:fill="auto"/>
            <w:vAlign w:val="center"/>
            <w:hideMark/>
          </w:tcPr>
          <w:p w14:paraId="29ECB193" w14:textId="78ACA7BF" w:rsidR="00683AA8" w:rsidRPr="00B65CBC" w:rsidRDefault="00F84D29" w:rsidP="0049703C">
            <w:pPr>
              <w:rPr>
                <w:rFonts w:ascii="Arial" w:hAnsi="Arial" w:cs="Arial"/>
                <w:sz w:val="20"/>
                <w:szCs w:val="20"/>
                <w:lang w:val="fr-FR"/>
              </w:rPr>
            </w:pPr>
            <w:r w:rsidRPr="00B65CBC">
              <w:rPr>
                <w:rFonts w:ascii="Arial" w:hAnsi="Arial" w:cs="Arial"/>
                <w:sz w:val="20"/>
                <w:szCs w:val="20"/>
                <w:lang w:val="fr-FR"/>
              </w:rPr>
              <w:t>Coûts d</w:t>
            </w:r>
            <w:r w:rsidR="00DA4D2A" w:rsidRPr="00B65CBC">
              <w:rPr>
                <w:rFonts w:ascii="Arial" w:hAnsi="Arial" w:cs="Arial"/>
                <w:sz w:val="20"/>
                <w:szCs w:val="20"/>
                <w:lang w:val="fr-FR"/>
              </w:rPr>
              <w:t>’</w:t>
            </w:r>
            <w:r w:rsidRPr="00B65CBC">
              <w:rPr>
                <w:rFonts w:ascii="Arial" w:hAnsi="Arial" w:cs="Arial"/>
                <w:sz w:val="20"/>
                <w:szCs w:val="20"/>
                <w:lang w:val="fr-FR"/>
              </w:rPr>
              <w:t>impression de</w:t>
            </w:r>
            <w:r w:rsidR="00683AA8" w:rsidRPr="00B65CBC">
              <w:rPr>
                <w:rFonts w:ascii="Arial" w:hAnsi="Arial" w:cs="Arial"/>
                <w:sz w:val="20"/>
                <w:szCs w:val="20"/>
                <w:lang w:val="fr-FR"/>
              </w:rPr>
              <w:t xml:space="preserve"> 16</w:t>
            </w:r>
            <w:r w:rsidRPr="00B65CBC">
              <w:rPr>
                <w:rFonts w:ascii="Arial" w:hAnsi="Arial" w:cs="Arial"/>
                <w:sz w:val="20"/>
                <w:szCs w:val="20"/>
                <w:lang w:val="fr-FR"/>
              </w:rPr>
              <w:t> </w:t>
            </w:r>
            <w:r w:rsidR="00683AA8" w:rsidRPr="00B65CBC">
              <w:rPr>
                <w:rFonts w:ascii="Arial" w:hAnsi="Arial" w:cs="Arial"/>
                <w:sz w:val="20"/>
                <w:szCs w:val="20"/>
                <w:lang w:val="fr-FR"/>
              </w:rPr>
              <w:t>700 copies (</w:t>
            </w:r>
            <w:r w:rsidRPr="00B65CBC">
              <w:rPr>
                <w:rFonts w:ascii="Arial" w:hAnsi="Arial" w:cs="Arial"/>
                <w:sz w:val="20"/>
                <w:szCs w:val="20"/>
                <w:lang w:val="fr-FR"/>
              </w:rPr>
              <w:t>7 000 en anglais, 1 </w:t>
            </w:r>
            <w:r w:rsidR="00683AA8" w:rsidRPr="00B65CBC">
              <w:rPr>
                <w:rFonts w:ascii="Arial" w:hAnsi="Arial" w:cs="Arial"/>
                <w:sz w:val="20"/>
                <w:szCs w:val="20"/>
                <w:lang w:val="fr-FR"/>
              </w:rPr>
              <w:t xml:space="preserve">000 </w:t>
            </w:r>
            <w:r w:rsidRPr="00B65CBC">
              <w:rPr>
                <w:rFonts w:ascii="Arial" w:hAnsi="Arial" w:cs="Arial"/>
                <w:sz w:val="20"/>
                <w:szCs w:val="20"/>
                <w:lang w:val="fr-FR"/>
              </w:rPr>
              <w:t>en</w:t>
            </w:r>
            <w:r w:rsidR="00683AA8" w:rsidRPr="00B65CBC">
              <w:rPr>
                <w:rFonts w:ascii="Arial" w:hAnsi="Arial" w:cs="Arial"/>
                <w:sz w:val="20"/>
                <w:szCs w:val="20"/>
                <w:lang w:val="fr-FR"/>
              </w:rPr>
              <w:t xml:space="preserve"> </w:t>
            </w:r>
            <w:r w:rsidRPr="00B65CBC">
              <w:rPr>
                <w:rFonts w:ascii="Arial" w:hAnsi="Arial" w:cs="Arial"/>
                <w:sz w:val="20"/>
                <w:szCs w:val="20"/>
                <w:lang w:val="fr-FR"/>
              </w:rPr>
              <w:t>a</w:t>
            </w:r>
            <w:r w:rsidR="00683AA8" w:rsidRPr="00B65CBC">
              <w:rPr>
                <w:rFonts w:ascii="Arial" w:hAnsi="Arial" w:cs="Arial"/>
                <w:sz w:val="20"/>
                <w:szCs w:val="20"/>
                <w:lang w:val="fr-FR"/>
              </w:rPr>
              <w:t>rab</w:t>
            </w:r>
            <w:r w:rsidRPr="00B65CBC">
              <w:rPr>
                <w:rFonts w:ascii="Arial" w:hAnsi="Arial" w:cs="Arial"/>
                <w:sz w:val="20"/>
                <w:szCs w:val="20"/>
                <w:lang w:val="fr-FR"/>
              </w:rPr>
              <w:t>e</w:t>
            </w:r>
            <w:r w:rsidR="00683AA8" w:rsidRPr="00B65CBC">
              <w:rPr>
                <w:rFonts w:ascii="Arial" w:hAnsi="Arial" w:cs="Arial"/>
                <w:sz w:val="20"/>
                <w:szCs w:val="20"/>
                <w:lang w:val="fr-FR"/>
              </w:rPr>
              <w:t xml:space="preserve">, 700 </w:t>
            </w:r>
            <w:r w:rsidRPr="00B65CBC">
              <w:rPr>
                <w:rFonts w:ascii="Arial" w:hAnsi="Arial" w:cs="Arial"/>
                <w:sz w:val="20"/>
                <w:szCs w:val="20"/>
                <w:lang w:val="fr-FR"/>
              </w:rPr>
              <w:t>en</w:t>
            </w:r>
            <w:r w:rsidR="00683AA8" w:rsidRPr="00B65CBC">
              <w:rPr>
                <w:rFonts w:ascii="Arial" w:hAnsi="Arial" w:cs="Arial"/>
                <w:sz w:val="20"/>
                <w:szCs w:val="20"/>
                <w:lang w:val="fr-FR"/>
              </w:rPr>
              <w:t xml:space="preserve"> </w:t>
            </w:r>
            <w:r w:rsidRPr="00B65CBC">
              <w:rPr>
                <w:rFonts w:ascii="Arial" w:hAnsi="Arial" w:cs="Arial"/>
                <w:sz w:val="20"/>
                <w:szCs w:val="20"/>
                <w:lang w:val="fr-FR"/>
              </w:rPr>
              <w:t>chinois</w:t>
            </w:r>
            <w:r w:rsidR="00683AA8" w:rsidRPr="00B65CBC">
              <w:rPr>
                <w:rFonts w:ascii="Arial" w:hAnsi="Arial" w:cs="Arial"/>
                <w:sz w:val="20"/>
                <w:szCs w:val="20"/>
                <w:lang w:val="fr-FR"/>
              </w:rPr>
              <w:t xml:space="preserve">, </w:t>
            </w:r>
            <w:r w:rsidR="0049703C" w:rsidRPr="00B65CBC">
              <w:rPr>
                <w:rFonts w:ascii="Arial" w:hAnsi="Arial" w:cs="Arial"/>
                <w:sz w:val="20"/>
                <w:szCs w:val="20"/>
                <w:lang w:val="fr-FR"/>
              </w:rPr>
              <w:t xml:space="preserve">2 000 en espagnol, </w:t>
            </w:r>
            <w:r w:rsidRPr="00B65CBC">
              <w:rPr>
                <w:rFonts w:ascii="Arial" w:hAnsi="Arial" w:cs="Arial"/>
                <w:sz w:val="20"/>
                <w:szCs w:val="20"/>
                <w:lang w:val="fr-FR"/>
              </w:rPr>
              <w:t>5 </w:t>
            </w:r>
            <w:r w:rsidR="00683AA8" w:rsidRPr="00B65CBC">
              <w:rPr>
                <w:rFonts w:ascii="Arial" w:hAnsi="Arial" w:cs="Arial"/>
                <w:sz w:val="20"/>
                <w:szCs w:val="20"/>
                <w:lang w:val="fr-FR"/>
              </w:rPr>
              <w:t xml:space="preserve">000 </w:t>
            </w:r>
            <w:r w:rsidR="0049703C" w:rsidRPr="00B65CBC">
              <w:rPr>
                <w:rFonts w:ascii="Arial" w:hAnsi="Arial" w:cs="Arial"/>
                <w:sz w:val="20"/>
                <w:szCs w:val="20"/>
                <w:lang w:val="fr-FR"/>
              </w:rPr>
              <w:t>e</w:t>
            </w:r>
            <w:r w:rsidR="00683AA8" w:rsidRPr="00B65CBC">
              <w:rPr>
                <w:rFonts w:ascii="Arial" w:hAnsi="Arial" w:cs="Arial"/>
                <w:sz w:val="20"/>
                <w:szCs w:val="20"/>
                <w:lang w:val="fr-FR"/>
              </w:rPr>
              <w:t xml:space="preserve">n </w:t>
            </w:r>
            <w:r w:rsidRPr="00B65CBC">
              <w:rPr>
                <w:rFonts w:ascii="Arial" w:hAnsi="Arial" w:cs="Arial"/>
                <w:sz w:val="20"/>
                <w:szCs w:val="20"/>
                <w:lang w:val="fr-FR"/>
              </w:rPr>
              <w:t>français</w:t>
            </w:r>
            <w:r w:rsidR="0049703C" w:rsidRPr="00B65CBC">
              <w:rPr>
                <w:rFonts w:ascii="Arial" w:hAnsi="Arial" w:cs="Arial"/>
                <w:sz w:val="20"/>
                <w:szCs w:val="20"/>
                <w:lang w:val="fr-FR"/>
              </w:rPr>
              <w:t xml:space="preserve"> et</w:t>
            </w:r>
            <w:r w:rsidR="00683AA8" w:rsidRPr="00B65CBC">
              <w:rPr>
                <w:rFonts w:ascii="Arial" w:hAnsi="Arial" w:cs="Arial"/>
                <w:sz w:val="20"/>
                <w:szCs w:val="20"/>
                <w:lang w:val="fr-FR"/>
              </w:rPr>
              <w:t xml:space="preserve"> 1</w:t>
            </w:r>
            <w:r w:rsidRPr="00B65CBC">
              <w:rPr>
                <w:rFonts w:ascii="Arial" w:hAnsi="Arial" w:cs="Arial"/>
                <w:sz w:val="20"/>
                <w:szCs w:val="20"/>
                <w:lang w:val="fr-FR"/>
              </w:rPr>
              <w:t> </w:t>
            </w:r>
            <w:r w:rsidR="00683AA8" w:rsidRPr="00B65CBC">
              <w:rPr>
                <w:rFonts w:ascii="Arial" w:hAnsi="Arial" w:cs="Arial"/>
                <w:sz w:val="20"/>
                <w:szCs w:val="20"/>
                <w:lang w:val="fr-FR"/>
              </w:rPr>
              <w:t xml:space="preserve">000 </w:t>
            </w:r>
            <w:r w:rsidRPr="00B65CBC">
              <w:rPr>
                <w:rFonts w:ascii="Arial" w:hAnsi="Arial" w:cs="Arial"/>
                <w:sz w:val="20"/>
                <w:szCs w:val="20"/>
                <w:lang w:val="fr-FR"/>
              </w:rPr>
              <w:t>en</w:t>
            </w:r>
            <w:r w:rsidR="00683AA8" w:rsidRPr="00B65CBC">
              <w:rPr>
                <w:rFonts w:ascii="Arial" w:hAnsi="Arial" w:cs="Arial"/>
                <w:sz w:val="20"/>
                <w:szCs w:val="20"/>
                <w:lang w:val="fr-FR"/>
              </w:rPr>
              <w:t xml:space="preserve"> </w:t>
            </w:r>
            <w:r w:rsidR="0049703C" w:rsidRPr="00B65CBC">
              <w:rPr>
                <w:rFonts w:ascii="Arial" w:hAnsi="Arial" w:cs="Arial"/>
                <w:sz w:val="20"/>
                <w:szCs w:val="20"/>
                <w:lang w:val="fr-FR"/>
              </w:rPr>
              <w:t>r</w:t>
            </w:r>
            <w:r w:rsidRPr="00B65CBC">
              <w:rPr>
                <w:rFonts w:ascii="Arial" w:hAnsi="Arial" w:cs="Arial"/>
                <w:sz w:val="20"/>
                <w:szCs w:val="20"/>
                <w:lang w:val="fr-FR"/>
              </w:rPr>
              <w:t>usse</w:t>
            </w:r>
            <w:r w:rsidR="0049703C" w:rsidRPr="00B65CBC">
              <w:rPr>
                <w:rFonts w:ascii="Arial" w:hAnsi="Arial" w:cs="Arial"/>
                <w:sz w:val="20"/>
                <w:szCs w:val="20"/>
                <w:lang w:val="fr-FR"/>
              </w:rPr>
              <w:t>).</w:t>
            </w:r>
          </w:p>
        </w:tc>
        <w:tc>
          <w:tcPr>
            <w:tcW w:w="2042" w:type="dxa"/>
            <w:shd w:val="clear" w:color="auto" w:fill="auto"/>
            <w:vAlign w:val="center"/>
            <w:hideMark/>
          </w:tcPr>
          <w:p w14:paraId="786522ED" w14:textId="13D30854" w:rsidR="00683AA8" w:rsidRPr="00B65CBC" w:rsidRDefault="00683AA8" w:rsidP="0049703C">
            <w:pPr>
              <w:jc w:val="right"/>
              <w:rPr>
                <w:rFonts w:ascii="Arial" w:hAnsi="Arial" w:cs="Arial"/>
                <w:sz w:val="20"/>
                <w:szCs w:val="20"/>
                <w:lang w:val="fr-FR"/>
              </w:rPr>
            </w:pPr>
            <w:r w:rsidRPr="00B65CBC">
              <w:rPr>
                <w:rFonts w:ascii="Arial" w:hAnsi="Arial" w:cs="Arial"/>
                <w:sz w:val="20"/>
                <w:szCs w:val="20"/>
                <w:lang w:val="fr-FR"/>
              </w:rPr>
              <w:t>70</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BA00D1" w:rsidRPr="00B65CBC">
              <w:rPr>
                <w:rFonts w:ascii="Arial" w:hAnsi="Arial" w:cs="Arial"/>
                <w:sz w:val="20"/>
                <w:szCs w:val="20"/>
                <w:lang w:val="fr-FR"/>
              </w:rPr>
              <w:t>$</w:t>
            </w:r>
          </w:p>
        </w:tc>
        <w:tc>
          <w:tcPr>
            <w:tcW w:w="1705" w:type="dxa"/>
            <w:shd w:val="clear" w:color="auto" w:fill="auto"/>
            <w:vAlign w:val="center"/>
            <w:hideMark/>
          </w:tcPr>
          <w:p w14:paraId="4F612410" w14:textId="21F33B82" w:rsidR="00683AA8" w:rsidRPr="00B65CBC" w:rsidRDefault="00683AA8" w:rsidP="0049703C">
            <w:pPr>
              <w:jc w:val="right"/>
              <w:rPr>
                <w:rFonts w:ascii="Arial" w:hAnsi="Arial" w:cs="Arial"/>
                <w:iCs/>
                <w:sz w:val="20"/>
                <w:szCs w:val="20"/>
                <w:lang w:val="fr-FR"/>
              </w:rPr>
            </w:pPr>
            <w:r w:rsidRPr="00B65CBC">
              <w:rPr>
                <w:rFonts w:ascii="Arial" w:hAnsi="Arial" w:cs="Arial"/>
                <w:iCs/>
                <w:sz w:val="20"/>
                <w:szCs w:val="20"/>
                <w:lang w:val="fr-FR"/>
              </w:rPr>
              <w:t>22</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BA00D1" w:rsidRPr="00B65CBC">
              <w:rPr>
                <w:rFonts w:ascii="Arial" w:hAnsi="Arial" w:cs="Arial"/>
                <w:iCs/>
                <w:sz w:val="20"/>
                <w:szCs w:val="20"/>
                <w:lang w:val="fr-FR"/>
              </w:rPr>
              <w:t>$</w:t>
            </w:r>
          </w:p>
        </w:tc>
      </w:tr>
      <w:tr w:rsidR="00683AA8" w:rsidRPr="00B65CBC" w14:paraId="65786CEB" w14:textId="77777777" w:rsidTr="009F6EEB">
        <w:trPr>
          <w:cantSplit/>
          <w:trHeight w:val="810"/>
          <w:jc w:val="center"/>
        </w:trPr>
        <w:tc>
          <w:tcPr>
            <w:tcW w:w="7990" w:type="dxa"/>
            <w:gridSpan w:val="2"/>
            <w:shd w:val="clear" w:color="auto" w:fill="auto"/>
            <w:vAlign w:val="center"/>
            <w:hideMark/>
          </w:tcPr>
          <w:p w14:paraId="1C1C25BC" w14:textId="065E32CF" w:rsidR="00683AA8" w:rsidRPr="00B65CBC" w:rsidRDefault="00683AA8" w:rsidP="0051717D">
            <w:pPr>
              <w:keepNext/>
              <w:rPr>
                <w:rFonts w:ascii="Arial" w:hAnsi="Arial" w:cs="Arial"/>
                <w:b/>
                <w:bCs/>
                <w:sz w:val="20"/>
                <w:szCs w:val="20"/>
                <w:lang w:val="fr-FR"/>
              </w:rPr>
            </w:pPr>
            <w:r w:rsidRPr="00B65CBC">
              <w:rPr>
                <w:rFonts w:ascii="Arial" w:hAnsi="Arial" w:cs="Arial"/>
                <w:b/>
                <w:bCs/>
                <w:sz w:val="20"/>
                <w:szCs w:val="20"/>
                <w:lang w:val="fr-FR"/>
              </w:rPr>
              <w:t xml:space="preserve">C.2 </w:t>
            </w:r>
            <w:r w:rsidR="00F2380A" w:rsidRPr="00B65CBC">
              <w:rPr>
                <w:rStyle w:val="normal0020tablechar"/>
                <w:rFonts w:ascii="Arial" w:hAnsi="Arial" w:cs="Arial"/>
                <w:b/>
                <w:bCs/>
                <w:sz w:val="20"/>
                <w:szCs w:val="20"/>
                <w:lang w:val="fr-FR"/>
              </w:rPr>
              <w:t>Publication de dépliants sur les listes de sauvegarde urgente et représentative et le Registre des meilleures pratiques de sauvegarde (anglais et français)</w:t>
            </w:r>
          </w:p>
        </w:tc>
        <w:tc>
          <w:tcPr>
            <w:tcW w:w="2042" w:type="dxa"/>
            <w:shd w:val="clear" w:color="auto" w:fill="auto"/>
            <w:vAlign w:val="center"/>
            <w:hideMark/>
          </w:tcPr>
          <w:p w14:paraId="7EE06C58" w14:textId="0B3EBE86" w:rsidR="00683AA8" w:rsidRPr="00B65CBC" w:rsidRDefault="00683AA8" w:rsidP="00BA00D1">
            <w:pPr>
              <w:keepNext/>
              <w:jc w:val="right"/>
              <w:rPr>
                <w:rFonts w:ascii="Arial" w:hAnsi="Arial" w:cs="Arial"/>
                <w:sz w:val="20"/>
                <w:szCs w:val="20"/>
                <w:lang w:val="fr-FR"/>
              </w:rPr>
            </w:pPr>
            <w:r w:rsidRPr="00B65CBC">
              <w:rPr>
                <w:rFonts w:ascii="Arial" w:hAnsi="Arial" w:cs="Arial"/>
                <w:b/>
                <w:bCs/>
                <w:sz w:val="20"/>
                <w:szCs w:val="20"/>
                <w:lang w:val="fr-FR"/>
              </w:rPr>
              <w:t>47</w:t>
            </w:r>
            <w:r w:rsidR="00194019" w:rsidRPr="00B65CBC">
              <w:rPr>
                <w:rFonts w:ascii="Arial" w:hAnsi="Arial" w:cs="Arial"/>
                <w:b/>
                <w:bCs/>
                <w:sz w:val="20"/>
                <w:szCs w:val="20"/>
                <w:lang w:val="fr-FR"/>
              </w:rPr>
              <w:t> </w:t>
            </w:r>
            <w:r w:rsidRPr="00B65CBC">
              <w:rPr>
                <w:rFonts w:ascii="Arial" w:hAnsi="Arial" w:cs="Arial"/>
                <w:b/>
                <w:bCs/>
                <w:sz w:val="20"/>
                <w:szCs w:val="20"/>
                <w:lang w:val="fr-FR"/>
              </w:rPr>
              <w:t>000</w:t>
            </w:r>
            <w:r w:rsidR="00194019" w:rsidRPr="00B65CBC">
              <w:rPr>
                <w:rFonts w:ascii="Arial" w:hAnsi="Arial" w:cs="Arial"/>
                <w:b/>
                <w:bCs/>
                <w:sz w:val="20"/>
                <w:szCs w:val="20"/>
                <w:lang w:val="fr-FR"/>
              </w:rPr>
              <w:t> </w:t>
            </w:r>
            <w:r w:rsidR="00BA00D1" w:rsidRPr="00B65CBC">
              <w:rPr>
                <w:rFonts w:ascii="Arial" w:hAnsi="Arial" w:cs="Arial"/>
                <w:b/>
                <w:bCs/>
                <w:sz w:val="20"/>
                <w:szCs w:val="20"/>
                <w:lang w:val="fr-FR"/>
              </w:rPr>
              <w:t>$</w:t>
            </w:r>
          </w:p>
        </w:tc>
        <w:tc>
          <w:tcPr>
            <w:tcW w:w="1705" w:type="dxa"/>
            <w:shd w:val="clear" w:color="auto" w:fill="auto"/>
            <w:vAlign w:val="center"/>
            <w:hideMark/>
          </w:tcPr>
          <w:p w14:paraId="289489D5" w14:textId="011FDB6C" w:rsidR="00683AA8" w:rsidRPr="00B65CBC" w:rsidRDefault="00683AA8" w:rsidP="00BA00D1">
            <w:pPr>
              <w:keepNext/>
              <w:jc w:val="right"/>
              <w:rPr>
                <w:rFonts w:ascii="Calibri" w:hAnsi="Calibri"/>
                <w:sz w:val="20"/>
                <w:szCs w:val="20"/>
                <w:lang w:val="fr-FR"/>
              </w:rPr>
            </w:pPr>
            <w:r w:rsidRPr="00B65CBC">
              <w:rPr>
                <w:rFonts w:ascii="Arial" w:hAnsi="Arial" w:cs="Arial"/>
                <w:b/>
                <w:bCs/>
                <w:iCs/>
                <w:sz w:val="20"/>
                <w:szCs w:val="20"/>
                <w:lang w:val="fr-FR"/>
              </w:rPr>
              <w:t>39</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r w:rsidR="00BA00D1" w:rsidRPr="00B65CBC">
              <w:rPr>
                <w:rFonts w:ascii="Arial" w:hAnsi="Arial" w:cs="Arial"/>
                <w:b/>
                <w:bCs/>
                <w:iCs/>
                <w:sz w:val="20"/>
                <w:szCs w:val="20"/>
                <w:lang w:val="fr-FR"/>
              </w:rPr>
              <w:t>$</w:t>
            </w:r>
          </w:p>
        </w:tc>
      </w:tr>
      <w:tr w:rsidR="00683AA8" w:rsidRPr="00B65CBC" w14:paraId="50B4761B" w14:textId="77777777" w:rsidTr="009F6EEB">
        <w:trPr>
          <w:cantSplit/>
          <w:trHeight w:val="510"/>
          <w:jc w:val="center"/>
        </w:trPr>
        <w:tc>
          <w:tcPr>
            <w:tcW w:w="4112" w:type="dxa"/>
            <w:shd w:val="clear" w:color="auto" w:fill="auto"/>
            <w:vAlign w:val="center"/>
            <w:hideMark/>
          </w:tcPr>
          <w:p w14:paraId="57F76A95" w14:textId="511E5427" w:rsidR="00683AA8" w:rsidRPr="00B65CBC" w:rsidRDefault="006416FC" w:rsidP="006416FC">
            <w:pPr>
              <w:rPr>
                <w:rFonts w:ascii="Arial" w:hAnsi="Arial" w:cs="Arial"/>
                <w:sz w:val="20"/>
                <w:szCs w:val="20"/>
                <w:lang w:val="fr-FR"/>
              </w:rPr>
            </w:pPr>
            <w:r w:rsidRPr="00B65CBC">
              <w:rPr>
                <w:rFonts w:ascii="Arial" w:hAnsi="Arial" w:cs="Arial"/>
                <w:sz w:val="20"/>
                <w:szCs w:val="20"/>
                <w:lang w:val="fr-FR"/>
              </w:rPr>
              <w:t>Impression des dépliants 2011</w:t>
            </w:r>
          </w:p>
        </w:tc>
        <w:tc>
          <w:tcPr>
            <w:tcW w:w="3878" w:type="dxa"/>
            <w:shd w:val="clear" w:color="auto" w:fill="auto"/>
            <w:vAlign w:val="center"/>
            <w:hideMark/>
          </w:tcPr>
          <w:p w14:paraId="49C0AF98" w14:textId="7800E5CD" w:rsidR="00683AA8" w:rsidRPr="00B65CBC" w:rsidRDefault="002D5891" w:rsidP="002D5891">
            <w:pPr>
              <w:rPr>
                <w:rFonts w:ascii="Arial" w:hAnsi="Arial" w:cs="Arial"/>
                <w:sz w:val="20"/>
                <w:szCs w:val="20"/>
                <w:lang w:val="fr-FR"/>
              </w:rPr>
            </w:pPr>
            <w:r w:rsidRPr="00B65CBC">
              <w:rPr>
                <w:rFonts w:ascii="Arial" w:hAnsi="Arial" w:cs="Arial"/>
                <w:sz w:val="20"/>
                <w:szCs w:val="20"/>
                <w:lang w:val="fr-FR"/>
              </w:rPr>
              <w:t>Coûts d</w:t>
            </w:r>
            <w:r w:rsidR="00DA4D2A" w:rsidRPr="00B65CBC">
              <w:rPr>
                <w:rFonts w:ascii="Arial" w:hAnsi="Arial" w:cs="Arial"/>
                <w:sz w:val="20"/>
                <w:szCs w:val="20"/>
                <w:lang w:val="fr-FR"/>
              </w:rPr>
              <w:t>’</w:t>
            </w:r>
            <w:r w:rsidRPr="00B65CBC">
              <w:rPr>
                <w:rFonts w:ascii="Arial" w:hAnsi="Arial" w:cs="Arial"/>
                <w:sz w:val="20"/>
                <w:szCs w:val="20"/>
                <w:lang w:val="fr-FR"/>
              </w:rPr>
              <w:t>impression de</w:t>
            </w:r>
            <w:r w:rsidR="00683AA8" w:rsidRPr="00B65CBC">
              <w:rPr>
                <w:rFonts w:ascii="Arial" w:hAnsi="Arial" w:cs="Arial"/>
                <w:sz w:val="20"/>
                <w:szCs w:val="20"/>
                <w:lang w:val="fr-FR"/>
              </w:rPr>
              <w:t xml:space="preserve"> 7</w:t>
            </w:r>
            <w:r w:rsidRPr="00B65CBC">
              <w:rPr>
                <w:rFonts w:ascii="Arial" w:hAnsi="Arial" w:cs="Arial"/>
                <w:sz w:val="20"/>
                <w:szCs w:val="20"/>
                <w:lang w:val="fr-FR"/>
              </w:rPr>
              <w:t> </w:t>
            </w:r>
            <w:r w:rsidR="00683AA8" w:rsidRPr="00B65CBC">
              <w:rPr>
                <w:rFonts w:ascii="Arial" w:hAnsi="Arial" w:cs="Arial"/>
                <w:sz w:val="20"/>
                <w:szCs w:val="20"/>
                <w:lang w:val="fr-FR"/>
              </w:rPr>
              <w:t xml:space="preserve">000 </w:t>
            </w:r>
            <w:r w:rsidRPr="00B65CBC">
              <w:rPr>
                <w:rFonts w:ascii="Arial" w:hAnsi="Arial" w:cs="Arial"/>
                <w:sz w:val="20"/>
                <w:szCs w:val="20"/>
                <w:lang w:val="fr-FR"/>
              </w:rPr>
              <w:t xml:space="preserve">copies supplémentaires </w:t>
            </w:r>
            <w:r w:rsidR="00683AA8" w:rsidRPr="00B65CBC">
              <w:rPr>
                <w:rFonts w:ascii="Arial" w:hAnsi="Arial" w:cs="Arial"/>
                <w:sz w:val="20"/>
                <w:szCs w:val="20"/>
                <w:lang w:val="fr-FR"/>
              </w:rPr>
              <w:t>(4</w:t>
            </w:r>
            <w:r w:rsidRPr="00B65CBC">
              <w:rPr>
                <w:rFonts w:ascii="Arial" w:hAnsi="Arial" w:cs="Arial"/>
                <w:sz w:val="20"/>
                <w:szCs w:val="20"/>
                <w:lang w:val="fr-FR"/>
              </w:rPr>
              <w:t> </w:t>
            </w:r>
            <w:r w:rsidR="00683AA8" w:rsidRPr="00B65CBC">
              <w:rPr>
                <w:rFonts w:ascii="Arial" w:hAnsi="Arial" w:cs="Arial"/>
                <w:sz w:val="20"/>
                <w:szCs w:val="20"/>
                <w:lang w:val="fr-FR"/>
              </w:rPr>
              <w:t xml:space="preserve">000 </w:t>
            </w:r>
            <w:r w:rsidRPr="00B65CBC">
              <w:rPr>
                <w:rFonts w:ascii="Arial" w:hAnsi="Arial" w:cs="Arial"/>
                <w:sz w:val="20"/>
                <w:szCs w:val="20"/>
                <w:lang w:val="fr-FR"/>
              </w:rPr>
              <w:t>e</w:t>
            </w:r>
            <w:r w:rsidR="00683AA8" w:rsidRPr="00B65CBC">
              <w:rPr>
                <w:rFonts w:ascii="Arial" w:hAnsi="Arial" w:cs="Arial"/>
                <w:sz w:val="20"/>
                <w:szCs w:val="20"/>
                <w:lang w:val="fr-FR"/>
              </w:rPr>
              <w:t xml:space="preserve">n </w:t>
            </w:r>
            <w:r w:rsidRPr="00B65CBC">
              <w:rPr>
                <w:rFonts w:ascii="Arial" w:hAnsi="Arial" w:cs="Arial"/>
                <w:sz w:val="20"/>
                <w:szCs w:val="20"/>
                <w:lang w:val="fr-FR"/>
              </w:rPr>
              <w:t>anglais</w:t>
            </w:r>
            <w:r w:rsidR="00683AA8" w:rsidRPr="00B65CBC">
              <w:rPr>
                <w:rFonts w:ascii="Arial" w:hAnsi="Arial" w:cs="Arial"/>
                <w:sz w:val="20"/>
                <w:szCs w:val="20"/>
                <w:lang w:val="fr-FR"/>
              </w:rPr>
              <w:t xml:space="preserve"> </w:t>
            </w:r>
            <w:r w:rsidRPr="00B65CBC">
              <w:rPr>
                <w:rFonts w:ascii="Arial" w:hAnsi="Arial" w:cs="Arial"/>
                <w:sz w:val="20"/>
                <w:szCs w:val="20"/>
                <w:lang w:val="fr-FR"/>
              </w:rPr>
              <w:t>et</w:t>
            </w:r>
            <w:r w:rsidR="00683AA8" w:rsidRPr="00B65CBC">
              <w:rPr>
                <w:rFonts w:ascii="Arial" w:hAnsi="Arial" w:cs="Arial"/>
                <w:sz w:val="20"/>
                <w:szCs w:val="20"/>
                <w:lang w:val="fr-FR"/>
              </w:rPr>
              <w:t xml:space="preserve"> 3</w:t>
            </w:r>
            <w:r w:rsidRPr="00B65CBC">
              <w:rPr>
                <w:rFonts w:ascii="Arial" w:hAnsi="Arial" w:cs="Arial"/>
                <w:sz w:val="20"/>
                <w:szCs w:val="20"/>
                <w:lang w:val="fr-FR"/>
              </w:rPr>
              <w:t> </w:t>
            </w:r>
            <w:r w:rsidR="00683AA8" w:rsidRPr="00B65CBC">
              <w:rPr>
                <w:rFonts w:ascii="Arial" w:hAnsi="Arial" w:cs="Arial"/>
                <w:sz w:val="20"/>
                <w:szCs w:val="20"/>
                <w:lang w:val="fr-FR"/>
              </w:rPr>
              <w:t xml:space="preserve">000 </w:t>
            </w:r>
            <w:r w:rsidRPr="00B65CBC">
              <w:rPr>
                <w:rFonts w:ascii="Arial" w:hAnsi="Arial" w:cs="Arial"/>
                <w:sz w:val="20"/>
                <w:szCs w:val="20"/>
                <w:lang w:val="fr-FR"/>
              </w:rPr>
              <w:t>e</w:t>
            </w:r>
            <w:r w:rsidR="00683AA8" w:rsidRPr="00B65CBC">
              <w:rPr>
                <w:rFonts w:ascii="Arial" w:hAnsi="Arial" w:cs="Arial"/>
                <w:sz w:val="20"/>
                <w:szCs w:val="20"/>
                <w:lang w:val="fr-FR"/>
              </w:rPr>
              <w:t xml:space="preserve">n </w:t>
            </w:r>
            <w:r w:rsidRPr="00B65CBC">
              <w:rPr>
                <w:rFonts w:ascii="Arial" w:hAnsi="Arial" w:cs="Arial"/>
                <w:sz w:val="20"/>
                <w:szCs w:val="20"/>
                <w:lang w:val="fr-FR"/>
              </w:rPr>
              <w:t>français</w:t>
            </w:r>
            <w:r w:rsidR="00683AA8" w:rsidRPr="00B65CBC">
              <w:rPr>
                <w:rFonts w:ascii="Arial" w:hAnsi="Arial" w:cs="Arial"/>
                <w:sz w:val="20"/>
                <w:szCs w:val="20"/>
                <w:lang w:val="fr-FR"/>
              </w:rPr>
              <w:t>)</w:t>
            </w:r>
          </w:p>
        </w:tc>
        <w:tc>
          <w:tcPr>
            <w:tcW w:w="2042" w:type="dxa"/>
            <w:shd w:val="clear" w:color="auto" w:fill="auto"/>
            <w:vAlign w:val="center"/>
            <w:hideMark/>
          </w:tcPr>
          <w:p w14:paraId="001D2F6B" w14:textId="3E316F50" w:rsidR="00683AA8" w:rsidRPr="00B65CBC" w:rsidRDefault="00683AA8" w:rsidP="00CA3DA1">
            <w:pPr>
              <w:jc w:val="right"/>
              <w:rPr>
                <w:rFonts w:ascii="Arial" w:hAnsi="Arial" w:cs="Arial"/>
                <w:sz w:val="20"/>
                <w:szCs w:val="20"/>
                <w:lang w:val="fr-FR"/>
              </w:rPr>
            </w:pPr>
            <w:r w:rsidRPr="00B65CBC">
              <w:rPr>
                <w:rFonts w:ascii="Arial" w:hAnsi="Arial" w:cs="Arial"/>
                <w:sz w:val="20"/>
                <w:szCs w:val="20"/>
                <w:lang w:val="fr-FR"/>
              </w:rPr>
              <w:t>23</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CA3DA1" w:rsidRPr="00B65CBC">
              <w:rPr>
                <w:rFonts w:ascii="Arial" w:hAnsi="Arial" w:cs="Arial"/>
                <w:sz w:val="20"/>
                <w:szCs w:val="20"/>
                <w:lang w:val="fr-FR"/>
              </w:rPr>
              <w:t>$</w:t>
            </w:r>
          </w:p>
        </w:tc>
        <w:tc>
          <w:tcPr>
            <w:tcW w:w="1705" w:type="dxa"/>
            <w:shd w:val="clear" w:color="auto" w:fill="auto"/>
            <w:vAlign w:val="center"/>
            <w:hideMark/>
          </w:tcPr>
          <w:p w14:paraId="774C99C8" w14:textId="098828EF" w:rsidR="00683AA8" w:rsidRPr="00B65CBC" w:rsidRDefault="00683AA8" w:rsidP="00CA3DA1">
            <w:pPr>
              <w:jc w:val="right"/>
              <w:rPr>
                <w:rFonts w:ascii="Arial" w:hAnsi="Arial" w:cs="Arial"/>
                <w:iCs/>
                <w:sz w:val="20"/>
                <w:szCs w:val="20"/>
                <w:lang w:val="fr-FR"/>
              </w:rPr>
            </w:pPr>
            <w:r w:rsidRPr="00B65CBC">
              <w:rPr>
                <w:rFonts w:ascii="Arial" w:hAnsi="Arial" w:cs="Arial"/>
                <w:iCs/>
                <w:sz w:val="20"/>
                <w:szCs w:val="20"/>
                <w:lang w:val="fr-FR"/>
              </w:rPr>
              <w:t>18</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CA3DA1" w:rsidRPr="00B65CBC">
              <w:rPr>
                <w:rFonts w:ascii="Arial" w:hAnsi="Arial" w:cs="Arial"/>
                <w:iCs/>
                <w:sz w:val="20"/>
                <w:szCs w:val="20"/>
                <w:lang w:val="fr-FR"/>
              </w:rPr>
              <w:t>$</w:t>
            </w:r>
          </w:p>
        </w:tc>
      </w:tr>
      <w:tr w:rsidR="00683AA8" w:rsidRPr="00B65CBC" w14:paraId="5E471423" w14:textId="77777777" w:rsidTr="009F6EEB">
        <w:trPr>
          <w:cantSplit/>
          <w:trHeight w:val="765"/>
          <w:jc w:val="center"/>
        </w:trPr>
        <w:tc>
          <w:tcPr>
            <w:tcW w:w="4112" w:type="dxa"/>
            <w:shd w:val="clear" w:color="auto" w:fill="auto"/>
            <w:vAlign w:val="center"/>
            <w:hideMark/>
          </w:tcPr>
          <w:p w14:paraId="3623CBBE" w14:textId="1A243EDA" w:rsidR="00683AA8" w:rsidRPr="00B65CBC" w:rsidRDefault="00683AA8" w:rsidP="00CA3DA1">
            <w:pPr>
              <w:rPr>
                <w:rFonts w:ascii="Arial" w:hAnsi="Arial" w:cs="Arial"/>
                <w:sz w:val="20"/>
                <w:szCs w:val="20"/>
                <w:lang w:val="fr-FR"/>
              </w:rPr>
            </w:pPr>
            <w:r w:rsidRPr="00B65CBC">
              <w:rPr>
                <w:rFonts w:ascii="Arial" w:hAnsi="Arial" w:cs="Arial"/>
                <w:sz w:val="20"/>
                <w:szCs w:val="20"/>
                <w:lang w:val="fr-FR"/>
              </w:rPr>
              <w:t>Pr</w:t>
            </w:r>
            <w:r w:rsidR="00CA3DA1" w:rsidRPr="00B65CBC">
              <w:rPr>
                <w:rFonts w:ascii="Arial" w:hAnsi="Arial" w:cs="Arial"/>
                <w:sz w:val="20"/>
                <w:szCs w:val="20"/>
                <w:lang w:val="fr-FR"/>
              </w:rPr>
              <w:t>é</w:t>
            </w:r>
            <w:r w:rsidRPr="00B65CBC">
              <w:rPr>
                <w:rFonts w:ascii="Arial" w:hAnsi="Arial" w:cs="Arial"/>
                <w:sz w:val="20"/>
                <w:szCs w:val="20"/>
                <w:lang w:val="fr-FR"/>
              </w:rPr>
              <w:t xml:space="preserve">-production </w:t>
            </w:r>
            <w:r w:rsidR="00CA3DA1" w:rsidRPr="00B65CBC">
              <w:rPr>
                <w:rFonts w:ascii="Arial" w:hAnsi="Arial" w:cs="Arial"/>
                <w:sz w:val="20"/>
                <w:szCs w:val="20"/>
                <w:lang w:val="fr-FR"/>
              </w:rPr>
              <w:t xml:space="preserve">des dépliants </w:t>
            </w:r>
            <w:r w:rsidRPr="00B65CBC">
              <w:rPr>
                <w:rFonts w:ascii="Arial" w:hAnsi="Arial" w:cs="Arial"/>
                <w:sz w:val="20"/>
                <w:szCs w:val="20"/>
                <w:lang w:val="fr-FR"/>
              </w:rPr>
              <w:t xml:space="preserve">2012 </w:t>
            </w:r>
            <w:r w:rsidR="00CA3DA1" w:rsidRPr="00B65CBC">
              <w:rPr>
                <w:rFonts w:ascii="Arial" w:hAnsi="Arial" w:cs="Arial"/>
                <w:sz w:val="20"/>
                <w:szCs w:val="20"/>
                <w:lang w:val="fr-FR"/>
              </w:rPr>
              <w:t>et</w:t>
            </w:r>
            <w:r w:rsidRPr="00B65CBC">
              <w:rPr>
                <w:rFonts w:ascii="Arial" w:hAnsi="Arial" w:cs="Arial"/>
                <w:sz w:val="20"/>
                <w:szCs w:val="20"/>
                <w:lang w:val="fr-FR"/>
              </w:rPr>
              <w:t xml:space="preserve"> 2013 </w:t>
            </w:r>
          </w:p>
        </w:tc>
        <w:tc>
          <w:tcPr>
            <w:tcW w:w="3878" w:type="dxa"/>
            <w:shd w:val="clear" w:color="auto" w:fill="auto"/>
            <w:vAlign w:val="center"/>
            <w:hideMark/>
          </w:tcPr>
          <w:p w14:paraId="164BFB03" w14:textId="50FAE759" w:rsidR="00683AA8" w:rsidRPr="00B65CBC" w:rsidRDefault="00CA3DA1" w:rsidP="00AF2EF9">
            <w:pPr>
              <w:rPr>
                <w:rFonts w:ascii="Arial" w:hAnsi="Arial" w:cs="Arial"/>
                <w:sz w:val="20"/>
                <w:szCs w:val="20"/>
                <w:lang w:val="fr-FR"/>
              </w:rPr>
            </w:pPr>
            <w:r w:rsidRPr="00B65CBC">
              <w:rPr>
                <w:rFonts w:ascii="Arial" w:hAnsi="Arial" w:cs="Arial"/>
                <w:sz w:val="20"/>
                <w:szCs w:val="20"/>
                <w:lang w:val="fr-FR"/>
              </w:rPr>
              <w:t xml:space="preserve">Services professionnels pour la rédaction, </w:t>
            </w:r>
            <w:r w:rsidR="00AF2EF9" w:rsidRPr="00B65CBC">
              <w:rPr>
                <w:rFonts w:ascii="Arial" w:hAnsi="Arial" w:cs="Arial"/>
                <w:sz w:val="20"/>
                <w:szCs w:val="20"/>
                <w:lang w:val="fr-FR"/>
              </w:rPr>
              <w:t>la modification</w:t>
            </w:r>
            <w:r w:rsidRPr="00B65CBC">
              <w:rPr>
                <w:rFonts w:ascii="Arial" w:hAnsi="Arial" w:cs="Arial"/>
                <w:sz w:val="20"/>
                <w:szCs w:val="20"/>
                <w:lang w:val="fr-FR"/>
              </w:rPr>
              <w:t>, la traduction, la préparation de copies, la conception graphique, la mise en page et la correction d</w:t>
            </w:r>
            <w:r w:rsidR="00DA4D2A" w:rsidRPr="00B65CBC">
              <w:rPr>
                <w:rFonts w:ascii="Arial" w:hAnsi="Arial" w:cs="Arial"/>
                <w:sz w:val="20"/>
                <w:szCs w:val="20"/>
                <w:lang w:val="fr-FR"/>
              </w:rPr>
              <w:t>’</w:t>
            </w:r>
            <w:r w:rsidRPr="00B65CBC">
              <w:rPr>
                <w:rFonts w:ascii="Arial" w:hAnsi="Arial" w:cs="Arial"/>
                <w:sz w:val="20"/>
                <w:szCs w:val="20"/>
                <w:lang w:val="fr-FR"/>
              </w:rPr>
              <w:t>épreuves</w:t>
            </w:r>
          </w:p>
        </w:tc>
        <w:tc>
          <w:tcPr>
            <w:tcW w:w="2042" w:type="dxa"/>
            <w:shd w:val="clear" w:color="auto" w:fill="auto"/>
            <w:vAlign w:val="center"/>
            <w:hideMark/>
          </w:tcPr>
          <w:p w14:paraId="7BE96466" w14:textId="479701BC" w:rsidR="00683AA8" w:rsidRPr="00B65CBC" w:rsidRDefault="00683AA8" w:rsidP="00CA3DA1">
            <w:pPr>
              <w:jc w:val="right"/>
              <w:rPr>
                <w:rFonts w:ascii="Arial" w:hAnsi="Arial" w:cs="Arial"/>
                <w:sz w:val="20"/>
                <w:szCs w:val="20"/>
                <w:lang w:val="fr-FR"/>
              </w:rPr>
            </w:pPr>
            <w:r w:rsidRPr="00B65CBC">
              <w:rPr>
                <w:rFonts w:ascii="Arial" w:hAnsi="Arial" w:cs="Arial"/>
                <w:sz w:val="20"/>
                <w:szCs w:val="20"/>
                <w:lang w:val="fr-FR"/>
              </w:rPr>
              <w:t>8</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00CA3DA1" w:rsidRPr="00B65CBC">
              <w:rPr>
                <w:rFonts w:ascii="Arial" w:hAnsi="Arial" w:cs="Arial"/>
                <w:sz w:val="20"/>
                <w:szCs w:val="20"/>
                <w:lang w:val="fr-FR"/>
              </w:rPr>
              <w:t>$</w:t>
            </w:r>
          </w:p>
        </w:tc>
        <w:tc>
          <w:tcPr>
            <w:tcW w:w="1705" w:type="dxa"/>
            <w:shd w:val="clear" w:color="auto" w:fill="auto"/>
            <w:vAlign w:val="center"/>
            <w:hideMark/>
          </w:tcPr>
          <w:p w14:paraId="6C1E3794" w14:textId="072A69E2" w:rsidR="00683AA8" w:rsidRPr="00B65CBC" w:rsidRDefault="00683AA8" w:rsidP="00CA3DA1">
            <w:pPr>
              <w:jc w:val="right"/>
              <w:rPr>
                <w:rFonts w:ascii="Arial" w:hAnsi="Arial" w:cs="Arial"/>
                <w:iCs/>
                <w:sz w:val="20"/>
                <w:szCs w:val="20"/>
                <w:lang w:val="fr-FR"/>
              </w:rPr>
            </w:pPr>
            <w:r w:rsidRPr="00B65CBC">
              <w:rPr>
                <w:rFonts w:ascii="Arial" w:hAnsi="Arial" w:cs="Arial"/>
                <w:iCs/>
                <w:sz w:val="20"/>
                <w:szCs w:val="20"/>
                <w:lang w:val="fr-FR"/>
              </w:rPr>
              <w:t>8</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00CA3DA1" w:rsidRPr="00B65CBC">
              <w:rPr>
                <w:rFonts w:ascii="Arial" w:hAnsi="Arial" w:cs="Arial"/>
                <w:iCs/>
                <w:sz w:val="20"/>
                <w:szCs w:val="20"/>
                <w:lang w:val="fr-FR"/>
              </w:rPr>
              <w:t>$</w:t>
            </w:r>
          </w:p>
        </w:tc>
      </w:tr>
      <w:tr w:rsidR="00CA3DA1" w:rsidRPr="00B65CBC" w14:paraId="377A0948" w14:textId="77777777" w:rsidTr="009F6EEB">
        <w:trPr>
          <w:cantSplit/>
          <w:trHeight w:val="510"/>
          <w:jc w:val="center"/>
        </w:trPr>
        <w:tc>
          <w:tcPr>
            <w:tcW w:w="4112" w:type="dxa"/>
            <w:shd w:val="clear" w:color="auto" w:fill="auto"/>
            <w:vAlign w:val="center"/>
            <w:hideMark/>
          </w:tcPr>
          <w:p w14:paraId="67DC67CA" w14:textId="16BF5AC7" w:rsidR="00CA3DA1" w:rsidRPr="00B65CBC" w:rsidRDefault="00CA3DA1" w:rsidP="0051717D">
            <w:pPr>
              <w:rPr>
                <w:rFonts w:ascii="Arial" w:hAnsi="Arial" w:cs="Arial"/>
                <w:sz w:val="20"/>
                <w:szCs w:val="20"/>
                <w:lang w:val="fr-FR"/>
              </w:rPr>
            </w:pPr>
            <w:r w:rsidRPr="00B65CBC">
              <w:rPr>
                <w:rFonts w:ascii="Arial" w:hAnsi="Arial" w:cs="Arial"/>
                <w:sz w:val="20"/>
                <w:szCs w:val="20"/>
                <w:lang w:val="fr-FR"/>
              </w:rPr>
              <w:t>Impression des dépliants 2012</w:t>
            </w:r>
          </w:p>
        </w:tc>
        <w:tc>
          <w:tcPr>
            <w:tcW w:w="3878" w:type="dxa"/>
            <w:shd w:val="clear" w:color="auto" w:fill="auto"/>
            <w:vAlign w:val="center"/>
            <w:hideMark/>
          </w:tcPr>
          <w:p w14:paraId="0D86B1DD" w14:textId="430FA1DE" w:rsidR="00CA3DA1" w:rsidRPr="00B65CBC" w:rsidRDefault="00CA3DA1" w:rsidP="00CA3DA1">
            <w:pPr>
              <w:rPr>
                <w:rFonts w:ascii="Arial" w:hAnsi="Arial" w:cs="Arial"/>
                <w:sz w:val="20"/>
                <w:szCs w:val="20"/>
                <w:lang w:val="fr-FR"/>
              </w:rPr>
            </w:pPr>
            <w:r w:rsidRPr="00B65CBC">
              <w:rPr>
                <w:rFonts w:ascii="Arial" w:hAnsi="Arial" w:cs="Arial"/>
                <w:sz w:val="20"/>
                <w:szCs w:val="20"/>
                <w:lang w:val="fr-FR"/>
              </w:rPr>
              <w:t>Coûts d</w:t>
            </w:r>
            <w:r w:rsidR="00DA4D2A" w:rsidRPr="00B65CBC">
              <w:rPr>
                <w:rFonts w:ascii="Arial" w:hAnsi="Arial" w:cs="Arial"/>
                <w:sz w:val="20"/>
                <w:szCs w:val="20"/>
                <w:lang w:val="fr-FR"/>
              </w:rPr>
              <w:t>’</w:t>
            </w:r>
            <w:r w:rsidR="00B21E8A" w:rsidRPr="00B65CBC">
              <w:rPr>
                <w:rFonts w:ascii="Arial" w:hAnsi="Arial" w:cs="Arial"/>
                <w:sz w:val="20"/>
                <w:szCs w:val="20"/>
                <w:lang w:val="fr-FR"/>
              </w:rPr>
              <w:t>imp</w:t>
            </w:r>
            <w:r w:rsidRPr="00B65CBC">
              <w:rPr>
                <w:rFonts w:ascii="Arial" w:hAnsi="Arial" w:cs="Arial"/>
                <w:sz w:val="20"/>
                <w:szCs w:val="20"/>
                <w:lang w:val="fr-FR"/>
              </w:rPr>
              <w:t>ression de 9 000 copies (5 000 en anglais et 4 000 en français)</w:t>
            </w:r>
          </w:p>
        </w:tc>
        <w:tc>
          <w:tcPr>
            <w:tcW w:w="2042" w:type="dxa"/>
            <w:shd w:val="clear" w:color="auto" w:fill="auto"/>
            <w:vAlign w:val="center"/>
            <w:hideMark/>
          </w:tcPr>
          <w:p w14:paraId="036219F8" w14:textId="012CBBC0" w:rsidR="00CA3DA1" w:rsidRPr="00B65CBC" w:rsidRDefault="00CA3DA1" w:rsidP="00CA3DA1">
            <w:pPr>
              <w:jc w:val="right"/>
              <w:rPr>
                <w:rFonts w:ascii="Arial" w:hAnsi="Arial" w:cs="Arial"/>
                <w:sz w:val="20"/>
                <w:szCs w:val="20"/>
                <w:lang w:val="fr-FR"/>
              </w:rPr>
            </w:pPr>
            <w:r w:rsidRPr="00B65CBC">
              <w:rPr>
                <w:rFonts w:ascii="Arial" w:hAnsi="Arial" w:cs="Arial"/>
                <w:sz w:val="20"/>
                <w:szCs w:val="20"/>
                <w:lang w:val="fr-FR"/>
              </w:rPr>
              <w:t>16</w:t>
            </w:r>
            <w:r w:rsidR="00194019" w:rsidRPr="00B65CBC">
              <w:rPr>
                <w:rFonts w:ascii="Arial" w:hAnsi="Arial" w:cs="Arial"/>
                <w:sz w:val="20"/>
                <w:szCs w:val="20"/>
                <w:lang w:val="fr-FR"/>
              </w:rPr>
              <w:t> </w:t>
            </w:r>
            <w:r w:rsidRPr="00B65CBC">
              <w:rPr>
                <w:rFonts w:ascii="Arial" w:hAnsi="Arial" w:cs="Arial"/>
                <w:sz w:val="20"/>
                <w:szCs w:val="20"/>
                <w:lang w:val="fr-FR"/>
              </w:rPr>
              <w:t>000</w:t>
            </w:r>
            <w:r w:rsidR="00194019" w:rsidRPr="00B65CBC">
              <w:rPr>
                <w:rFonts w:ascii="Arial" w:hAnsi="Arial" w:cs="Arial"/>
                <w:sz w:val="20"/>
                <w:szCs w:val="20"/>
                <w:lang w:val="fr-FR"/>
              </w:rPr>
              <w:t> </w:t>
            </w:r>
            <w:r w:rsidRPr="00B65CBC">
              <w:rPr>
                <w:rFonts w:ascii="Arial" w:hAnsi="Arial" w:cs="Arial"/>
                <w:sz w:val="20"/>
                <w:szCs w:val="20"/>
                <w:lang w:val="fr-FR"/>
              </w:rPr>
              <w:t>$</w:t>
            </w:r>
          </w:p>
        </w:tc>
        <w:tc>
          <w:tcPr>
            <w:tcW w:w="1705" w:type="dxa"/>
            <w:shd w:val="clear" w:color="auto" w:fill="auto"/>
            <w:vAlign w:val="center"/>
            <w:hideMark/>
          </w:tcPr>
          <w:p w14:paraId="3AC5206F" w14:textId="2C2B7484" w:rsidR="00CA3DA1" w:rsidRPr="00B65CBC" w:rsidRDefault="00CA3DA1" w:rsidP="00CA3DA1">
            <w:pPr>
              <w:jc w:val="right"/>
              <w:rPr>
                <w:rFonts w:ascii="Arial" w:hAnsi="Arial" w:cs="Arial"/>
                <w:iCs/>
                <w:sz w:val="20"/>
                <w:szCs w:val="20"/>
                <w:lang w:val="fr-FR"/>
              </w:rPr>
            </w:pPr>
            <w:r w:rsidRPr="00B65CBC">
              <w:rPr>
                <w:rFonts w:ascii="Arial" w:hAnsi="Arial" w:cs="Arial"/>
                <w:iCs/>
                <w:sz w:val="20"/>
                <w:szCs w:val="20"/>
                <w:lang w:val="fr-FR"/>
              </w:rPr>
              <w:t>13</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Pr="00B65CBC">
              <w:rPr>
                <w:rFonts w:ascii="Arial" w:hAnsi="Arial" w:cs="Arial"/>
                <w:iCs/>
                <w:sz w:val="20"/>
                <w:szCs w:val="20"/>
                <w:lang w:val="fr-FR"/>
              </w:rPr>
              <w:t>$</w:t>
            </w:r>
          </w:p>
        </w:tc>
      </w:tr>
      <w:tr w:rsidR="00683AA8" w:rsidRPr="00B65CBC" w14:paraId="3F06C16D" w14:textId="77777777" w:rsidTr="009F6EEB">
        <w:trPr>
          <w:cantSplit/>
          <w:trHeight w:val="795"/>
          <w:jc w:val="center"/>
        </w:trPr>
        <w:tc>
          <w:tcPr>
            <w:tcW w:w="7990" w:type="dxa"/>
            <w:gridSpan w:val="2"/>
            <w:shd w:val="clear" w:color="auto" w:fill="auto"/>
            <w:vAlign w:val="center"/>
            <w:hideMark/>
          </w:tcPr>
          <w:p w14:paraId="5FC2E985" w14:textId="714DB071" w:rsidR="00683AA8" w:rsidRPr="00B65CBC" w:rsidRDefault="00683AA8" w:rsidP="0051717D">
            <w:pPr>
              <w:rPr>
                <w:rFonts w:ascii="Arial" w:hAnsi="Arial" w:cs="Arial"/>
                <w:b/>
                <w:bCs/>
                <w:sz w:val="20"/>
                <w:szCs w:val="20"/>
                <w:lang w:val="fr-FR"/>
              </w:rPr>
            </w:pPr>
            <w:r w:rsidRPr="00B65CBC">
              <w:rPr>
                <w:rFonts w:ascii="Arial" w:hAnsi="Arial" w:cs="Arial"/>
                <w:b/>
                <w:bCs/>
                <w:sz w:val="20"/>
                <w:szCs w:val="20"/>
                <w:lang w:val="fr-FR"/>
              </w:rPr>
              <w:t xml:space="preserve">C.3 </w:t>
            </w:r>
            <w:r w:rsidR="00B21E8A" w:rsidRPr="00B65CBC">
              <w:rPr>
                <w:rStyle w:val="normal0020tablechar"/>
                <w:rFonts w:ascii="Arial" w:hAnsi="Arial" w:cs="Arial"/>
                <w:b/>
                <w:bCs/>
                <w:sz w:val="20"/>
                <w:szCs w:val="20"/>
                <w:lang w:val="fr-FR"/>
              </w:rPr>
              <w:t>Publication de dépliants sur les listes de sauvegarde urgente et représentative ainsi que le Registre des meilleures pratiques de sauvegarde 2012 &amp; 2013 (anglais et français)</w:t>
            </w:r>
          </w:p>
        </w:tc>
        <w:tc>
          <w:tcPr>
            <w:tcW w:w="2042" w:type="dxa"/>
            <w:shd w:val="clear" w:color="auto" w:fill="auto"/>
            <w:vAlign w:val="center"/>
            <w:hideMark/>
          </w:tcPr>
          <w:p w14:paraId="53856F67" w14:textId="77777777" w:rsidR="00683AA8" w:rsidRPr="00B65CBC" w:rsidRDefault="00683AA8" w:rsidP="0051717D">
            <w:pPr>
              <w:rPr>
                <w:rFonts w:ascii="Arial" w:hAnsi="Arial" w:cs="Arial"/>
                <w:sz w:val="20"/>
                <w:szCs w:val="20"/>
                <w:lang w:val="fr-FR"/>
              </w:rPr>
            </w:pPr>
          </w:p>
        </w:tc>
        <w:tc>
          <w:tcPr>
            <w:tcW w:w="1705" w:type="dxa"/>
            <w:shd w:val="clear" w:color="auto" w:fill="auto"/>
            <w:vAlign w:val="bottom"/>
            <w:hideMark/>
          </w:tcPr>
          <w:p w14:paraId="6FF90376" w14:textId="77777777" w:rsidR="00683AA8" w:rsidRPr="00B65CBC" w:rsidRDefault="00683AA8" w:rsidP="0051717D">
            <w:pPr>
              <w:rPr>
                <w:rFonts w:ascii="Calibri" w:hAnsi="Calibri"/>
                <w:sz w:val="20"/>
                <w:szCs w:val="20"/>
                <w:lang w:val="fr-FR"/>
              </w:rPr>
            </w:pPr>
          </w:p>
        </w:tc>
      </w:tr>
      <w:tr w:rsidR="00683AA8" w:rsidRPr="00B65CBC" w14:paraId="4D82C8D4" w14:textId="77777777" w:rsidTr="009F6EEB">
        <w:trPr>
          <w:cantSplit/>
          <w:trHeight w:val="765"/>
          <w:jc w:val="center"/>
        </w:trPr>
        <w:tc>
          <w:tcPr>
            <w:tcW w:w="4112" w:type="dxa"/>
            <w:shd w:val="clear" w:color="auto" w:fill="auto"/>
            <w:vAlign w:val="center"/>
            <w:hideMark/>
          </w:tcPr>
          <w:p w14:paraId="01373A4F" w14:textId="3679675C" w:rsidR="00683AA8" w:rsidRPr="00B65CBC" w:rsidRDefault="00B21E8A" w:rsidP="0051717D">
            <w:pPr>
              <w:rPr>
                <w:rFonts w:ascii="Arial" w:hAnsi="Arial" w:cs="Arial"/>
                <w:sz w:val="20"/>
                <w:szCs w:val="20"/>
                <w:lang w:val="fr-FR"/>
              </w:rPr>
            </w:pPr>
            <w:r w:rsidRPr="00B65CBC">
              <w:rPr>
                <w:rFonts w:ascii="Arial" w:hAnsi="Arial" w:cs="Arial"/>
                <w:sz w:val="20"/>
                <w:szCs w:val="20"/>
                <w:lang w:val="fr-FR"/>
              </w:rPr>
              <w:t>Pré</w:t>
            </w:r>
            <w:r w:rsidR="00683AA8" w:rsidRPr="00B65CBC">
              <w:rPr>
                <w:rFonts w:ascii="Arial" w:hAnsi="Arial" w:cs="Arial"/>
                <w:sz w:val="20"/>
                <w:szCs w:val="20"/>
                <w:lang w:val="fr-FR"/>
              </w:rPr>
              <w:t>-production</w:t>
            </w:r>
          </w:p>
        </w:tc>
        <w:tc>
          <w:tcPr>
            <w:tcW w:w="3878" w:type="dxa"/>
            <w:shd w:val="clear" w:color="auto" w:fill="auto"/>
            <w:vAlign w:val="center"/>
            <w:hideMark/>
          </w:tcPr>
          <w:p w14:paraId="3EC495A8" w14:textId="3D4E682D" w:rsidR="00683AA8" w:rsidRPr="00B65CBC" w:rsidRDefault="00A96CFB" w:rsidP="0051717D">
            <w:pPr>
              <w:rPr>
                <w:rFonts w:ascii="Arial" w:hAnsi="Arial" w:cs="Arial"/>
                <w:sz w:val="20"/>
                <w:szCs w:val="20"/>
                <w:lang w:val="fr-FR"/>
              </w:rPr>
            </w:pPr>
            <w:r w:rsidRPr="00B65CBC">
              <w:rPr>
                <w:rFonts w:ascii="Arial" w:hAnsi="Arial" w:cs="Arial"/>
                <w:sz w:val="20"/>
                <w:szCs w:val="20"/>
                <w:lang w:val="fr-FR"/>
              </w:rPr>
              <w:t>Services professionnels pour la rédaction, l</w:t>
            </w:r>
            <w:r w:rsidR="00DA4D2A" w:rsidRPr="00B65CBC">
              <w:rPr>
                <w:rFonts w:ascii="Arial" w:hAnsi="Arial" w:cs="Arial"/>
                <w:sz w:val="20"/>
                <w:szCs w:val="20"/>
                <w:lang w:val="fr-FR"/>
              </w:rPr>
              <w:t>’</w:t>
            </w:r>
            <w:r w:rsidRPr="00B65CBC">
              <w:rPr>
                <w:rFonts w:ascii="Arial" w:hAnsi="Arial" w:cs="Arial"/>
                <w:sz w:val="20"/>
                <w:szCs w:val="20"/>
                <w:lang w:val="fr-FR"/>
              </w:rPr>
              <w:t>édition, la traduction, la préparation de copies, la conception graphique, la mise en page et la correction d</w:t>
            </w:r>
            <w:r w:rsidR="00DA4D2A" w:rsidRPr="00B65CBC">
              <w:rPr>
                <w:rFonts w:ascii="Arial" w:hAnsi="Arial" w:cs="Arial"/>
                <w:sz w:val="20"/>
                <w:szCs w:val="20"/>
                <w:lang w:val="fr-FR"/>
              </w:rPr>
              <w:t>’</w:t>
            </w:r>
            <w:r w:rsidRPr="00B65CBC">
              <w:rPr>
                <w:rFonts w:ascii="Arial" w:hAnsi="Arial" w:cs="Arial"/>
                <w:sz w:val="20"/>
                <w:szCs w:val="20"/>
                <w:lang w:val="fr-FR"/>
              </w:rPr>
              <w:t>épreuves</w:t>
            </w:r>
          </w:p>
        </w:tc>
        <w:tc>
          <w:tcPr>
            <w:tcW w:w="2042" w:type="dxa"/>
            <w:shd w:val="clear" w:color="auto" w:fill="auto"/>
            <w:vAlign w:val="center"/>
            <w:hideMark/>
          </w:tcPr>
          <w:p w14:paraId="16AE2746" w14:textId="1A21B589" w:rsidR="00683AA8" w:rsidRPr="00B65CBC" w:rsidRDefault="00683AA8" w:rsidP="00A96CFB">
            <w:pPr>
              <w:jc w:val="right"/>
              <w:rPr>
                <w:rFonts w:ascii="Arial" w:hAnsi="Arial" w:cs="Arial"/>
                <w:b/>
                <w:bCs/>
                <w:sz w:val="20"/>
                <w:szCs w:val="20"/>
                <w:lang w:val="fr-FR"/>
              </w:rPr>
            </w:pPr>
            <w:r w:rsidRPr="00B65CBC">
              <w:rPr>
                <w:rFonts w:ascii="Arial" w:hAnsi="Arial" w:cs="Arial"/>
                <w:b/>
                <w:bCs/>
                <w:sz w:val="20"/>
                <w:szCs w:val="20"/>
                <w:lang w:val="fr-FR"/>
              </w:rPr>
              <w:t>32</w:t>
            </w:r>
            <w:r w:rsidR="00194019" w:rsidRPr="00B65CBC">
              <w:rPr>
                <w:rFonts w:ascii="Arial" w:hAnsi="Arial" w:cs="Arial"/>
                <w:b/>
                <w:bCs/>
                <w:sz w:val="20"/>
                <w:szCs w:val="20"/>
                <w:lang w:val="fr-FR"/>
              </w:rPr>
              <w:t> </w:t>
            </w:r>
            <w:r w:rsidRPr="00B65CBC">
              <w:rPr>
                <w:rFonts w:ascii="Arial" w:hAnsi="Arial" w:cs="Arial"/>
                <w:b/>
                <w:bCs/>
                <w:sz w:val="20"/>
                <w:szCs w:val="20"/>
                <w:lang w:val="fr-FR"/>
              </w:rPr>
              <w:t>663</w:t>
            </w:r>
            <w:r w:rsidR="00194019" w:rsidRPr="00B65CBC">
              <w:rPr>
                <w:rFonts w:ascii="Arial" w:hAnsi="Arial" w:cs="Arial"/>
                <w:b/>
                <w:bCs/>
                <w:sz w:val="20"/>
                <w:szCs w:val="20"/>
                <w:lang w:val="fr-FR"/>
              </w:rPr>
              <w:t> </w:t>
            </w:r>
            <w:r w:rsidR="00A96CFB" w:rsidRPr="00B65CBC">
              <w:rPr>
                <w:rFonts w:ascii="Arial" w:hAnsi="Arial" w:cs="Arial"/>
                <w:b/>
                <w:bCs/>
                <w:sz w:val="20"/>
                <w:szCs w:val="20"/>
                <w:lang w:val="fr-FR"/>
              </w:rPr>
              <w:t>$</w:t>
            </w:r>
          </w:p>
        </w:tc>
        <w:tc>
          <w:tcPr>
            <w:tcW w:w="1705" w:type="dxa"/>
            <w:shd w:val="clear" w:color="auto" w:fill="auto"/>
            <w:vAlign w:val="center"/>
            <w:hideMark/>
          </w:tcPr>
          <w:p w14:paraId="753A029A" w14:textId="1A3E15FC" w:rsidR="00683AA8" w:rsidRPr="00B65CBC" w:rsidRDefault="00683AA8" w:rsidP="00A96CFB">
            <w:pPr>
              <w:jc w:val="right"/>
              <w:rPr>
                <w:rFonts w:ascii="Arial" w:hAnsi="Arial" w:cs="Arial"/>
                <w:b/>
                <w:bCs/>
                <w:iCs/>
                <w:sz w:val="20"/>
                <w:szCs w:val="20"/>
                <w:lang w:val="fr-FR"/>
              </w:rPr>
            </w:pPr>
            <w:r w:rsidRPr="00B65CBC">
              <w:rPr>
                <w:rFonts w:ascii="Arial" w:hAnsi="Arial" w:cs="Arial"/>
                <w:b/>
                <w:bCs/>
                <w:iCs/>
                <w:sz w:val="20"/>
                <w:szCs w:val="20"/>
                <w:lang w:val="fr-FR"/>
              </w:rPr>
              <w:t>35</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r w:rsidR="00A96CFB" w:rsidRPr="00B65CBC">
              <w:rPr>
                <w:rFonts w:ascii="Arial" w:hAnsi="Arial" w:cs="Arial"/>
                <w:b/>
                <w:bCs/>
                <w:iCs/>
                <w:sz w:val="20"/>
                <w:szCs w:val="20"/>
                <w:lang w:val="fr-FR"/>
              </w:rPr>
              <w:t>$</w:t>
            </w:r>
          </w:p>
        </w:tc>
      </w:tr>
      <w:tr w:rsidR="00683AA8" w:rsidRPr="00B65CBC" w14:paraId="4414BEFD" w14:textId="77777777" w:rsidTr="009F6EEB">
        <w:trPr>
          <w:cantSplit/>
          <w:trHeight w:val="300"/>
          <w:jc w:val="center"/>
        </w:trPr>
        <w:tc>
          <w:tcPr>
            <w:tcW w:w="7990" w:type="dxa"/>
            <w:gridSpan w:val="2"/>
            <w:shd w:val="clear" w:color="auto" w:fill="auto"/>
            <w:vAlign w:val="center"/>
            <w:hideMark/>
          </w:tcPr>
          <w:p w14:paraId="2D5F42A9" w14:textId="16E74D77" w:rsidR="00683AA8" w:rsidRPr="00B65CBC" w:rsidRDefault="00683AA8" w:rsidP="0051717D">
            <w:pPr>
              <w:rPr>
                <w:rFonts w:ascii="Arial" w:hAnsi="Arial" w:cs="Arial"/>
                <w:b/>
                <w:bCs/>
                <w:sz w:val="20"/>
                <w:szCs w:val="20"/>
                <w:lang w:val="fr-FR"/>
              </w:rPr>
            </w:pPr>
            <w:r w:rsidRPr="00B65CBC">
              <w:rPr>
                <w:rFonts w:ascii="Arial" w:hAnsi="Arial" w:cs="Arial"/>
                <w:b/>
                <w:bCs/>
                <w:sz w:val="20"/>
                <w:szCs w:val="20"/>
                <w:lang w:val="fr-FR"/>
              </w:rPr>
              <w:t xml:space="preserve">C.4 </w:t>
            </w:r>
            <w:r w:rsidR="00A96CFB" w:rsidRPr="00B65CBC">
              <w:rPr>
                <w:rStyle w:val="normal0020tablechar"/>
                <w:rFonts w:ascii="Arial" w:hAnsi="Arial" w:cs="Arial"/>
                <w:b/>
                <w:bCs/>
                <w:sz w:val="20"/>
                <w:szCs w:val="20"/>
                <w:lang w:val="fr-FR"/>
              </w:rPr>
              <w:t>Distribution de documents imprimés</w:t>
            </w:r>
          </w:p>
        </w:tc>
        <w:tc>
          <w:tcPr>
            <w:tcW w:w="2042" w:type="dxa"/>
            <w:shd w:val="clear" w:color="auto" w:fill="auto"/>
            <w:vAlign w:val="center"/>
            <w:hideMark/>
          </w:tcPr>
          <w:p w14:paraId="3A8D1879" w14:textId="77777777" w:rsidR="00683AA8" w:rsidRPr="00B65CBC" w:rsidRDefault="00683AA8" w:rsidP="0051717D">
            <w:pPr>
              <w:rPr>
                <w:rFonts w:ascii="Arial" w:hAnsi="Arial" w:cs="Arial"/>
                <w:sz w:val="20"/>
                <w:szCs w:val="20"/>
                <w:lang w:val="fr-FR"/>
              </w:rPr>
            </w:pPr>
          </w:p>
        </w:tc>
        <w:tc>
          <w:tcPr>
            <w:tcW w:w="1705" w:type="dxa"/>
            <w:shd w:val="clear" w:color="auto" w:fill="auto"/>
            <w:vAlign w:val="bottom"/>
            <w:hideMark/>
          </w:tcPr>
          <w:p w14:paraId="5E5027D3" w14:textId="77777777" w:rsidR="00683AA8" w:rsidRPr="00B65CBC" w:rsidRDefault="00683AA8" w:rsidP="0051717D">
            <w:pPr>
              <w:rPr>
                <w:rFonts w:ascii="Calibri" w:hAnsi="Calibri"/>
                <w:sz w:val="20"/>
                <w:szCs w:val="20"/>
                <w:lang w:val="fr-FR"/>
              </w:rPr>
            </w:pPr>
          </w:p>
        </w:tc>
      </w:tr>
      <w:tr w:rsidR="00A96CFB" w:rsidRPr="00B65CBC" w14:paraId="568E7699" w14:textId="77777777" w:rsidTr="009F6EEB">
        <w:trPr>
          <w:cantSplit/>
          <w:trHeight w:val="1020"/>
          <w:jc w:val="center"/>
        </w:trPr>
        <w:tc>
          <w:tcPr>
            <w:tcW w:w="4112" w:type="dxa"/>
            <w:shd w:val="clear" w:color="auto" w:fill="auto"/>
            <w:vAlign w:val="center"/>
            <w:hideMark/>
          </w:tcPr>
          <w:p w14:paraId="6AEFDAFB" w14:textId="1716EC54" w:rsidR="00A96CFB" w:rsidRPr="00B65CBC" w:rsidRDefault="00A96CFB" w:rsidP="0051717D">
            <w:pPr>
              <w:rPr>
                <w:rFonts w:ascii="Arial" w:hAnsi="Arial" w:cs="Arial"/>
                <w:sz w:val="20"/>
                <w:szCs w:val="20"/>
                <w:lang w:val="fr-FR"/>
              </w:rPr>
            </w:pPr>
            <w:r w:rsidRPr="00B65CBC">
              <w:rPr>
                <w:rFonts w:ascii="Arial" w:hAnsi="Arial" w:cs="Arial"/>
                <w:color w:val="000000"/>
                <w:sz w:val="20"/>
                <w:szCs w:val="20"/>
                <w:lang w:val="fr-FR"/>
              </w:rPr>
              <w:t>Expédition</w:t>
            </w:r>
          </w:p>
        </w:tc>
        <w:tc>
          <w:tcPr>
            <w:tcW w:w="3878" w:type="dxa"/>
            <w:shd w:val="clear" w:color="auto" w:fill="auto"/>
            <w:vAlign w:val="center"/>
            <w:hideMark/>
          </w:tcPr>
          <w:p w14:paraId="0EB0BEAE" w14:textId="76286DF8" w:rsidR="00A96CFB" w:rsidRPr="00B65CBC" w:rsidRDefault="00A96CFB" w:rsidP="0051717D">
            <w:pPr>
              <w:rPr>
                <w:rFonts w:ascii="Arial" w:hAnsi="Arial" w:cs="Arial"/>
                <w:sz w:val="20"/>
                <w:szCs w:val="20"/>
                <w:lang w:val="fr-FR"/>
              </w:rPr>
            </w:pPr>
            <w:r w:rsidRPr="00B65CBC">
              <w:rPr>
                <w:rStyle w:val="normal0020tablechar"/>
                <w:rFonts w:ascii="Arial" w:hAnsi="Arial" w:cs="Arial"/>
                <w:sz w:val="20"/>
                <w:szCs w:val="20"/>
                <w:lang w:val="fr-FR"/>
              </w:rPr>
              <w:t>Frais d</w:t>
            </w:r>
            <w:r w:rsidR="00DA4D2A" w:rsidRPr="00B65CBC">
              <w:rPr>
                <w:rStyle w:val="normal0020tablechar"/>
                <w:rFonts w:ascii="Arial" w:hAnsi="Arial" w:cs="Arial"/>
                <w:sz w:val="20"/>
                <w:szCs w:val="20"/>
                <w:lang w:val="fr-FR"/>
              </w:rPr>
              <w:t>’</w:t>
            </w:r>
            <w:r w:rsidRPr="00B65CBC">
              <w:rPr>
                <w:rStyle w:val="normal0020tablechar"/>
                <w:rFonts w:ascii="Arial" w:hAnsi="Arial" w:cs="Arial"/>
                <w:sz w:val="20"/>
                <w:szCs w:val="20"/>
                <w:lang w:val="fr-FR"/>
              </w:rPr>
              <w:t>expédition vers les bureaux hors-siège, les commissions nationales et autres parties prenantes dans la stratégie de renforcement des capacités</w:t>
            </w:r>
          </w:p>
        </w:tc>
        <w:tc>
          <w:tcPr>
            <w:tcW w:w="2042" w:type="dxa"/>
            <w:shd w:val="clear" w:color="auto" w:fill="auto"/>
            <w:vAlign w:val="center"/>
            <w:hideMark/>
          </w:tcPr>
          <w:p w14:paraId="2D8FD77A" w14:textId="5ADE3222" w:rsidR="00A96CFB" w:rsidRPr="00B65CBC" w:rsidRDefault="00A96CFB" w:rsidP="00A96CFB">
            <w:pPr>
              <w:jc w:val="right"/>
              <w:rPr>
                <w:rFonts w:ascii="Arial" w:hAnsi="Arial" w:cs="Arial"/>
                <w:b/>
                <w:bCs/>
                <w:sz w:val="20"/>
                <w:szCs w:val="20"/>
                <w:lang w:val="fr-FR"/>
              </w:rPr>
            </w:pPr>
            <w:r w:rsidRPr="00B65CBC">
              <w:rPr>
                <w:rFonts w:ascii="Arial" w:hAnsi="Arial" w:cs="Arial"/>
                <w:b/>
                <w:bCs/>
                <w:sz w:val="20"/>
                <w:szCs w:val="20"/>
                <w:lang w:val="fr-FR"/>
              </w:rPr>
              <w:t>20</w:t>
            </w:r>
            <w:r w:rsidR="00194019" w:rsidRPr="00B65CBC">
              <w:rPr>
                <w:rFonts w:ascii="Arial" w:hAnsi="Arial" w:cs="Arial"/>
                <w:b/>
                <w:bCs/>
                <w:sz w:val="20"/>
                <w:szCs w:val="20"/>
                <w:lang w:val="fr-FR"/>
              </w:rPr>
              <w:t> </w:t>
            </w:r>
            <w:r w:rsidRPr="00B65CBC">
              <w:rPr>
                <w:rFonts w:ascii="Arial" w:hAnsi="Arial" w:cs="Arial"/>
                <w:b/>
                <w:bCs/>
                <w:sz w:val="20"/>
                <w:szCs w:val="20"/>
                <w:lang w:val="fr-FR"/>
              </w:rPr>
              <w:t>000</w:t>
            </w:r>
            <w:r w:rsidR="00194019" w:rsidRPr="00B65CBC">
              <w:rPr>
                <w:rFonts w:ascii="Arial" w:hAnsi="Arial" w:cs="Arial"/>
                <w:bCs/>
                <w:sz w:val="20"/>
                <w:szCs w:val="20"/>
                <w:lang w:val="fr-FR"/>
              </w:rPr>
              <w:t> </w:t>
            </w:r>
            <w:r w:rsidRPr="00B65CBC">
              <w:rPr>
                <w:rFonts w:ascii="Arial" w:hAnsi="Arial" w:cs="Arial"/>
                <w:b/>
                <w:bCs/>
                <w:sz w:val="20"/>
                <w:szCs w:val="20"/>
                <w:lang w:val="fr-FR"/>
              </w:rPr>
              <w:t>$</w:t>
            </w:r>
          </w:p>
        </w:tc>
        <w:tc>
          <w:tcPr>
            <w:tcW w:w="1705" w:type="dxa"/>
            <w:shd w:val="clear" w:color="auto" w:fill="auto"/>
            <w:vAlign w:val="center"/>
            <w:hideMark/>
          </w:tcPr>
          <w:p w14:paraId="61E2D83D" w14:textId="193632C9" w:rsidR="00A96CFB" w:rsidRPr="00B65CBC" w:rsidRDefault="00A96CFB" w:rsidP="00A96CFB">
            <w:pPr>
              <w:jc w:val="right"/>
              <w:rPr>
                <w:rFonts w:ascii="Arial" w:hAnsi="Arial" w:cs="Arial"/>
                <w:b/>
                <w:bCs/>
                <w:iCs/>
                <w:sz w:val="20"/>
                <w:szCs w:val="20"/>
                <w:lang w:val="fr-FR"/>
              </w:rPr>
            </w:pPr>
            <w:r w:rsidRPr="00B65CBC">
              <w:rPr>
                <w:rFonts w:ascii="Arial" w:hAnsi="Arial" w:cs="Arial"/>
                <w:b/>
                <w:bCs/>
                <w:iCs/>
                <w:sz w:val="20"/>
                <w:szCs w:val="20"/>
                <w:lang w:val="fr-FR"/>
              </w:rPr>
              <w:t>70</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r w:rsidRPr="00B65CBC">
              <w:rPr>
                <w:rFonts w:ascii="Arial" w:hAnsi="Arial" w:cs="Arial"/>
                <w:b/>
                <w:bCs/>
                <w:iCs/>
                <w:sz w:val="20"/>
                <w:szCs w:val="20"/>
                <w:lang w:val="fr-FR"/>
              </w:rPr>
              <w:t>$</w:t>
            </w:r>
          </w:p>
        </w:tc>
      </w:tr>
      <w:tr w:rsidR="00A96CFB" w:rsidRPr="00B65CBC" w14:paraId="06428F7C" w14:textId="77777777" w:rsidTr="009F6EEB">
        <w:trPr>
          <w:cantSplit/>
          <w:trHeight w:val="660"/>
          <w:jc w:val="center"/>
        </w:trPr>
        <w:tc>
          <w:tcPr>
            <w:tcW w:w="7990" w:type="dxa"/>
            <w:gridSpan w:val="2"/>
            <w:shd w:val="clear" w:color="auto" w:fill="D9D9D9" w:themeFill="background1" w:themeFillShade="D9"/>
            <w:vAlign w:val="center"/>
            <w:hideMark/>
          </w:tcPr>
          <w:p w14:paraId="3268AEA3" w14:textId="2D2617F0" w:rsidR="00A96CFB" w:rsidRPr="00B65CBC" w:rsidRDefault="00A96CFB" w:rsidP="0051717D">
            <w:pPr>
              <w:rPr>
                <w:rFonts w:ascii="Arial" w:hAnsi="Arial" w:cs="Arial"/>
                <w:b/>
                <w:bCs/>
                <w:sz w:val="20"/>
                <w:szCs w:val="20"/>
                <w:lang w:val="fr-FR"/>
              </w:rPr>
            </w:pPr>
            <w:r w:rsidRPr="00B65CBC">
              <w:rPr>
                <w:rFonts w:ascii="Arial" w:hAnsi="Arial" w:cs="Arial"/>
                <w:b/>
                <w:bCs/>
                <w:sz w:val="20"/>
                <w:szCs w:val="20"/>
                <w:lang w:val="fr-FR"/>
              </w:rPr>
              <w:t xml:space="preserve">D. </w:t>
            </w:r>
            <w:r w:rsidRPr="00B65CBC">
              <w:rPr>
                <w:rFonts w:ascii="Arial" w:hAnsi="Arial" w:cs="Arial"/>
                <w:b/>
                <w:bCs/>
                <w:color w:val="000000"/>
                <w:sz w:val="20"/>
                <w:szCs w:val="20"/>
                <w:lang w:val="fr-FR"/>
              </w:rPr>
              <w:t>Services de gestion des connaissances</w:t>
            </w:r>
          </w:p>
        </w:tc>
        <w:tc>
          <w:tcPr>
            <w:tcW w:w="2042" w:type="dxa"/>
            <w:shd w:val="clear" w:color="auto" w:fill="D9D9D9" w:themeFill="background1" w:themeFillShade="D9"/>
            <w:vAlign w:val="center"/>
            <w:hideMark/>
          </w:tcPr>
          <w:p w14:paraId="750081FF" w14:textId="4F46FE85" w:rsidR="00A96CFB" w:rsidRPr="00B65CBC" w:rsidRDefault="00A96CFB" w:rsidP="00A96CFB">
            <w:pPr>
              <w:jc w:val="right"/>
              <w:rPr>
                <w:rFonts w:ascii="Arial" w:hAnsi="Arial" w:cs="Arial"/>
                <w:b/>
                <w:bCs/>
                <w:sz w:val="20"/>
                <w:szCs w:val="20"/>
                <w:lang w:val="fr-FR"/>
              </w:rPr>
            </w:pPr>
            <w:r w:rsidRPr="00B65CBC">
              <w:rPr>
                <w:rFonts w:ascii="Arial" w:hAnsi="Arial" w:cs="Arial"/>
                <w:b/>
                <w:bCs/>
                <w:sz w:val="20"/>
                <w:szCs w:val="20"/>
                <w:lang w:val="fr-FR"/>
              </w:rPr>
              <w:t>338</w:t>
            </w:r>
            <w:r w:rsidR="00194019" w:rsidRPr="00B65CBC">
              <w:rPr>
                <w:rFonts w:ascii="Arial" w:hAnsi="Arial" w:cs="Arial"/>
                <w:b/>
                <w:bCs/>
                <w:sz w:val="20"/>
                <w:szCs w:val="20"/>
                <w:lang w:val="fr-FR"/>
              </w:rPr>
              <w:t> </w:t>
            </w:r>
            <w:r w:rsidRPr="00B65CBC">
              <w:rPr>
                <w:rFonts w:ascii="Arial" w:hAnsi="Arial" w:cs="Arial"/>
                <w:b/>
                <w:bCs/>
                <w:sz w:val="20"/>
                <w:szCs w:val="20"/>
                <w:lang w:val="fr-FR"/>
              </w:rPr>
              <w:t>250</w:t>
            </w:r>
            <w:r w:rsidR="00194019" w:rsidRPr="00B65CBC">
              <w:rPr>
                <w:rFonts w:ascii="Arial" w:hAnsi="Arial" w:cs="Arial"/>
                <w:b/>
                <w:bCs/>
                <w:sz w:val="20"/>
                <w:szCs w:val="20"/>
                <w:lang w:val="fr-FR"/>
              </w:rPr>
              <w:t> </w:t>
            </w:r>
            <w:r w:rsidRPr="00B65CBC">
              <w:rPr>
                <w:rFonts w:ascii="Arial" w:hAnsi="Arial" w:cs="Arial"/>
                <w:b/>
                <w:bCs/>
                <w:sz w:val="20"/>
                <w:szCs w:val="20"/>
                <w:lang w:val="fr-FR"/>
              </w:rPr>
              <w:t>$</w:t>
            </w:r>
          </w:p>
        </w:tc>
        <w:tc>
          <w:tcPr>
            <w:tcW w:w="1705" w:type="dxa"/>
            <w:shd w:val="clear" w:color="auto" w:fill="D9D9D9" w:themeFill="background1" w:themeFillShade="D9"/>
            <w:vAlign w:val="center"/>
            <w:hideMark/>
          </w:tcPr>
          <w:p w14:paraId="15194A42" w14:textId="719F0250" w:rsidR="00A96CFB" w:rsidRPr="00B65CBC" w:rsidRDefault="00A96CFB" w:rsidP="00A96CFB">
            <w:pPr>
              <w:jc w:val="right"/>
              <w:rPr>
                <w:rFonts w:ascii="Arial" w:hAnsi="Arial" w:cs="Arial"/>
                <w:b/>
                <w:bCs/>
                <w:iCs/>
                <w:sz w:val="20"/>
                <w:szCs w:val="20"/>
                <w:lang w:val="fr-FR"/>
              </w:rPr>
            </w:pPr>
            <w:r w:rsidRPr="00B65CBC">
              <w:rPr>
                <w:rFonts w:ascii="Arial" w:hAnsi="Arial" w:cs="Arial"/>
                <w:b/>
                <w:bCs/>
                <w:iCs/>
                <w:sz w:val="20"/>
                <w:szCs w:val="20"/>
                <w:lang w:val="fr-FR"/>
              </w:rPr>
              <w:t>290</w:t>
            </w:r>
            <w:r w:rsidR="00194019" w:rsidRPr="00B65CBC">
              <w:rPr>
                <w:rFonts w:ascii="Arial" w:hAnsi="Arial" w:cs="Arial"/>
                <w:b/>
                <w:bCs/>
                <w:iCs/>
                <w:sz w:val="20"/>
                <w:szCs w:val="20"/>
                <w:lang w:val="fr-FR"/>
              </w:rPr>
              <w:t> </w:t>
            </w:r>
            <w:r w:rsidRPr="00B65CBC">
              <w:rPr>
                <w:rFonts w:ascii="Arial" w:hAnsi="Arial" w:cs="Arial"/>
                <w:b/>
                <w:bCs/>
                <w:iCs/>
                <w:sz w:val="20"/>
                <w:szCs w:val="20"/>
                <w:lang w:val="fr-FR"/>
              </w:rPr>
              <w:t>000</w:t>
            </w:r>
            <w:r w:rsidR="00194019" w:rsidRPr="00B65CBC">
              <w:rPr>
                <w:rFonts w:ascii="Arial" w:hAnsi="Arial" w:cs="Arial"/>
                <w:b/>
                <w:bCs/>
                <w:iCs/>
                <w:sz w:val="20"/>
                <w:szCs w:val="20"/>
                <w:lang w:val="fr-FR"/>
              </w:rPr>
              <w:t> </w:t>
            </w:r>
            <w:r w:rsidRPr="00B65CBC">
              <w:rPr>
                <w:rFonts w:ascii="Arial" w:hAnsi="Arial" w:cs="Arial"/>
                <w:b/>
                <w:bCs/>
                <w:iCs/>
                <w:sz w:val="20"/>
                <w:szCs w:val="20"/>
                <w:lang w:val="fr-FR"/>
              </w:rPr>
              <w:t>$</w:t>
            </w:r>
          </w:p>
        </w:tc>
      </w:tr>
      <w:tr w:rsidR="00A96CFB" w:rsidRPr="00B65CBC" w14:paraId="62DF8750" w14:textId="77777777" w:rsidTr="009F6EEB">
        <w:trPr>
          <w:cantSplit/>
          <w:trHeight w:val="780"/>
          <w:jc w:val="center"/>
        </w:trPr>
        <w:tc>
          <w:tcPr>
            <w:tcW w:w="4112" w:type="dxa"/>
            <w:shd w:val="clear" w:color="auto" w:fill="auto"/>
            <w:vAlign w:val="center"/>
            <w:hideMark/>
          </w:tcPr>
          <w:p w14:paraId="428742CA" w14:textId="2EF9BDA8" w:rsidR="00A96CFB" w:rsidRPr="00B65CBC" w:rsidRDefault="00A96CFB" w:rsidP="0051717D">
            <w:pPr>
              <w:rPr>
                <w:rFonts w:ascii="Arial" w:hAnsi="Arial" w:cs="Arial"/>
                <w:sz w:val="20"/>
                <w:szCs w:val="20"/>
                <w:lang w:val="fr-FR"/>
              </w:rPr>
            </w:pPr>
            <w:r w:rsidRPr="00B65CBC">
              <w:rPr>
                <w:rFonts w:ascii="Arial" w:hAnsi="Arial" w:cs="Arial"/>
                <w:color w:val="000000"/>
                <w:sz w:val="20"/>
                <w:szCs w:val="20"/>
                <w:lang w:val="fr-FR"/>
              </w:rPr>
              <w:t>Développement de fonctionnalités en ligne et de pages Web dédiées</w:t>
            </w:r>
          </w:p>
        </w:tc>
        <w:tc>
          <w:tcPr>
            <w:tcW w:w="3878" w:type="dxa"/>
            <w:shd w:val="clear" w:color="auto" w:fill="auto"/>
            <w:vAlign w:val="center"/>
            <w:hideMark/>
          </w:tcPr>
          <w:p w14:paraId="5A1A28CE" w14:textId="16C7C1C3" w:rsidR="00A96CFB" w:rsidRPr="00B65CBC" w:rsidRDefault="00A96CFB" w:rsidP="0051717D">
            <w:pPr>
              <w:rPr>
                <w:rFonts w:ascii="Arial" w:hAnsi="Arial" w:cs="Arial"/>
                <w:sz w:val="20"/>
                <w:szCs w:val="20"/>
                <w:lang w:val="fr-FR"/>
              </w:rPr>
            </w:pPr>
            <w:r w:rsidRPr="00B65CBC">
              <w:rPr>
                <w:rStyle w:val="normal0020tablechar"/>
                <w:rFonts w:ascii="Arial" w:hAnsi="Arial" w:cs="Arial"/>
                <w:sz w:val="20"/>
                <w:szCs w:val="20"/>
                <w:lang w:val="fr-FR"/>
              </w:rPr>
              <w:t>Services professionnels pour la gestion du système de connaissances et le développement de logiciels</w:t>
            </w:r>
          </w:p>
        </w:tc>
        <w:tc>
          <w:tcPr>
            <w:tcW w:w="2042" w:type="dxa"/>
            <w:shd w:val="clear" w:color="auto" w:fill="auto"/>
            <w:vAlign w:val="center"/>
            <w:hideMark/>
          </w:tcPr>
          <w:p w14:paraId="389C567B" w14:textId="7C28BAA2" w:rsidR="00A96CFB" w:rsidRPr="00B65CBC" w:rsidRDefault="00A96CFB" w:rsidP="00A96CFB">
            <w:pPr>
              <w:jc w:val="right"/>
              <w:rPr>
                <w:rFonts w:ascii="Arial" w:hAnsi="Arial" w:cs="Arial"/>
                <w:sz w:val="20"/>
                <w:szCs w:val="20"/>
                <w:lang w:val="fr-FR"/>
              </w:rPr>
            </w:pPr>
            <w:r w:rsidRPr="00B65CBC">
              <w:rPr>
                <w:rFonts w:ascii="Arial" w:hAnsi="Arial" w:cs="Arial"/>
                <w:sz w:val="20"/>
                <w:szCs w:val="20"/>
                <w:lang w:val="fr-FR"/>
              </w:rPr>
              <w:t>338</w:t>
            </w:r>
            <w:r w:rsidR="00194019" w:rsidRPr="00B65CBC">
              <w:rPr>
                <w:rFonts w:ascii="Arial" w:hAnsi="Arial" w:cs="Arial"/>
                <w:sz w:val="20"/>
                <w:szCs w:val="20"/>
                <w:lang w:val="fr-FR"/>
              </w:rPr>
              <w:t> </w:t>
            </w:r>
            <w:r w:rsidRPr="00B65CBC">
              <w:rPr>
                <w:rFonts w:ascii="Arial" w:hAnsi="Arial" w:cs="Arial"/>
                <w:sz w:val="20"/>
                <w:szCs w:val="20"/>
                <w:lang w:val="fr-FR"/>
              </w:rPr>
              <w:t>250</w:t>
            </w:r>
            <w:r w:rsidR="00194019" w:rsidRPr="00B65CBC">
              <w:rPr>
                <w:rFonts w:ascii="Arial" w:hAnsi="Arial" w:cs="Arial"/>
                <w:sz w:val="20"/>
                <w:szCs w:val="20"/>
                <w:lang w:val="fr-FR"/>
              </w:rPr>
              <w:t> </w:t>
            </w:r>
            <w:r w:rsidRPr="00B65CBC">
              <w:rPr>
                <w:rFonts w:ascii="Arial" w:hAnsi="Arial" w:cs="Arial"/>
                <w:sz w:val="20"/>
                <w:szCs w:val="20"/>
                <w:lang w:val="fr-FR"/>
              </w:rPr>
              <w:t>$</w:t>
            </w:r>
          </w:p>
        </w:tc>
        <w:tc>
          <w:tcPr>
            <w:tcW w:w="1705" w:type="dxa"/>
            <w:shd w:val="clear" w:color="auto" w:fill="auto"/>
            <w:vAlign w:val="center"/>
            <w:hideMark/>
          </w:tcPr>
          <w:p w14:paraId="2E17D1FC" w14:textId="418CD78E" w:rsidR="00A96CFB" w:rsidRPr="00B65CBC" w:rsidRDefault="00A96CFB" w:rsidP="00A96CFB">
            <w:pPr>
              <w:jc w:val="right"/>
              <w:rPr>
                <w:rFonts w:ascii="Arial" w:hAnsi="Arial" w:cs="Arial"/>
                <w:iCs/>
                <w:sz w:val="20"/>
                <w:szCs w:val="20"/>
                <w:lang w:val="fr-FR"/>
              </w:rPr>
            </w:pPr>
            <w:r w:rsidRPr="00B65CBC">
              <w:rPr>
                <w:rFonts w:ascii="Arial" w:hAnsi="Arial" w:cs="Arial"/>
                <w:iCs/>
                <w:sz w:val="20"/>
                <w:szCs w:val="20"/>
                <w:lang w:val="fr-FR"/>
              </w:rPr>
              <w:t>290</w:t>
            </w:r>
            <w:r w:rsidR="00194019" w:rsidRPr="00B65CBC">
              <w:rPr>
                <w:rFonts w:ascii="Arial" w:hAnsi="Arial" w:cs="Arial"/>
                <w:iCs/>
                <w:sz w:val="20"/>
                <w:szCs w:val="20"/>
                <w:lang w:val="fr-FR"/>
              </w:rPr>
              <w:t> </w:t>
            </w:r>
            <w:r w:rsidRPr="00B65CBC">
              <w:rPr>
                <w:rFonts w:ascii="Arial" w:hAnsi="Arial" w:cs="Arial"/>
                <w:iCs/>
                <w:sz w:val="20"/>
                <w:szCs w:val="20"/>
                <w:lang w:val="fr-FR"/>
              </w:rPr>
              <w:t>000</w:t>
            </w:r>
            <w:r w:rsidR="00194019" w:rsidRPr="00B65CBC">
              <w:rPr>
                <w:rFonts w:ascii="Arial" w:hAnsi="Arial" w:cs="Arial"/>
                <w:iCs/>
                <w:sz w:val="20"/>
                <w:szCs w:val="20"/>
                <w:lang w:val="fr-FR"/>
              </w:rPr>
              <w:t> </w:t>
            </w:r>
            <w:r w:rsidRPr="00B65CBC">
              <w:rPr>
                <w:rFonts w:ascii="Arial" w:hAnsi="Arial" w:cs="Arial"/>
                <w:iCs/>
                <w:sz w:val="20"/>
                <w:szCs w:val="20"/>
                <w:lang w:val="fr-FR"/>
              </w:rPr>
              <w:t>$</w:t>
            </w:r>
          </w:p>
        </w:tc>
      </w:tr>
      <w:tr w:rsidR="00A96CFB" w:rsidRPr="00B65CBC" w14:paraId="073435A9" w14:textId="77777777" w:rsidTr="009F6EEB">
        <w:trPr>
          <w:cantSplit/>
          <w:trHeight w:val="300"/>
          <w:jc w:val="center"/>
        </w:trPr>
        <w:tc>
          <w:tcPr>
            <w:tcW w:w="7990" w:type="dxa"/>
            <w:gridSpan w:val="2"/>
            <w:shd w:val="clear" w:color="auto" w:fill="D9D9D9" w:themeFill="background1" w:themeFillShade="D9"/>
            <w:vAlign w:val="center"/>
            <w:hideMark/>
          </w:tcPr>
          <w:p w14:paraId="3456EEF1" w14:textId="77777777" w:rsidR="00A96CFB" w:rsidRPr="00B65CBC" w:rsidRDefault="00A96CFB" w:rsidP="0051717D">
            <w:pPr>
              <w:rPr>
                <w:rFonts w:ascii="Arial" w:hAnsi="Arial" w:cs="Arial"/>
                <w:b/>
                <w:bCs/>
                <w:sz w:val="20"/>
                <w:szCs w:val="20"/>
                <w:lang w:val="fr-FR"/>
              </w:rPr>
            </w:pPr>
            <w:r w:rsidRPr="00B65CBC">
              <w:rPr>
                <w:rFonts w:ascii="Arial" w:hAnsi="Arial" w:cs="Arial"/>
                <w:b/>
                <w:bCs/>
                <w:sz w:val="20"/>
                <w:szCs w:val="20"/>
                <w:lang w:val="fr-FR"/>
              </w:rPr>
              <w:t>TOTAL</w:t>
            </w:r>
          </w:p>
        </w:tc>
        <w:tc>
          <w:tcPr>
            <w:tcW w:w="2042" w:type="dxa"/>
            <w:shd w:val="clear" w:color="auto" w:fill="D9D9D9" w:themeFill="background1" w:themeFillShade="D9"/>
            <w:vAlign w:val="center"/>
            <w:hideMark/>
          </w:tcPr>
          <w:p w14:paraId="06195617" w14:textId="5336426B" w:rsidR="00A96CFB" w:rsidRPr="00B65CBC" w:rsidRDefault="00A96CFB" w:rsidP="00A96CFB">
            <w:pPr>
              <w:jc w:val="right"/>
              <w:rPr>
                <w:rFonts w:ascii="Arial" w:hAnsi="Arial" w:cs="Arial"/>
                <w:b/>
                <w:bCs/>
                <w:sz w:val="20"/>
                <w:szCs w:val="20"/>
                <w:lang w:val="fr-FR"/>
              </w:rPr>
            </w:pPr>
            <w:r w:rsidRPr="00B65CBC">
              <w:rPr>
                <w:rFonts w:ascii="Arial" w:hAnsi="Arial" w:cs="Arial"/>
                <w:b/>
                <w:bCs/>
                <w:sz w:val="20"/>
                <w:szCs w:val="20"/>
                <w:lang w:val="fr-FR"/>
              </w:rPr>
              <w:t>977</w:t>
            </w:r>
            <w:r w:rsidR="00194019" w:rsidRPr="00B65CBC">
              <w:rPr>
                <w:rFonts w:ascii="Arial" w:hAnsi="Arial" w:cs="Arial"/>
                <w:b/>
                <w:bCs/>
                <w:sz w:val="20"/>
                <w:szCs w:val="20"/>
                <w:lang w:val="fr-FR"/>
              </w:rPr>
              <w:t> </w:t>
            </w:r>
            <w:r w:rsidRPr="00B65CBC">
              <w:rPr>
                <w:rFonts w:ascii="Arial" w:hAnsi="Arial" w:cs="Arial"/>
                <w:b/>
                <w:bCs/>
                <w:sz w:val="20"/>
                <w:szCs w:val="20"/>
                <w:lang w:val="fr-FR"/>
              </w:rPr>
              <w:t>913</w:t>
            </w:r>
            <w:r w:rsidR="00194019" w:rsidRPr="00B65CBC">
              <w:rPr>
                <w:rFonts w:ascii="Arial" w:hAnsi="Arial" w:cs="Arial"/>
                <w:b/>
                <w:bCs/>
                <w:sz w:val="20"/>
                <w:szCs w:val="20"/>
                <w:lang w:val="fr-FR"/>
              </w:rPr>
              <w:t> </w:t>
            </w:r>
            <w:r w:rsidRPr="00B65CBC">
              <w:rPr>
                <w:rFonts w:ascii="Arial" w:hAnsi="Arial" w:cs="Arial"/>
                <w:b/>
                <w:bCs/>
                <w:sz w:val="20"/>
                <w:szCs w:val="20"/>
                <w:lang w:val="fr-FR"/>
              </w:rPr>
              <w:t>$</w:t>
            </w:r>
          </w:p>
        </w:tc>
        <w:tc>
          <w:tcPr>
            <w:tcW w:w="1705" w:type="dxa"/>
            <w:shd w:val="clear" w:color="auto" w:fill="D9D9D9" w:themeFill="background1" w:themeFillShade="D9"/>
            <w:vAlign w:val="center"/>
            <w:hideMark/>
          </w:tcPr>
          <w:p w14:paraId="29D90F7F" w14:textId="639EE8EC" w:rsidR="00A96CFB" w:rsidRPr="00B65CBC" w:rsidRDefault="00A96CFB" w:rsidP="00A96CFB">
            <w:pPr>
              <w:jc w:val="right"/>
              <w:rPr>
                <w:rFonts w:ascii="Arial" w:hAnsi="Arial" w:cs="Arial"/>
                <w:b/>
                <w:bCs/>
                <w:iCs/>
                <w:sz w:val="20"/>
                <w:szCs w:val="20"/>
                <w:lang w:val="fr-FR"/>
              </w:rPr>
            </w:pPr>
            <w:r w:rsidRPr="00B65CBC">
              <w:rPr>
                <w:rFonts w:ascii="Arial" w:hAnsi="Arial" w:cs="Arial"/>
                <w:b/>
                <w:bCs/>
                <w:iCs/>
                <w:sz w:val="20"/>
                <w:szCs w:val="20"/>
                <w:lang w:val="fr-FR"/>
              </w:rPr>
              <w:t>1 107</w:t>
            </w:r>
            <w:r w:rsidR="00194019" w:rsidRPr="00B65CBC">
              <w:rPr>
                <w:rFonts w:ascii="Arial" w:hAnsi="Arial" w:cs="Arial"/>
                <w:b/>
                <w:bCs/>
                <w:iCs/>
                <w:sz w:val="20"/>
                <w:szCs w:val="20"/>
                <w:lang w:val="fr-FR"/>
              </w:rPr>
              <w:t> </w:t>
            </w:r>
            <w:r w:rsidRPr="00B65CBC">
              <w:rPr>
                <w:rFonts w:ascii="Arial" w:hAnsi="Arial" w:cs="Arial"/>
                <w:b/>
                <w:bCs/>
                <w:iCs/>
                <w:sz w:val="20"/>
                <w:szCs w:val="20"/>
                <w:lang w:val="fr-FR"/>
              </w:rPr>
              <w:t>811</w:t>
            </w:r>
            <w:r w:rsidR="00194019" w:rsidRPr="00B65CBC">
              <w:rPr>
                <w:rFonts w:ascii="Arial" w:hAnsi="Arial" w:cs="Arial"/>
                <w:b/>
                <w:bCs/>
                <w:iCs/>
                <w:sz w:val="20"/>
                <w:szCs w:val="20"/>
                <w:lang w:val="fr-FR"/>
              </w:rPr>
              <w:t> </w:t>
            </w:r>
            <w:r w:rsidRPr="00B65CBC">
              <w:rPr>
                <w:rFonts w:ascii="Arial" w:hAnsi="Arial" w:cs="Arial"/>
                <w:b/>
                <w:bCs/>
                <w:iCs/>
                <w:sz w:val="20"/>
                <w:szCs w:val="20"/>
                <w:lang w:val="fr-FR"/>
              </w:rPr>
              <w:t>$</w:t>
            </w:r>
          </w:p>
        </w:tc>
      </w:tr>
      <w:tr w:rsidR="00A96CFB" w:rsidRPr="00B65CBC" w14:paraId="68377CAF" w14:textId="77777777" w:rsidTr="009F6EEB">
        <w:trPr>
          <w:cantSplit/>
          <w:trHeight w:val="300"/>
          <w:jc w:val="center"/>
        </w:trPr>
        <w:tc>
          <w:tcPr>
            <w:tcW w:w="7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ECC90" w14:textId="14E99C28" w:rsidR="00A96CFB" w:rsidRPr="00B65CBC" w:rsidRDefault="00A96CFB" w:rsidP="000323DC">
            <w:pPr>
              <w:rPr>
                <w:rFonts w:ascii="Arial" w:hAnsi="Arial" w:cs="Arial"/>
                <w:b/>
                <w:bCs/>
                <w:sz w:val="20"/>
                <w:szCs w:val="20"/>
                <w:lang w:val="fr-FR"/>
              </w:rPr>
            </w:pPr>
            <w:r w:rsidRPr="00B65CBC">
              <w:rPr>
                <w:rFonts w:ascii="Arial" w:hAnsi="Arial" w:cs="Arial"/>
                <w:b/>
                <w:bCs/>
                <w:sz w:val="20"/>
                <w:szCs w:val="20"/>
                <w:lang w:val="fr-FR"/>
              </w:rPr>
              <w:t>Non alloués</w:t>
            </w:r>
          </w:p>
        </w:tc>
        <w:tc>
          <w:tcPr>
            <w:tcW w:w="2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A923F" w14:textId="625A8EB5" w:rsidR="00A96CFB" w:rsidRPr="00B65CBC" w:rsidRDefault="00A96CFB" w:rsidP="00A96CFB">
            <w:pPr>
              <w:jc w:val="right"/>
              <w:rPr>
                <w:rFonts w:ascii="Arial" w:hAnsi="Arial" w:cs="Arial"/>
                <w:b/>
                <w:bCs/>
                <w:sz w:val="20"/>
                <w:szCs w:val="20"/>
                <w:lang w:val="fr-FR"/>
              </w:rPr>
            </w:pPr>
            <w:r w:rsidRPr="00B65CBC">
              <w:rPr>
                <w:rFonts w:ascii="Arial" w:hAnsi="Arial" w:cs="Arial"/>
                <w:b/>
                <w:bCs/>
                <w:sz w:val="20"/>
                <w:szCs w:val="20"/>
                <w:lang w:val="fr-FR"/>
              </w:rPr>
              <w:t>129</w:t>
            </w:r>
            <w:r w:rsidR="00194019" w:rsidRPr="00B65CBC">
              <w:rPr>
                <w:rFonts w:ascii="Arial" w:hAnsi="Arial" w:cs="Arial"/>
                <w:b/>
                <w:bCs/>
                <w:sz w:val="20"/>
                <w:szCs w:val="20"/>
                <w:lang w:val="fr-FR"/>
              </w:rPr>
              <w:t> </w:t>
            </w:r>
            <w:r w:rsidRPr="00B65CBC">
              <w:rPr>
                <w:rFonts w:ascii="Arial" w:hAnsi="Arial" w:cs="Arial"/>
                <w:b/>
                <w:bCs/>
                <w:sz w:val="20"/>
                <w:szCs w:val="20"/>
                <w:lang w:val="fr-FR"/>
              </w:rPr>
              <w:t>898</w:t>
            </w:r>
            <w:r w:rsidR="00194019" w:rsidRPr="00B65CBC">
              <w:rPr>
                <w:rFonts w:ascii="Arial" w:hAnsi="Arial" w:cs="Arial"/>
                <w:b/>
                <w:bCs/>
                <w:sz w:val="20"/>
                <w:szCs w:val="20"/>
                <w:lang w:val="fr-FR"/>
              </w:rPr>
              <w:t> </w:t>
            </w:r>
            <w:r w:rsidRPr="00B65CBC">
              <w:rPr>
                <w:rFonts w:ascii="Arial" w:hAnsi="Arial" w:cs="Arial"/>
                <w:b/>
                <w:bCs/>
                <w:sz w:val="20"/>
                <w:szCs w:val="20"/>
                <w:lang w:val="fr-FR"/>
              </w:rPr>
              <w:t>$</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93DE0" w14:textId="1C0AD09A" w:rsidR="00A96CFB" w:rsidRPr="00B65CBC" w:rsidRDefault="00A96CFB" w:rsidP="000323DC">
            <w:pPr>
              <w:jc w:val="right"/>
              <w:rPr>
                <w:rFonts w:ascii="Arial" w:hAnsi="Arial" w:cs="Arial"/>
                <w:b/>
                <w:bCs/>
                <w:iCs/>
                <w:sz w:val="20"/>
                <w:szCs w:val="20"/>
                <w:lang w:val="fr-FR"/>
              </w:rPr>
            </w:pPr>
            <w:r w:rsidRPr="00B65CBC">
              <w:rPr>
                <w:rFonts w:ascii="Arial" w:hAnsi="Arial" w:cs="Arial"/>
                <w:b/>
                <w:bCs/>
                <w:iCs/>
                <w:sz w:val="20"/>
                <w:szCs w:val="20"/>
                <w:lang w:val="fr-FR"/>
              </w:rPr>
              <w:t>0$</w:t>
            </w:r>
          </w:p>
        </w:tc>
      </w:tr>
    </w:tbl>
    <w:p w14:paraId="78FB428C" w14:textId="77777777" w:rsidR="00236D40" w:rsidRPr="00B65CBC" w:rsidRDefault="00236D40" w:rsidP="001602BD">
      <w:pPr>
        <w:pStyle w:val="Paragraph"/>
        <w:numPr>
          <w:ilvl w:val="0"/>
          <w:numId w:val="0"/>
        </w:numPr>
        <w:spacing w:before="0" w:after="0" w:line="20" w:lineRule="exact"/>
      </w:pPr>
    </w:p>
    <w:sectPr w:rsidR="00236D40" w:rsidRPr="00B65CBC" w:rsidSect="0032260E">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B181" w14:textId="77777777" w:rsidR="00B65CBC" w:rsidRDefault="00B65CBC" w:rsidP="008724E5">
      <w:r>
        <w:separator/>
      </w:r>
    </w:p>
  </w:endnote>
  <w:endnote w:type="continuationSeparator" w:id="0">
    <w:p w14:paraId="6B1B6A8B" w14:textId="77777777" w:rsidR="00B65CBC" w:rsidRDefault="00B65CB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914B" w14:textId="77777777" w:rsidR="00B65CBC" w:rsidRDefault="00B65CBC" w:rsidP="008724E5">
      <w:r>
        <w:separator/>
      </w:r>
    </w:p>
  </w:footnote>
  <w:footnote w:type="continuationSeparator" w:id="0">
    <w:p w14:paraId="156AB21D" w14:textId="77777777" w:rsidR="00B65CBC" w:rsidRDefault="00B65CBC" w:rsidP="008724E5">
      <w:r>
        <w:continuationSeparator/>
      </w:r>
    </w:p>
  </w:footnote>
  <w:footnote w:id="1">
    <w:p w14:paraId="6DD2A2C5" w14:textId="5A680E97" w:rsidR="00B65CBC" w:rsidRPr="00F42549" w:rsidRDefault="00B65CBC">
      <w:pPr>
        <w:pStyle w:val="FootnoteText"/>
        <w:rPr>
          <w:lang w:val="fr-FR"/>
        </w:rPr>
      </w:pPr>
      <w:r>
        <w:rPr>
          <w:rStyle w:val="FootnoteReference"/>
        </w:rPr>
        <w:footnoteRef/>
      </w:r>
      <w:r w:rsidRPr="00F42549">
        <w:rPr>
          <w:lang w:val="fr-FR"/>
        </w:rPr>
        <w:t xml:space="preserve"> </w:t>
      </w:r>
      <w:r>
        <w:rPr>
          <w:lang w:val="fr-FR"/>
        </w:rPr>
        <w:t>Antigua-et-Barbuda, Bahamas, Barbade, Belize, Curaçao, Dominique, Grenade, Guyana, Iles Caïmans, Iles Vierges Britanniques, Jamaïque, Sainte-Lucie, Saint-Kitts-et-Nevis, Saint-Martin, Saint-Vincent-et-les-Grenadines, Suriname, Trinité-et-Tobago</w:t>
      </w:r>
    </w:p>
  </w:footnote>
  <w:footnote w:id="2">
    <w:p w14:paraId="203301D4" w14:textId="704ECC34" w:rsidR="00B65CBC" w:rsidRPr="005C4A4E" w:rsidRDefault="00B65CBC">
      <w:pPr>
        <w:pStyle w:val="FootnoteText"/>
        <w:rPr>
          <w:lang w:val="fr-FR"/>
        </w:rPr>
      </w:pPr>
      <w:r>
        <w:rPr>
          <w:rStyle w:val="FootnoteReference"/>
        </w:rPr>
        <w:footnoteRef/>
      </w:r>
      <w:r w:rsidRPr="005C4A4E">
        <w:rPr>
          <w:lang w:val="fr-FR"/>
        </w:rPr>
        <w:t xml:space="preserve"> </w:t>
      </w:r>
      <w:r>
        <w:rPr>
          <w:lang w:val="fr-FR"/>
        </w:rPr>
        <w:t>Pourcentages sur tous les fonds alloués pour 2012-2013.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9A1D" w14:textId="6B079C2F" w:rsidR="00B65CBC" w:rsidRPr="0036787A" w:rsidRDefault="00B65CBC">
    <w:pPr>
      <w:pStyle w:val="Header"/>
      <w:rPr>
        <w:rFonts w:ascii="Arial" w:hAnsi="Arial" w:cs="Arial"/>
        <w:sz w:val="20"/>
        <w:szCs w:val="20"/>
      </w:rPr>
    </w:pPr>
    <w:r w:rsidRPr="0036787A">
      <w:rPr>
        <w:rFonts w:ascii="Arial" w:hAnsi="Arial" w:cs="Arial"/>
        <w:sz w:val="20"/>
        <w:szCs w:val="20"/>
      </w:rPr>
      <w:t>ITH/1</w:t>
    </w:r>
    <w:r>
      <w:rPr>
        <w:rFonts w:ascii="Arial" w:hAnsi="Arial" w:cs="Arial"/>
        <w:sz w:val="20"/>
        <w:szCs w:val="20"/>
      </w:rPr>
      <w:t>3/8</w:t>
    </w:r>
    <w:r w:rsidRPr="0036787A">
      <w:rPr>
        <w:rFonts w:ascii="Arial" w:hAnsi="Arial" w:cs="Arial"/>
        <w:sz w:val="20"/>
        <w:szCs w:val="20"/>
      </w:rPr>
      <w:t>.COM </w:t>
    </w:r>
    <w:r>
      <w:rPr>
        <w:rFonts w:ascii="Arial" w:hAnsi="Arial" w:cs="Arial"/>
        <w:sz w:val="20"/>
        <w:szCs w:val="20"/>
      </w:rPr>
      <w:t>2</w:t>
    </w:r>
    <w:r w:rsidRPr="0036787A">
      <w:rPr>
        <w:rFonts w:ascii="Arial" w:hAnsi="Arial" w:cs="Arial"/>
        <w:sz w:val="20"/>
        <w:szCs w:val="20"/>
      </w:rPr>
      <w:t>.BUR/</w:t>
    </w:r>
    <w:r>
      <w:rPr>
        <w:rFonts w:ascii="Arial" w:hAnsi="Arial" w:cs="Arial"/>
        <w:sz w:val="20"/>
        <w:szCs w:val="20"/>
      </w:rPr>
      <w:t>1</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A8175F">
      <w:rPr>
        <w:rFonts w:ascii="Arial" w:hAnsi="Arial" w:cs="Arial"/>
        <w:noProof/>
        <w:sz w:val="20"/>
        <w:szCs w:val="20"/>
      </w:rPr>
      <w:t>8</w:t>
    </w:r>
    <w:r w:rsidRPr="0036787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744C" w14:textId="1DFF9616" w:rsidR="00B65CBC" w:rsidRPr="0036787A" w:rsidRDefault="00B65CBC" w:rsidP="005A4537">
    <w:pPr>
      <w:pStyle w:val="Header"/>
      <w:jc w:val="right"/>
      <w:rPr>
        <w:rFonts w:ascii="Arial" w:hAnsi="Arial" w:cs="Arial"/>
        <w:sz w:val="20"/>
        <w:szCs w:val="20"/>
      </w:rPr>
    </w:pPr>
    <w:r w:rsidRPr="0036787A">
      <w:rPr>
        <w:rFonts w:ascii="Arial" w:hAnsi="Arial" w:cs="Arial"/>
        <w:sz w:val="20"/>
        <w:szCs w:val="20"/>
      </w:rPr>
      <w:t>ITH/1</w:t>
    </w:r>
    <w:r>
      <w:rPr>
        <w:rFonts w:ascii="Arial" w:hAnsi="Arial" w:cs="Arial"/>
        <w:sz w:val="20"/>
        <w:szCs w:val="20"/>
      </w:rPr>
      <w:t>3/8.COM 2</w:t>
    </w:r>
    <w:r w:rsidRPr="0036787A">
      <w:rPr>
        <w:rFonts w:ascii="Arial" w:hAnsi="Arial" w:cs="Arial"/>
        <w:sz w:val="20"/>
        <w:szCs w:val="20"/>
      </w:rPr>
      <w:t>.BUR/</w:t>
    </w:r>
    <w:r>
      <w:rPr>
        <w:rFonts w:ascii="Arial" w:hAnsi="Arial" w:cs="Arial"/>
        <w:sz w:val="20"/>
        <w:szCs w:val="20"/>
      </w:rPr>
      <w:t>1</w:t>
    </w:r>
    <w:r w:rsidRPr="0036787A">
      <w:rPr>
        <w:rFonts w:ascii="Arial" w:hAnsi="Arial" w:cs="Arial"/>
        <w:sz w:val="20"/>
        <w:szCs w:val="20"/>
      </w:rPr>
      <w:t xml:space="preserve"> – page </w:t>
    </w:r>
    <w:r w:rsidRPr="0036787A">
      <w:rPr>
        <w:rFonts w:ascii="Arial" w:hAnsi="Arial" w:cs="Arial"/>
        <w:sz w:val="20"/>
        <w:szCs w:val="20"/>
      </w:rPr>
      <w:fldChar w:fldCharType="begin"/>
    </w:r>
    <w:r w:rsidRPr="0036787A">
      <w:rPr>
        <w:rFonts w:ascii="Arial" w:hAnsi="Arial" w:cs="Arial"/>
        <w:sz w:val="20"/>
        <w:szCs w:val="20"/>
      </w:rPr>
      <w:instrText xml:space="preserve"> PAGE   \* MERGEFORMAT </w:instrText>
    </w:r>
    <w:r w:rsidRPr="0036787A">
      <w:rPr>
        <w:rFonts w:ascii="Arial" w:hAnsi="Arial" w:cs="Arial"/>
        <w:sz w:val="20"/>
        <w:szCs w:val="20"/>
      </w:rPr>
      <w:fldChar w:fldCharType="separate"/>
    </w:r>
    <w:r w:rsidR="00A8175F">
      <w:rPr>
        <w:rFonts w:ascii="Arial" w:hAnsi="Arial" w:cs="Arial"/>
        <w:noProof/>
        <w:sz w:val="20"/>
        <w:szCs w:val="20"/>
      </w:rPr>
      <w:t>9</w:t>
    </w:r>
    <w:r w:rsidRPr="0036787A">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2F9F" w14:textId="5485B886" w:rsidR="00B65CBC" w:rsidRPr="00B30353" w:rsidRDefault="00B65CBC" w:rsidP="004E0F0D">
    <w:pPr>
      <w:pStyle w:val="Header"/>
      <w:rPr>
        <w:lang w:val="fr-FR"/>
      </w:rPr>
    </w:pPr>
    <w:r w:rsidRPr="00B30353">
      <w:rPr>
        <w:rFonts w:ascii="Arial" w:hAnsi="Arial" w:cs="Arial"/>
        <w:b/>
        <w:noProof/>
        <w:sz w:val="44"/>
        <w:szCs w:val="44"/>
        <w:lang w:val="fr-FR"/>
      </w:rPr>
      <w:drawing>
        <wp:anchor distT="0" distB="0" distL="114300" distR="114300" simplePos="0" relativeHeight="251659264" behindDoc="0" locked="1" layoutInCell="1" allowOverlap="0" wp14:anchorId="2904D847" wp14:editId="47A24441">
          <wp:simplePos x="0" y="0"/>
          <wp:positionH relativeFrom="page">
            <wp:posOffset>352425</wp:posOffset>
          </wp:positionH>
          <wp:positionV relativeFrom="page">
            <wp:posOffset>271780</wp:posOffset>
          </wp:positionV>
          <wp:extent cx="2971800" cy="1400175"/>
          <wp:effectExtent l="0" t="0" r="0" b="9525"/>
          <wp:wrapSquare wrapText="bothSides"/>
          <wp:docPr id="4" name="Picture 4"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anchor>
      </w:drawing>
    </w:r>
  </w:p>
  <w:p w14:paraId="0A33E04D" w14:textId="77777777" w:rsidR="00B65CBC" w:rsidRPr="00556A8F" w:rsidRDefault="00B65CBC" w:rsidP="004E0F0D">
    <w:pPr>
      <w:pStyle w:val="Header"/>
      <w:spacing w:after="520"/>
      <w:jc w:val="right"/>
      <w:rPr>
        <w:rFonts w:ascii="Arial" w:hAnsi="Arial" w:cs="Arial"/>
        <w:b/>
        <w:sz w:val="44"/>
        <w:szCs w:val="44"/>
        <w:lang w:val="en-US"/>
      </w:rPr>
    </w:pPr>
    <w:r w:rsidRPr="00556A8F">
      <w:rPr>
        <w:rFonts w:ascii="Arial" w:hAnsi="Arial" w:cs="Arial"/>
        <w:b/>
        <w:sz w:val="44"/>
        <w:szCs w:val="44"/>
        <w:lang w:val="en-US"/>
      </w:rPr>
      <w:t>8 COM 2 BUR</w:t>
    </w:r>
  </w:p>
  <w:p w14:paraId="03308F11" w14:textId="77777777" w:rsidR="00B65CBC" w:rsidRPr="00556A8F" w:rsidRDefault="00B65CBC" w:rsidP="004E0F0D">
    <w:pPr>
      <w:jc w:val="right"/>
      <w:rPr>
        <w:rFonts w:ascii="Arial" w:hAnsi="Arial" w:cs="Arial"/>
        <w:b/>
        <w:sz w:val="22"/>
        <w:szCs w:val="22"/>
        <w:lang w:val="en-US"/>
      </w:rPr>
    </w:pPr>
    <w:r w:rsidRPr="00556A8F">
      <w:rPr>
        <w:rFonts w:ascii="Arial" w:hAnsi="Arial" w:cs="Arial"/>
        <w:b/>
        <w:sz w:val="22"/>
        <w:szCs w:val="22"/>
        <w:lang w:val="en-US"/>
      </w:rPr>
      <w:t>ITH/13/8.COM 2.BUR/1</w:t>
    </w:r>
  </w:p>
  <w:p w14:paraId="78ED2F47" w14:textId="7A595583" w:rsidR="00B65CBC" w:rsidRPr="00B30353" w:rsidRDefault="00B65CBC" w:rsidP="00D01982">
    <w:pPr>
      <w:jc w:val="right"/>
      <w:rPr>
        <w:rFonts w:ascii="Arial" w:hAnsi="Arial" w:cs="Arial"/>
        <w:b/>
        <w:sz w:val="22"/>
        <w:szCs w:val="22"/>
        <w:lang w:val="fr-FR"/>
      </w:rPr>
    </w:pPr>
    <w:r w:rsidRPr="00B30353">
      <w:rPr>
        <w:rFonts w:ascii="Arial" w:hAnsi="Arial" w:cs="Arial"/>
        <w:b/>
        <w:sz w:val="22"/>
        <w:szCs w:val="22"/>
        <w:lang w:val="fr-FR"/>
      </w:rPr>
      <w:t xml:space="preserve">Paris, </w:t>
    </w:r>
    <w:r w:rsidR="001D4859">
      <w:rPr>
        <w:rFonts w:ascii="Arial" w:hAnsi="Arial" w:cs="Arial"/>
        <w:b/>
        <w:sz w:val="22"/>
        <w:szCs w:val="22"/>
        <w:lang w:val="fr-FR"/>
      </w:rPr>
      <w:t>2 juillet 2013</w:t>
    </w:r>
  </w:p>
  <w:p w14:paraId="3E3BA82A" w14:textId="5F93D8E8" w:rsidR="00B65CBC" w:rsidRPr="00B30353" w:rsidRDefault="00B65CBC" w:rsidP="00D01982">
    <w:pPr>
      <w:jc w:val="right"/>
      <w:rPr>
        <w:rFonts w:ascii="Arial" w:hAnsi="Arial" w:cs="Arial"/>
        <w:b/>
        <w:sz w:val="22"/>
        <w:szCs w:val="22"/>
        <w:lang w:val="fr-FR"/>
      </w:rPr>
    </w:pPr>
    <w:r w:rsidRPr="00B30353">
      <w:rPr>
        <w:rFonts w:ascii="Arial" w:hAnsi="Arial" w:cs="Arial"/>
        <w:b/>
        <w:sz w:val="22"/>
        <w:szCs w:val="22"/>
        <w:lang w:val="fr-FR"/>
      </w:rPr>
      <w:t>Original: anglais</w:t>
    </w:r>
  </w:p>
  <w:p w14:paraId="11AF16EC" w14:textId="77777777" w:rsidR="00B65CBC" w:rsidRPr="00B30353" w:rsidRDefault="00B65CBC" w:rsidP="0054162C">
    <w:pPr>
      <w:tabs>
        <w:tab w:val="right" w:pos="3544"/>
      </w:tabs>
      <w:spacing w:line="360" w:lineRule="auto"/>
      <w:jc w:val="right"/>
      <w:rPr>
        <w:rFonts w:ascii="Arial" w:hAnsi="Arial" w:cs="Arial"/>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E674123"/>
    <w:multiLevelType w:val="hybridMultilevel"/>
    <w:tmpl w:val="552A9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EC52FED"/>
    <w:multiLevelType w:val="hybridMultilevel"/>
    <w:tmpl w:val="6FDCD916"/>
    <w:lvl w:ilvl="0" w:tplc="ACDC0B0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605A21"/>
    <w:multiLevelType w:val="hybridMultilevel"/>
    <w:tmpl w:val="F4C82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8C5DE0"/>
    <w:multiLevelType w:val="hybridMultilevel"/>
    <w:tmpl w:val="B45E2E64"/>
    <w:lvl w:ilvl="0" w:tplc="1EACF3A2">
      <w:start w:val="1"/>
      <w:numFmt w:val="upperLetter"/>
      <w:pStyle w:val="Heading2"/>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7E45C14"/>
    <w:multiLevelType w:val="hybridMultilevel"/>
    <w:tmpl w:val="005AD170"/>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84689C"/>
    <w:multiLevelType w:val="hybridMultilevel"/>
    <w:tmpl w:val="D9CE30F4"/>
    <w:lvl w:ilvl="0" w:tplc="85A820B2">
      <w:start w:val="1"/>
      <w:numFmt w:val="upperRoman"/>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C778C2"/>
    <w:multiLevelType w:val="hybridMultilevel"/>
    <w:tmpl w:val="8242B842"/>
    <w:lvl w:ilvl="0" w:tplc="3F2E1604">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353EED"/>
    <w:multiLevelType w:val="multilevel"/>
    <w:tmpl w:val="6FDCD9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7"/>
  </w:num>
  <w:num w:numId="5">
    <w:abstractNumId w:val="3"/>
    <w:lvlOverride w:ilvl="0">
      <w:startOverride w:val="1"/>
    </w:lvlOverride>
  </w:num>
  <w:num w:numId="6">
    <w:abstractNumId w:val="1"/>
  </w:num>
  <w:num w:numId="7">
    <w:abstractNumId w:val="4"/>
  </w:num>
  <w:num w:numId="8">
    <w:abstractNumId w:val="9"/>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8"/>
  </w:num>
  <w:num w:numId="40">
    <w:abstractNumId w:val="8"/>
    <w:lvlOverride w:ilvl="0">
      <w:startOverride w:val="1"/>
    </w:lvlOverride>
  </w:num>
  <w:num w:numId="41">
    <w:abstractNumId w:val="5"/>
  </w:num>
  <w:num w:numId="42">
    <w:abstractNumId w:val="6"/>
  </w:num>
  <w:num w:numId="43">
    <w:abstractNumId w:val="8"/>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025D4"/>
    <w:rsid w:val="00003919"/>
    <w:rsid w:val="00005B51"/>
    <w:rsid w:val="00007446"/>
    <w:rsid w:val="00010B47"/>
    <w:rsid w:val="0001346C"/>
    <w:rsid w:val="00013B41"/>
    <w:rsid w:val="00015A9E"/>
    <w:rsid w:val="00016521"/>
    <w:rsid w:val="000166F5"/>
    <w:rsid w:val="00021429"/>
    <w:rsid w:val="00022F91"/>
    <w:rsid w:val="00024556"/>
    <w:rsid w:val="000323DC"/>
    <w:rsid w:val="00033039"/>
    <w:rsid w:val="00035A30"/>
    <w:rsid w:val="000365D2"/>
    <w:rsid w:val="00037338"/>
    <w:rsid w:val="0004359C"/>
    <w:rsid w:val="00043857"/>
    <w:rsid w:val="0004532B"/>
    <w:rsid w:val="00045401"/>
    <w:rsid w:val="00046958"/>
    <w:rsid w:val="0005098F"/>
    <w:rsid w:val="00051842"/>
    <w:rsid w:val="0005458E"/>
    <w:rsid w:val="00054A30"/>
    <w:rsid w:val="00056288"/>
    <w:rsid w:val="00060BB1"/>
    <w:rsid w:val="000624CF"/>
    <w:rsid w:val="000633BF"/>
    <w:rsid w:val="00070F81"/>
    <w:rsid w:val="0007144C"/>
    <w:rsid w:val="00073A8E"/>
    <w:rsid w:val="0007611A"/>
    <w:rsid w:val="00077333"/>
    <w:rsid w:val="00086641"/>
    <w:rsid w:val="00087FEF"/>
    <w:rsid w:val="0009370A"/>
    <w:rsid w:val="000A000D"/>
    <w:rsid w:val="000A215A"/>
    <w:rsid w:val="000A7E0E"/>
    <w:rsid w:val="000B07D9"/>
    <w:rsid w:val="000B17B1"/>
    <w:rsid w:val="000B262B"/>
    <w:rsid w:val="000B2A37"/>
    <w:rsid w:val="000B2DDA"/>
    <w:rsid w:val="000B3098"/>
    <w:rsid w:val="000B3DAE"/>
    <w:rsid w:val="000B4D7A"/>
    <w:rsid w:val="000B5421"/>
    <w:rsid w:val="000C01C2"/>
    <w:rsid w:val="000C4C85"/>
    <w:rsid w:val="000C6284"/>
    <w:rsid w:val="000D0646"/>
    <w:rsid w:val="000D10F7"/>
    <w:rsid w:val="000D15DE"/>
    <w:rsid w:val="000D18AC"/>
    <w:rsid w:val="000D35B3"/>
    <w:rsid w:val="000D4F94"/>
    <w:rsid w:val="000D5266"/>
    <w:rsid w:val="000D73F3"/>
    <w:rsid w:val="000E629F"/>
    <w:rsid w:val="000F0BB1"/>
    <w:rsid w:val="000F262F"/>
    <w:rsid w:val="000F2F29"/>
    <w:rsid w:val="000F4231"/>
    <w:rsid w:val="000F4874"/>
    <w:rsid w:val="00101683"/>
    <w:rsid w:val="001066FC"/>
    <w:rsid w:val="00106E25"/>
    <w:rsid w:val="00107574"/>
    <w:rsid w:val="00111087"/>
    <w:rsid w:val="00115BF0"/>
    <w:rsid w:val="001179A8"/>
    <w:rsid w:val="0012220E"/>
    <w:rsid w:val="00126136"/>
    <w:rsid w:val="001263D8"/>
    <w:rsid w:val="00131DB8"/>
    <w:rsid w:val="001350FA"/>
    <w:rsid w:val="00137C10"/>
    <w:rsid w:val="0014015A"/>
    <w:rsid w:val="00141C00"/>
    <w:rsid w:val="00142B00"/>
    <w:rsid w:val="0015110A"/>
    <w:rsid w:val="0015136E"/>
    <w:rsid w:val="00151737"/>
    <w:rsid w:val="00153980"/>
    <w:rsid w:val="00153F82"/>
    <w:rsid w:val="001602BD"/>
    <w:rsid w:val="00166332"/>
    <w:rsid w:val="001723BC"/>
    <w:rsid w:val="001730D0"/>
    <w:rsid w:val="00174C8B"/>
    <w:rsid w:val="00175620"/>
    <w:rsid w:val="001757E3"/>
    <w:rsid w:val="001769C1"/>
    <w:rsid w:val="001774D7"/>
    <w:rsid w:val="001820DD"/>
    <w:rsid w:val="00184783"/>
    <w:rsid w:val="00184A99"/>
    <w:rsid w:val="001856F3"/>
    <w:rsid w:val="00185A93"/>
    <w:rsid w:val="0018609E"/>
    <w:rsid w:val="00194019"/>
    <w:rsid w:val="00194084"/>
    <w:rsid w:val="001942B3"/>
    <w:rsid w:val="00194988"/>
    <w:rsid w:val="00196835"/>
    <w:rsid w:val="001A505B"/>
    <w:rsid w:val="001B0065"/>
    <w:rsid w:val="001B2627"/>
    <w:rsid w:val="001B2CB8"/>
    <w:rsid w:val="001C0641"/>
    <w:rsid w:val="001C39BF"/>
    <w:rsid w:val="001D097D"/>
    <w:rsid w:val="001D1EC6"/>
    <w:rsid w:val="001D3828"/>
    <w:rsid w:val="001D3CD3"/>
    <w:rsid w:val="001D3E74"/>
    <w:rsid w:val="001D4859"/>
    <w:rsid w:val="001D49B2"/>
    <w:rsid w:val="001D6DD9"/>
    <w:rsid w:val="001D77DC"/>
    <w:rsid w:val="001E06D9"/>
    <w:rsid w:val="001E28E7"/>
    <w:rsid w:val="001E56BE"/>
    <w:rsid w:val="001E62ED"/>
    <w:rsid w:val="001E74B8"/>
    <w:rsid w:val="001F02CE"/>
    <w:rsid w:val="001F0A3B"/>
    <w:rsid w:val="001F17D6"/>
    <w:rsid w:val="001F5231"/>
    <w:rsid w:val="001F7A27"/>
    <w:rsid w:val="001F7F78"/>
    <w:rsid w:val="0020451A"/>
    <w:rsid w:val="00205F13"/>
    <w:rsid w:val="00213159"/>
    <w:rsid w:val="0022117D"/>
    <w:rsid w:val="002214CE"/>
    <w:rsid w:val="002226B4"/>
    <w:rsid w:val="00230EC9"/>
    <w:rsid w:val="002340CD"/>
    <w:rsid w:val="00235EA7"/>
    <w:rsid w:val="00235EEF"/>
    <w:rsid w:val="00236D40"/>
    <w:rsid w:val="002456CE"/>
    <w:rsid w:val="0024621B"/>
    <w:rsid w:val="00246A3A"/>
    <w:rsid w:val="0024796B"/>
    <w:rsid w:val="0025106D"/>
    <w:rsid w:val="00253238"/>
    <w:rsid w:val="002544FF"/>
    <w:rsid w:val="002574AE"/>
    <w:rsid w:val="00261D41"/>
    <w:rsid w:val="00265A67"/>
    <w:rsid w:val="002667B4"/>
    <w:rsid w:val="00270583"/>
    <w:rsid w:val="00280258"/>
    <w:rsid w:val="002811C2"/>
    <w:rsid w:val="00281B89"/>
    <w:rsid w:val="0028584B"/>
    <w:rsid w:val="002867F5"/>
    <w:rsid w:val="0028727A"/>
    <w:rsid w:val="00287DAB"/>
    <w:rsid w:val="002912B5"/>
    <w:rsid w:val="00292901"/>
    <w:rsid w:val="002A53BB"/>
    <w:rsid w:val="002A570B"/>
    <w:rsid w:val="002A65A4"/>
    <w:rsid w:val="002A6744"/>
    <w:rsid w:val="002A73E4"/>
    <w:rsid w:val="002B17D9"/>
    <w:rsid w:val="002B2151"/>
    <w:rsid w:val="002C0B1E"/>
    <w:rsid w:val="002C0FD1"/>
    <w:rsid w:val="002C27D4"/>
    <w:rsid w:val="002D3E22"/>
    <w:rsid w:val="002D56A2"/>
    <w:rsid w:val="002D5891"/>
    <w:rsid w:val="002D753D"/>
    <w:rsid w:val="002E12C9"/>
    <w:rsid w:val="002E799E"/>
    <w:rsid w:val="002F0356"/>
    <w:rsid w:val="002F03E6"/>
    <w:rsid w:val="002F0C28"/>
    <w:rsid w:val="002F11FC"/>
    <w:rsid w:val="002F72C5"/>
    <w:rsid w:val="00300288"/>
    <w:rsid w:val="00301645"/>
    <w:rsid w:val="0030412A"/>
    <w:rsid w:val="003129E6"/>
    <w:rsid w:val="003141A1"/>
    <w:rsid w:val="0031502C"/>
    <w:rsid w:val="003168DE"/>
    <w:rsid w:val="0032260E"/>
    <w:rsid w:val="00322A84"/>
    <w:rsid w:val="0032426A"/>
    <w:rsid w:val="00324554"/>
    <w:rsid w:val="00325327"/>
    <w:rsid w:val="00325CEB"/>
    <w:rsid w:val="0032664E"/>
    <w:rsid w:val="00332A8D"/>
    <w:rsid w:val="003347A9"/>
    <w:rsid w:val="00335B24"/>
    <w:rsid w:val="003364A2"/>
    <w:rsid w:val="00336F47"/>
    <w:rsid w:val="0034038A"/>
    <w:rsid w:val="003403D7"/>
    <w:rsid w:val="00342F85"/>
    <w:rsid w:val="00343F8D"/>
    <w:rsid w:val="003527A5"/>
    <w:rsid w:val="003530C9"/>
    <w:rsid w:val="00356C0F"/>
    <w:rsid w:val="00361BED"/>
    <w:rsid w:val="00363F42"/>
    <w:rsid w:val="00364115"/>
    <w:rsid w:val="0036787A"/>
    <w:rsid w:val="00367CC2"/>
    <w:rsid w:val="00370969"/>
    <w:rsid w:val="00371E99"/>
    <w:rsid w:val="00374371"/>
    <w:rsid w:val="0037782C"/>
    <w:rsid w:val="00391C9C"/>
    <w:rsid w:val="003952FB"/>
    <w:rsid w:val="003A5B67"/>
    <w:rsid w:val="003A6FD8"/>
    <w:rsid w:val="003B5022"/>
    <w:rsid w:val="003B657A"/>
    <w:rsid w:val="003B7463"/>
    <w:rsid w:val="003C2004"/>
    <w:rsid w:val="003C59F2"/>
    <w:rsid w:val="003D1D8F"/>
    <w:rsid w:val="003D4A40"/>
    <w:rsid w:val="003D4B20"/>
    <w:rsid w:val="003E2D1B"/>
    <w:rsid w:val="003E3215"/>
    <w:rsid w:val="003E33DC"/>
    <w:rsid w:val="003E3430"/>
    <w:rsid w:val="003F49EF"/>
    <w:rsid w:val="00400C2E"/>
    <w:rsid w:val="00401860"/>
    <w:rsid w:val="00403173"/>
    <w:rsid w:val="0040477A"/>
    <w:rsid w:val="004066A1"/>
    <w:rsid w:val="00417545"/>
    <w:rsid w:val="00425C4A"/>
    <w:rsid w:val="0042712F"/>
    <w:rsid w:val="00427A31"/>
    <w:rsid w:val="00427B06"/>
    <w:rsid w:val="00430222"/>
    <w:rsid w:val="00430827"/>
    <w:rsid w:val="00432C4D"/>
    <w:rsid w:val="00433274"/>
    <w:rsid w:val="00433B83"/>
    <w:rsid w:val="00434D41"/>
    <w:rsid w:val="00434F4F"/>
    <w:rsid w:val="004364D7"/>
    <w:rsid w:val="004437DA"/>
    <w:rsid w:val="00447546"/>
    <w:rsid w:val="00447F1B"/>
    <w:rsid w:val="00450939"/>
    <w:rsid w:val="00453EAB"/>
    <w:rsid w:val="00454565"/>
    <w:rsid w:val="00456085"/>
    <w:rsid w:val="004628C8"/>
    <w:rsid w:val="004632BA"/>
    <w:rsid w:val="00466978"/>
    <w:rsid w:val="004676E5"/>
    <w:rsid w:val="00475560"/>
    <w:rsid w:val="00480B30"/>
    <w:rsid w:val="00480E55"/>
    <w:rsid w:val="0048770E"/>
    <w:rsid w:val="004926B4"/>
    <w:rsid w:val="0049703C"/>
    <w:rsid w:val="0049717E"/>
    <w:rsid w:val="004A2030"/>
    <w:rsid w:val="004A2286"/>
    <w:rsid w:val="004A3B71"/>
    <w:rsid w:val="004A4583"/>
    <w:rsid w:val="004A4785"/>
    <w:rsid w:val="004A657A"/>
    <w:rsid w:val="004B2778"/>
    <w:rsid w:val="004B3609"/>
    <w:rsid w:val="004C182B"/>
    <w:rsid w:val="004C2CA2"/>
    <w:rsid w:val="004C415E"/>
    <w:rsid w:val="004C4AFE"/>
    <w:rsid w:val="004D094F"/>
    <w:rsid w:val="004D3B77"/>
    <w:rsid w:val="004E0F0D"/>
    <w:rsid w:val="004E2511"/>
    <w:rsid w:val="004E25D7"/>
    <w:rsid w:val="004E43F1"/>
    <w:rsid w:val="004E505F"/>
    <w:rsid w:val="004E5858"/>
    <w:rsid w:val="004E6E9C"/>
    <w:rsid w:val="004E71F9"/>
    <w:rsid w:val="004F05B6"/>
    <w:rsid w:val="004F0A17"/>
    <w:rsid w:val="004F0F2B"/>
    <w:rsid w:val="004F295D"/>
    <w:rsid w:val="004F4E26"/>
    <w:rsid w:val="004F4FAA"/>
    <w:rsid w:val="00501750"/>
    <w:rsid w:val="00501764"/>
    <w:rsid w:val="0050226D"/>
    <w:rsid w:val="005022AA"/>
    <w:rsid w:val="0051018E"/>
    <w:rsid w:val="005110B8"/>
    <w:rsid w:val="00511CD8"/>
    <w:rsid w:val="00515E68"/>
    <w:rsid w:val="0051717D"/>
    <w:rsid w:val="005207C1"/>
    <w:rsid w:val="005246A8"/>
    <w:rsid w:val="00524A34"/>
    <w:rsid w:val="00525910"/>
    <w:rsid w:val="005272AD"/>
    <w:rsid w:val="0053518E"/>
    <w:rsid w:val="0054162C"/>
    <w:rsid w:val="00541EF5"/>
    <w:rsid w:val="00542033"/>
    <w:rsid w:val="00542398"/>
    <w:rsid w:val="00547C90"/>
    <w:rsid w:val="00550216"/>
    <w:rsid w:val="00550F22"/>
    <w:rsid w:val="005522B4"/>
    <w:rsid w:val="00552B41"/>
    <w:rsid w:val="00556A8F"/>
    <w:rsid w:val="00556F25"/>
    <w:rsid w:val="00557E2F"/>
    <w:rsid w:val="00564DDB"/>
    <w:rsid w:val="00565BA9"/>
    <w:rsid w:val="00565EE8"/>
    <w:rsid w:val="00572187"/>
    <w:rsid w:val="00572188"/>
    <w:rsid w:val="005729B5"/>
    <w:rsid w:val="00573C83"/>
    <w:rsid w:val="0057403F"/>
    <w:rsid w:val="0057404F"/>
    <w:rsid w:val="00576583"/>
    <w:rsid w:val="005777A8"/>
    <w:rsid w:val="00580185"/>
    <w:rsid w:val="00581733"/>
    <w:rsid w:val="005853AC"/>
    <w:rsid w:val="00596FA4"/>
    <w:rsid w:val="005976A8"/>
    <w:rsid w:val="005A4537"/>
    <w:rsid w:val="005A71AE"/>
    <w:rsid w:val="005A760A"/>
    <w:rsid w:val="005A7EEA"/>
    <w:rsid w:val="005B3705"/>
    <w:rsid w:val="005B6EC3"/>
    <w:rsid w:val="005C1996"/>
    <w:rsid w:val="005C4A4E"/>
    <w:rsid w:val="005C5E61"/>
    <w:rsid w:val="005D04D9"/>
    <w:rsid w:val="005D10A7"/>
    <w:rsid w:val="005D4397"/>
    <w:rsid w:val="005E003A"/>
    <w:rsid w:val="005E06A2"/>
    <w:rsid w:val="005E5A93"/>
    <w:rsid w:val="005E60D2"/>
    <w:rsid w:val="005F0DDC"/>
    <w:rsid w:val="005F54A1"/>
    <w:rsid w:val="00600E27"/>
    <w:rsid w:val="0060533E"/>
    <w:rsid w:val="006165EE"/>
    <w:rsid w:val="00616A12"/>
    <w:rsid w:val="00616F5D"/>
    <w:rsid w:val="00617290"/>
    <w:rsid w:val="0062001C"/>
    <w:rsid w:val="006209A2"/>
    <w:rsid w:val="0062626A"/>
    <w:rsid w:val="006316A7"/>
    <w:rsid w:val="00634FE5"/>
    <w:rsid w:val="00637CFF"/>
    <w:rsid w:val="006416FC"/>
    <w:rsid w:val="00645B7A"/>
    <w:rsid w:val="006545A0"/>
    <w:rsid w:val="00654840"/>
    <w:rsid w:val="00655893"/>
    <w:rsid w:val="00665115"/>
    <w:rsid w:val="0067466A"/>
    <w:rsid w:val="006754F5"/>
    <w:rsid w:val="00676B77"/>
    <w:rsid w:val="00680610"/>
    <w:rsid w:val="00680847"/>
    <w:rsid w:val="00680C4B"/>
    <w:rsid w:val="00683AA8"/>
    <w:rsid w:val="00684A00"/>
    <w:rsid w:val="00684B9E"/>
    <w:rsid w:val="00684BF3"/>
    <w:rsid w:val="00685F29"/>
    <w:rsid w:val="00686CEA"/>
    <w:rsid w:val="0069620B"/>
    <w:rsid w:val="006A0426"/>
    <w:rsid w:val="006A0BB0"/>
    <w:rsid w:val="006A1A12"/>
    <w:rsid w:val="006A320B"/>
    <w:rsid w:val="006A5BFD"/>
    <w:rsid w:val="006A676F"/>
    <w:rsid w:val="006A7007"/>
    <w:rsid w:val="006B0F42"/>
    <w:rsid w:val="006B23A9"/>
    <w:rsid w:val="006B5B46"/>
    <w:rsid w:val="006C03E6"/>
    <w:rsid w:val="006C1957"/>
    <w:rsid w:val="006C3FFC"/>
    <w:rsid w:val="006C51FB"/>
    <w:rsid w:val="006C7782"/>
    <w:rsid w:val="006D009E"/>
    <w:rsid w:val="006D2C68"/>
    <w:rsid w:val="006D46A5"/>
    <w:rsid w:val="006D5CDB"/>
    <w:rsid w:val="006D6D68"/>
    <w:rsid w:val="006D6ECF"/>
    <w:rsid w:val="006E1BB8"/>
    <w:rsid w:val="006E221E"/>
    <w:rsid w:val="006E5137"/>
    <w:rsid w:val="006E6C0B"/>
    <w:rsid w:val="006F1767"/>
    <w:rsid w:val="006F2EAC"/>
    <w:rsid w:val="006F4D12"/>
    <w:rsid w:val="006F56AA"/>
    <w:rsid w:val="006F6E40"/>
    <w:rsid w:val="00706EAC"/>
    <w:rsid w:val="007228DD"/>
    <w:rsid w:val="0073001C"/>
    <w:rsid w:val="00730403"/>
    <w:rsid w:val="00735C75"/>
    <w:rsid w:val="00736D3C"/>
    <w:rsid w:val="00740110"/>
    <w:rsid w:val="007403CC"/>
    <w:rsid w:val="00745849"/>
    <w:rsid w:val="007514D6"/>
    <w:rsid w:val="00752157"/>
    <w:rsid w:val="00755133"/>
    <w:rsid w:val="007562E8"/>
    <w:rsid w:val="00756791"/>
    <w:rsid w:val="00757953"/>
    <w:rsid w:val="00762F35"/>
    <w:rsid w:val="00767788"/>
    <w:rsid w:val="007736A2"/>
    <w:rsid w:val="00774B22"/>
    <w:rsid w:val="007815A5"/>
    <w:rsid w:val="00784247"/>
    <w:rsid w:val="00787DA9"/>
    <w:rsid w:val="0079520D"/>
    <w:rsid w:val="00795BB6"/>
    <w:rsid w:val="00795C96"/>
    <w:rsid w:val="00796029"/>
    <w:rsid w:val="00796427"/>
    <w:rsid w:val="007A1674"/>
    <w:rsid w:val="007A377C"/>
    <w:rsid w:val="007A64C3"/>
    <w:rsid w:val="007B0284"/>
    <w:rsid w:val="007B17FF"/>
    <w:rsid w:val="007B5363"/>
    <w:rsid w:val="007B6415"/>
    <w:rsid w:val="007B6AFB"/>
    <w:rsid w:val="007C4022"/>
    <w:rsid w:val="007C458D"/>
    <w:rsid w:val="007D7316"/>
    <w:rsid w:val="007E10CC"/>
    <w:rsid w:val="007E1D24"/>
    <w:rsid w:val="007E7752"/>
    <w:rsid w:val="007F0022"/>
    <w:rsid w:val="007F05F6"/>
    <w:rsid w:val="007F37B6"/>
    <w:rsid w:val="007F4665"/>
    <w:rsid w:val="007F571A"/>
    <w:rsid w:val="0080497A"/>
    <w:rsid w:val="0080505F"/>
    <w:rsid w:val="00811E0D"/>
    <w:rsid w:val="008152B9"/>
    <w:rsid w:val="0082546F"/>
    <w:rsid w:val="00827857"/>
    <w:rsid w:val="00827F64"/>
    <w:rsid w:val="008421D9"/>
    <w:rsid w:val="00842849"/>
    <w:rsid w:val="008428CC"/>
    <w:rsid w:val="00843239"/>
    <w:rsid w:val="00844E25"/>
    <w:rsid w:val="00846269"/>
    <w:rsid w:val="0085717C"/>
    <w:rsid w:val="00865767"/>
    <w:rsid w:val="00866040"/>
    <w:rsid w:val="0086667B"/>
    <w:rsid w:val="00871EC4"/>
    <w:rsid w:val="008724E5"/>
    <w:rsid w:val="00872C10"/>
    <w:rsid w:val="0088067D"/>
    <w:rsid w:val="008839A6"/>
    <w:rsid w:val="00883C58"/>
    <w:rsid w:val="00891295"/>
    <w:rsid w:val="00893431"/>
    <w:rsid w:val="00896134"/>
    <w:rsid w:val="008A012F"/>
    <w:rsid w:val="008A1CB0"/>
    <w:rsid w:val="008A24F4"/>
    <w:rsid w:val="008A400D"/>
    <w:rsid w:val="008A4558"/>
    <w:rsid w:val="008A5AFE"/>
    <w:rsid w:val="008B1853"/>
    <w:rsid w:val="008B5FCE"/>
    <w:rsid w:val="008B65E1"/>
    <w:rsid w:val="008B7C4E"/>
    <w:rsid w:val="008C01FC"/>
    <w:rsid w:val="008C0C8C"/>
    <w:rsid w:val="008C333C"/>
    <w:rsid w:val="008C67ED"/>
    <w:rsid w:val="008C690D"/>
    <w:rsid w:val="008D488D"/>
    <w:rsid w:val="008D798B"/>
    <w:rsid w:val="008E1DA4"/>
    <w:rsid w:val="008E37EF"/>
    <w:rsid w:val="008E6921"/>
    <w:rsid w:val="008E7F28"/>
    <w:rsid w:val="008F244A"/>
    <w:rsid w:val="008F3C6F"/>
    <w:rsid w:val="008F42A5"/>
    <w:rsid w:val="009005EC"/>
    <w:rsid w:val="009006E7"/>
    <w:rsid w:val="00917665"/>
    <w:rsid w:val="009214C8"/>
    <w:rsid w:val="009266E2"/>
    <w:rsid w:val="00932660"/>
    <w:rsid w:val="00936487"/>
    <w:rsid w:val="009365D3"/>
    <w:rsid w:val="00936EAE"/>
    <w:rsid w:val="009427C4"/>
    <w:rsid w:val="009454D4"/>
    <w:rsid w:val="009503DF"/>
    <w:rsid w:val="00954C39"/>
    <w:rsid w:val="00954EEC"/>
    <w:rsid w:val="009556BA"/>
    <w:rsid w:val="00956BA0"/>
    <w:rsid w:val="00957740"/>
    <w:rsid w:val="00957955"/>
    <w:rsid w:val="00962349"/>
    <w:rsid w:val="00962F7C"/>
    <w:rsid w:val="00964C61"/>
    <w:rsid w:val="009669B3"/>
    <w:rsid w:val="00973155"/>
    <w:rsid w:val="00984F68"/>
    <w:rsid w:val="00985AE1"/>
    <w:rsid w:val="00986FA8"/>
    <w:rsid w:val="00987083"/>
    <w:rsid w:val="00990228"/>
    <w:rsid w:val="0099096C"/>
    <w:rsid w:val="00991BC3"/>
    <w:rsid w:val="00991FC7"/>
    <w:rsid w:val="00992D71"/>
    <w:rsid w:val="00996657"/>
    <w:rsid w:val="0099704E"/>
    <w:rsid w:val="009A196D"/>
    <w:rsid w:val="009A43C8"/>
    <w:rsid w:val="009A6829"/>
    <w:rsid w:val="009A752A"/>
    <w:rsid w:val="009B37A9"/>
    <w:rsid w:val="009B68CA"/>
    <w:rsid w:val="009B6975"/>
    <w:rsid w:val="009B6BEE"/>
    <w:rsid w:val="009C6161"/>
    <w:rsid w:val="009C69FA"/>
    <w:rsid w:val="009D1107"/>
    <w:rsid w:val="009D270E"/>
    <w:rsid w:val="009D3A3A"/>
    <w:rsid w:val="009D5A9B"/>
    <w:rsid w:val="009E012B"/>
    <w:rsid w:val="009E0A13"/>
    <w:rsid w:val="009E2085"/>
    <w:rsid w:val="009E33C1"/>
    <w:rsid w:val="009E6144"/>
    <w:rsid w:val="009F0AFD"/>
    <w:rsid w:val="009F21CA"/>
    <w:rsid w:val="009F6EEB"/>
    <w:rsid w:val="00A003EB"/>
    <w:rsid w:val="00A00B15"/>
    <w:rsid w:val="00A06881"/>
    <w:rsid w:val="00A06AEB"/>
    <w:rsid w:val="00A06B34"/>
    <w:rsid w:val="00A06DB4"/>
    <w:rsid w:val="00A117AD"/>
    <w:rsid w:val="00A14311"/>
    <w:rsid w:val="00A156EC"/>
    <w:rsid w:val="00A165F9"/>
    <w:rsid w:val="00A16EA7"/>
    <w:rsid w:val="00A17F81"/>
    <w:rsid w:val="00A212F0"/>
    <w:rsid w:val="00A2501E"/>
    <w:rsid w:val="00A260B3"/>
    <w:rsid w:val="00A26469"/>
    <w:rsid w:val="00A3316B"/>
    <w:rsid w:val="00A34144"/>
    <w:rsid w:val="00A42295"/>
    <w:rsid w:val="00A43017"/>
    <w:rsid w:val="00A44987"/>
    <w:rsid w:val="00A45CC5"/>
    <w:rsid w:val="00A45E93"/>
    <w:rsid w:val="00A51F18"/>
    <w:rsid w:val="00A6457A"/>
    <w:rsid w:val="00A646E2"/>
    <w:rsid w:val="00A64DA6"/>
    <w:rsid w:val="00A67830"/>
    <w:rsid w:val="00A71878"/>
    <w:rsid w:val="00A80BAC"/>
    <w:rsid w:val="00A8175F"/>
    <w:rsid w:val="00A83385"/>
    <w:rsid w:val="00A8445D"/>
    <w:rsid w:val="00A86168"/>
    <w:rsid w:val="00A87A5F"/>
    <w:rsid w:val="00A87F87"/>
    <w:rsid w:val="00A9140F"/>
    <w:rsid w:val="00A96CFB"/>
    <w:rsid w:val="00AA2E70"/>
    <w:rsid w:val="00AA72F5"/>
    <w:rsid w:val="00AB595F"/>
    <w:rsid w:val="00AC201F"/>
    <w:rsid w:val="00AC6F8A"/>
    <w:rsid w:val="00AC7030"/>
    <w:rsid w:val="00AE5A2E"/>
    <w:rsid w:val="00AE62B5"/>
    <w:rsid w:val="00AF2EF9"/>
    <w:rsid w:val="00AF6858"/>
    <w:rsid w:val="00B00FB2"/>
    <w:rsid w:val="00B02B95"/>
    <w:rsid w:val="00B03229"/>
    <w:rsid w:val="00B10399"/>
    <w:rsid w:val="00B105B8"/>
    <w:rsid w:val="00B15099"/>
    <w:rsid w:val="00B15190"/>
    <w:rsid w:val="00B178B6"/>
    <w:rsid w:val="00B21719"/>
    <w:rsid w:val="00B21E8A"/>
    <w:rsid w:val="00B30353"/>
    <w:rsid w:val="00B36174"/>
    <w:rsid w:val="00B42661"/>
    <w:rsid w:val="00B432C3"/>
    <w:rsid w:val="00B44206"/>
    <w:rsid w:val="00B448F4"/>
    <w:rsid w:val="00B518A6"/>
    <w:rsid w:val="00B5331C"/>
    <w:rsid w:val="00B54F5E"/>
    <w:rsid w:val="00B63069"/>
    <w:rsid w:val="00B64812"/>
    <w:rsid w:val="00B65CBC"/>
    <w:rsid w:val="00B6777D"/>
    <w:rsid w:val="00B77382"/>
    <w:rsid w:val="00B80F99"/>
    <w:rsid w:val="00B85D26"/>
    <w:rsid w:val="00B9274C"/>
    <w:rsid w:val="00B94A9A"/>
    <w:rsid w:val="00B9533B"/>
    <w:rsid w:val="00BA00D1"/>
    <w:rsid w:val="00BA1609"/>
    <w:rsid w:val="00BA1CE3"/>
    <w:rsid w:val="00BA3857"/>
    <w:rsid w:val="00BA3A03"/>
    <w:rsid w:val="00BA3AFC"/>
    <w:rsid w:val="00BA5433"/>
    <w:rsid w:val="00BA750D"/>
    <w:rsid w:val="00BB07F8"/>
    <w:rsid w:val="00BB11D6"/>
    <w:rsid w:val="00BB41D9"/>
    <w:rsid w:val="00BB72E7"/>
    <w:rsid w:val="00BC3872"/>
    <w:rsid w:val="00BC45A3"/>
    <w:rsid w:val="00BC5D2B"/>
    <w:rsid w:val="00BC5FA6"/>
    <w:rsid w:val="00BC7273"/>
    <w:rsid w:val="00BD1256"/>
    <w:rsid w:val="00BD1C8D"/>
    <w:rsid w:val="00BD3CBF"/>
    <w:rsid w:val="00BE4343"/>
    <w:rsid w:val="00BE4515"/>
    <w:rsid w:val="00BE62F6"/>
    <w:rsid w:val="00BF30AB"/>
    <w:rsid w:val="00BF6796"/>
    <w:rsid w:val="00BF73A0"/>
    <w:rsid w:val="00C04564"/>
    <w:rsid w:val="00C06ED9"/>
    <w:rsid w:val="00C06F61"/>
    <w:rsid w:val="00C106D1"/>
    <w:rsid w:val="00C120F8"/>
    <w:rsid w:val="00C15FDD"/>
    <w:rsid w:val="00C202EA"/>
    <w:rsid w:val="00C2777E"/>
    <w:rsid w:val="00C3075F"/>
    <w:rsid w:val="00C30D2C"/>
    <w:rsid w:val="00C371B3"/>
    <w:rsid w:val="00C4020A"/>
    <w:rsid w:val="00C41A13"/>
    <w:rsid w:val="00C4483F"/>
    <w:rsid w:val="00C4772B"/>
    <w:rsid w:val="00C52DC1"/>
    <w:rsid w:val="00C54745"/>
    <w:rsid w:val="00C558B2"/>
    <w:rsid w:val="00C55B2E"/>
    <w:rsid w:val="00C62C12"/>
    <w:rsid w:val="00C6488D"/>
    <w:rsid w:val="00C81BED"/>
    <w:rsid w:val="00C8253B"/>
    <w:rsid w:val="00C850EF"/>
    <w:rsid w:val="00C86589"/>
    <w:rsid w:val="00C9447D"/>
    <w:rsid w:val="00CA23FD"/>
    <w:rsid w:val="00CA3286"/>
    <w:rsid w:val="00CA3DA1"/>
    <w:rsid w:val="00CB149B"/>
    <w:rsid w:val="00CB7647"/>
    <w:rsid w:val="00CD0BED"/>
    <w:rsid w:val="00CD3ED6"/>
    <w:rsid w:val="00CD455B"/>
    <w:rsid w:val="00CE3FF1"/>
    <w:rsid w:val="00CF0E90"/>
    <w:rsid w:val="00CF1026"/>
    <w:rsid w:val="00CF15A0"/>
    <w:rsid w:val="00D00939"/>
    <w:rsid w:val="00D009D3"/>
    <w:rsid w:val="00D01982"/>
    <w:rsid w:val="00D019E2"/>
    <w:rsid w:val="00D12A0D"/>
    <w:rsid w:val="00D20CB5"/>
    <w:rsid w:val="00D22563"/>
    <w:rsid w:val="00D232A5"/>
    <w:rsid w:val="00D24984"/>
    <w:rsid w:val="00D27370"/>
    <w:rsid w:val="00D31923"/>
    <w:rsid w:val="00D3209F"/>
    <w:rsid w:val="00D42D60"/>
    <w:rsid w:val="00D442A7"/>
    <w:rsid w:val="00D44D34"/>
    <w:rsid w:val="00D467D5"/>
    <w:rsid w:val="00D52DCD"/>
    <w:rsid w:val="00D54FCD"/>
    <w:rsid w:val="00D55110"/>
    <w:rsid w:val="00D557FC"/>
    <w:rsid w:val="00D60D83"/>
    <w:rsid w:val="00D62F20"/>
    <w:rsid w:val="00D63D7D"/>
    <w:rsid w:val="00D65400"/>
    <w:rsid w:val="00D66A18"/>
    <w:rsid w:val="00D72222"/>
    <w:rsid w:val="00D726C7"/>
    <w:rsid w:val="00D733B0"/>
    <w:rsid w:val="00D74A76"/>
    <w:rsid w:val="00D76733"/>
    <w:rsid w:val="00D76A8C"/>
    <w:rsid w:val="00D80FAF"/>
    <w:rsid w:val="00D813A6"/>
    <w:rsid w:val="00D87EF8"/>
    <w:rsid w:val="00D90F30"/>
    <w:rsid w:val="00D956E1"/>
    <w:rsid w:val="00D96A8D"/>
    <w:rsid w:val="00DA4D2A"/>
    <w:rsid w:val="00DB138C"/>
    <w:rsid w:val="00DB30CA"/>
    <w:rsid w:val="00DB5131"/>
    <w:rsid w:val="00DB5B33"/>
    <w:rsid w:val="00DB7324"/>
    <w:rsid w:val="00DC0641"/>
    <w:rsid w:val="00DC2DAE"/>
    <w:rsid w:val="00DC3DB6"/>
    <w:rsid w:val="00DC7BA8"/>
    <w:rsid w:val="00DD3581"/>
    <w:rsid w:val="00DD654D"/>
    <w:rsid w:val="00DD6722"/>
    <w:rsid w:val="00DE34FC"/>
    <w:rsid w:val="00DE4E0B"/>
    <w:rsid w:val="00DE614E"/>
    <w:rsid w:val="00DE7AA3"/>
    <w:rsid w:val="00DF28AF"/>
    <w:rsid w:val="00DF3CF0"/>
    <w:rsid w:val="00DF4886"/>
    <w:rsid w:val="00DF564F"/>
    <w:rsid w:val="00E004A7"/>
    <w:rsid w:val="00E0526B"/>
    <w:rsid w:val="00E05A2C"/>
    <w:rsid w:val="00E05DA8"/>
    <w:rsid w:val="00E11B24"/>
    <w:rsid w:val="00E131EE"/>
    <w:rsid w:val="00E176E1"/>
    <w:rsid w:val="00E20A40"/>
    <w:rsid w:val="00E24242"/>
    <w:rsid w:val="00E24C95"/>
    <w:rsid w:val="00E2681C"/>
    <w:rsid w:val="00E2698B"/>
    <w:rsid w:val="00E26BE1"/>
    <w:rsid w:val="00E26C8E"/>
    <w:rsid w:val="00E30FE4"/>
    <w:rsid w:val="00E33A55"/>
    <w:rsid w:val="00E36DD5"/>
    <w:rsid w:val="00E37287"/>
    <w:rsid w:val="00E41AF5"/>
    <w:rsid w:val="00E43499"/>
    <w:rsid w:val="00E44379"/>
    <w:rsid w:val="00E469F1"/>
    <w:rsid w:val="00E53241"/>
    <w:rsid w:val="00E636E5"/>
    <w:rsid w:val="00E72336"/>
    <w:rsid w:val="00E73779"/>
    <w:rsid w:val="00E75F59"/>
    <w:rsid w:val="00E766D3"/>
    <w:rsid w:val="00E85C4F"/>
    <w:rsid w:val="00E862B0"/>
    <w:rsid w:val="00E87EDE"/>
    <w:rsid w:val="00E90807"/>
    <w:rsid w:val="00E9261C"/>
    <w:rsid w:val="00E93311"/>
    <w:rsid w:val="00E93856"/>
    <w:rsid w:val="00EA04AB"/>
    <w:rsid w:val="00EA2DC3"/>
    <w:rsid w:val="00EA3FA4"/>
    <w:rsid w:val="00EB2613"/>
    <w:rsid w:val="00EB2DF2"/>
    <w:rsid w:val="00EB32C3"/>
    <w:rsid w:val="00EB3CCB"/>
    <w:rsid w:val="00EB679D"/>
    <w:rsid w:val="00EB787C"/>
    <w:rsid w:val="00EC0264"/>
    <w:rsid w:val="00EC040E"/>
    <w:rsid w:val="00EC268A"/>
    <w:rsid w:val="00ED6DA8"/>
    <w:rsid w:val="00ED7A90"/>
    <w:rsid w:val="00EE07A6"/>
    <w:rsid w:val="00EE23E6"/>
    <w:rsid w:val="00EE4CD6"/>
    <w:rsid w:val="00EE5E18"/>
    <w:rsid w:val="00EF1F0A"/>
    <w:rsid w:val="00EF563B"/>
    <w:rsid w:val="00EF604D"/>
    <w:rsid w:val="00EF6064"/>
    <w:rsid w:val="00F0125E"/>
    <w:rsid w:val="00F0338A"/>
    <w:rsid w:val="00F11D75"/>
    <w:rsid w:val="00F12241"/>
    <w:rsid w:val="00F162C4"/>
    <w:rsid w:val="00F2380A"/>
    <w:rsid w:val="00F27775"/>
    <w:rsid w:val="00F33C30"/>
    <w:rsid w:val="00F33E84"/>
    <w:rsid w:val="00F341E9"/>
    <w:rsid w:val="00F3749C"/>
    <w:rsid w:val="00F408F3"/>
    <w:rsid w:val="00F40CF2"/>
    <w:rsid w:val="00F4250E"/>
    <w:rsid w:val="00F42549"/>
    <w:rsid w:val="00F4611E"/>
    <w:rsid w:val="00F468D7"/>
    <w:rsid w:val="00F57C02"/>
    <w:rsid w:val="00F61DDB"/>
    <w:rsid w:val="00F63DC6"/>
    <w:rsid w:val="00F66657"/>
    <w:rsid w:val="00F73805"/>
    <w:rsid w:val="00F7577A"/>
    <w:rsid w:val="00F84D29"/>
    <w:rsid w:val="00F8529C"/>
    <w:rsid w:val="00F86470"/>
    <w:rsid w:val="00F86AD1"/>
    <w:rsid w:val="00F86F3C"/>
    <w:rsid w:val="00F90454"/>
    <w:rsid w:val="00F905A8"/>
    <w:rsid w:val="00FA0228"/>
    <w:rsid w:val="00FA062E"/>
    <w:rsid w:val="00FA4548"/>
    <w:rsid w:val="00FA4EF7"/>
    <w:rsid w:val="00FA56D3"/>
    <w:rsid w:val="00FA60D8"/>
    <w:rsid w:val="00FA61EE"/>
    <w:rsid w:val="00FA7037"/>
    <w:rsid w:val="00FA7AF6"/>
    <w:rsid w:val="00FB0D2A"/>
    <w:rsid w:val="00FB74B1"/>
    <w:rsid w:val="00FC3D75"/>
    <w:rsid w:val="00FC7169"/>
    <w:rsid w:val="00FC720F"/>
    <w:rsid w:val="00FC7BE3"/>
    <w:rsid w:val="00FD0A20"/>
    <w:rsid w:val="00FD2435"/>
    <w:rsid w:val="00FD624F"/>
    <w:rsid w:val="00FE05A5"/>
    <w:rsid w:val="00FE4CD4"/>
    <w:rsid w:val="00FE4F63"/>
    <w:rsid w:val="00FE6CAF"/>
    <w:rsid w:val="00FF086F"/>
    <w:rsid w:val="00FF1755"/>
    <w:rsid w:val="00FF1C3A"/>
    <w:rsid w:val="00FF2BCC"/>
    <w:rsid w:val="00FF3464"/>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B8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1">
    <w:name w:val="heading 1"/>
    <w:basedOn w:val="Paragraph"/>
    <w:next w:val="Normal"/>
    <w:link w:val="Heading1Char"/>
    <w:uiPriority w:val="9"/>
    <w:qFormat/>
    <w:rsid w:val="006A0426"/>
    <w:pPr>
      <w:keepNext/>
      <w:numPr>
        <w:numId w:val="4"/>
      </w:numPr>
      <w:tabs>
        <w:tab w:val="clear" w:pos="360"/>
      </w:tabs>
      <w:spacing w:before="360"/>
      <w:ind w:left="567" w:hanging="567"/>
      <w:outlineLvl w:val="0"/>
    </w:pPr>
    <w:rPr>
      <w:b/>
      <w:smallCaps/>
    </w:rPr>
  </w:style>
  <w:style w:type="paragraph" w:styleId="Heading2">
    <w:name w:val="heading 2"/>
    <w:basedOn w:val="Paragraph"/>
    <w:next w:val="Normal"/>
    <w:link w:val="Heading2Char"/>
    <w:uiPriority w:val="9"/>
    <w:unhideWhenUsed/>
    <w:qFormat/>
    <w:rsid w:val="00C4772B"/>
    <w:pPr>
      <w:keepNext/>
      <w:numPr>
        <w:numId w:val="41"/>
      </w:numPr>
      <w:spacing w:before="360"/>
      <w:outlineLvl w:val="1"/>
    </w:pPr>
    <w:rPr>
      <w:b/>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C4772B"/>
    <w:rPr>
      <w:rFonts w:ascii="Arial" w:eastAsia="Times New Roman" w:hAnsi="Arial" w:cs="Arial"/>
      <w:b/>
      <w:snapToGrid w:val="0"/>
      <w:sz w:val="22"/>
      <w:szCs w:val="22"/>
      <w:lang w:val="en-GB" w:eastAsia="en-U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B65CBC"/>
    <w:pPr>
      <w:numPr>
        <w:numId w:val="39"/>
      </w:numPr>
      <w:tabs>
        <w:tab w:val="clear" w:pos="567"/>
      </w:tabs>
      <w:spacing w:before="240" w:after="120"/>
      <w:ind w:left="567" w:hanging="567"/>
    </w:pPr>
    <w:rPr>
      <w:rFonts w:cs="Arial"/>
      <w:szCs w:val="22"/>
      <w:lang w:val="fr-FR"/>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B65CBC"/>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unhideWhenUsed/>
    <w:rsid w:val="006D46A5"/>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6D46A5"/>
    <w:rPr>
      <w:rFonts w:ascii="Arial" w:eastAsia="Times New Roman" w:hAnsi="Arial"/>
      <w:lang w:val="en-GB"/>
    </w:rPr>
  </w:style>
  <w:style w:type="character" w:styleId="FootnoteReference">
    <w:name w:val="footnote reference"/>
    <w:basedOn w:val="DefaultParagraphFont"/>
    <w:uiPriority w:val="99"/>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 w:type="paragraph" w:customStyle="1" w:styleId="marge0">
    <w:name w:val="marge"/>
    <w:basedOn w:val="Normal"/>
    <w:rsid w:val="001D1EC6"/>
    <w:pPr>
      <w:snapToGrid w:val="0"/>
      <w:spacing w:after="240"/>
      <w:jc w:val="both"/>
    </w:pPr>
    <w:rPr>
      <w:rFonts w:ascii="Arial" w:eastAsia="Calibri" w:hAnsi="Arial" w:cs="Arial"/>
      <w:sz w:val="22"/>
      <w:szCs w:val="22"/>
      <w:lang w:val="fr-FR"/>
    </w:rPr>
  </w:style>
  <w:style w:type="character" w:customStyle="1" w:styleId="atenuated">
    <w:name w:val="atenuated"/>
    <w:basedOn w:val="DefaultParagraphFont"/>
    <w:rsid w:val="00BE4515"/>
  </w:style>
  <w:style w:type="character" w:styleId="Strong">
    <w:name w:val="Strong"/>
    <w:basedOn w:val="DefaultParagraphFont"/>
    <w:uiPriority w:val="22"/>
    <w:qFormat/>
    <w:rsid w:val="00184783"/>
    <w:rPr>
      <w:b/>
      <w:bCs/>
    </w:rPr>
  </w:style>
  <w:style w:type="character" w:customStyle="1" w:styleId="Heading1Char">
    <w:name w:val="Heading 1 Char"/>
    <w:basedOn w:val="DefaultParagraphFont"/>
    <w:link w:val="Heading1"/>
    <w:uiPriority w:val="9"/>
    <w:rsid w:val="006A0426"/>
    <w:rPr>
      <w:rFonts w:ascii="Arial" w:eastAsia="Times New Roman" w:hAnsi="Arial" w:cs="Arial"/>
      <w:b/>
      <w:smallCaps/>
      <w:snapToGrid w:val="0"/>
      <w:sz w:val="22"/>
      <w:szCs w:val="22"/>
      <w:lang w:val="en-GB" w:eastAsia="en-US"/>
    </w:rPr>
  </w:style>
  <w:style w:type="character" w:customStyle="1" w:styleId="atn">
    <w:name w:val="atn"/>
    <w:basedOn w:val="DefaultParagraphFont"/>
    <w:rsid w:val="004066A1"/>
  </w:style>
  <w:style w:type="character" w:customStyle="1" w:styleId="hpschar">
    <w:name w:val="hps__char"/>
    <w:basedOn w:val="DefaultParagraphFont"/>
    <w:rsid w:val="00BD1256"/>
  </w:style>
  <w:style w:type="character" w:customStyle="1" w:styleId="normal0020tablechar">
    <w:name w:val="normal_0020table__char"/>
    <w:basedOn w:val="DefaultParagraphFont"/>
    <w:rsid w:val="00683AA8"/>
  </w:style>
  <w:style w:type="paragraph" w:styleId="EndnoteText">
    <w:name w:val="endnote text"/>
    <w:basedOn w:val="Normal"/>
    <w:link w:val="EndnoteTextChar"/>
    <w:uiPriority w:val="99"/>
    <w:semiHidden/>
    <w:unhideWhenUsed/>
    <w:rsid w:val="00F42549"/>
    <w:rPr>
      <w:sz w:val="20"/>
      <w:szCs w:val="20"/>
    </w:rPr>
  </w:style>
  <w:style w:type="character" w:customStyle="1" w:styleId="EndnoteTextChar">
    <w:name w:val="Endnote Text Char"/>
    <w:basedOn w:val="DefaultParagraphFont"/>
    <w:link w:val="EndnoteText"/>
    <w:uiPriority w:val="99"/>
    <w:semiHidden/>
    <w:rsid w:val="00F42549"/>
    <w:rPr>
      <w:rFonts w:ascii="Times New Roman" w:eastAsia="Times New Roman" w:hAnsi="Times New Roman"/>
      <w:lang w:val="en-GB"/>
    </w:rPr>
  </w:style>
  <w:style w:type="character" w:styleId="EndnoteReference">
    <w:name w:val="endnote reference"/>
    <w:basedOn w:val="DefaultParagraphFont"/>
    <w:uiPriority w:val="99"/>
    <w:semiHidden/>
    <w:unhideWhenUsed/>
    <w:rsid w:val="00F42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val="en-GB"/>
    </w:rPr>
  </w:style>
  <w:style w:type="paragraph" w:styleId="Heading1">
    <w:name w:val="heading 1"/>
    <w:basedOn w:val="Paragraph"/>
    <w:next w:val="Normal"/>
    <w:link w:val="Heading1Char"/>
    <w:uiPriority w:val="9"/>
    <w:qFormat/>
    <w:rsid w:val="006A0426"/>
    <w:pPr>
      <w:keepNext/>
      <w:numPr>
        <w:numId w:val="4"/>
      </w:numPr>
      <w:tabs>
        <w:tab w:val="clear" w:pos="360"/>
      </w:tabs>
      <w:spacing w:before="360"/>
      <w:ind w:left="567" w:hanging="567"/>
      <w:outlineLvl w:val="0"/>
    </w:pPr>
    <w:rPr>
      <w:b/>
      <w:smallCaps/>
    </w:rPr>
  </w:style>
  <w:style w:type="paragraph" w:styleId="Heading2">
    <w:name w:val="heading 2"/>
    <w:basedOn w:val="Paragraph"/>
    <w:next w:val="Normal"/>
    <w:link w:val="Heading2Char"/>
    <w:uiPriority w:val="9"/>
    <w:unhideWhenUsed/>
    <w:qFormat/>
    <w:rsid w:val="00C4772B"/>
    <w:pPr>
      <w:keepNext/>
      <w:numPr>
        <w:numId w:val="41"/>
      </w:numPr>
      <w:spacing w:before="360"/>
      <w:outlineLvl w:val="1"/>
    </w:pPr>
    <w:rPr>
      <w:b/>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rsid w:val="00C4772B"/>
    <w:rPr>
      <w:rFonts w:ascii="Arial" w:eastAsia="Times New Roman" w:hAnsi="Arial" w:cs="Arial"/>
      <w:b/>
      <w:snapToGrid w:val="0"/>
      <w:sz w:val="22"/>
      <w:szCs w:val="22"/>
      <w:lang w:val="en-GB" w:eastAsia="en-U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uiPriority w:val="99"/>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B65CBC"/>
    <w:pPr>
      <w:numPr>
        <w:numId w:val="39"/>
      </w:numPr>
      <w:tabs>
        <w:tab w:val="clear" w:pos="567"/>
      </w:tabs>
      <w:spacing w:before="240" w:after="120"/>
      <w:ind w:left="567" w:hanging="567"/>
    </w:pPr>
    <w:rPr>
      <w:rFonts w:cs="Arial"/>
      <w:szCs w:val="22"/>
      <w:lang w:val="fr-FR"/>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B65CBC"/>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unhideWhenUsed/>
    <w:rsid w:val="006D46A5"/>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6D46A5"/>
    <w:rPr>
      <w:rFonts w:ascii="Arial" w:eastAsia="Times New Roman" w:hAnsi="Arial"/>
      <w:lang w:val="en-GB"/>
    </w:rPr>
  </w:style>
  <w:style w:type="character" w:styleId="FootnoteReference">
    <w:name w:val="footnote reference"/>
    <w:basedOn w:val="DefaultParagraphFont"/>
    <w:uiPriority w:val="99"/>
    <w:unhideWhenUsed/>
    <w:rsid w:val="00BA1CE3"/>
    <w:rPr>
      <w:vertAlign w:val="superscript"/>
    </w:rPr>
  </w:style>
  <w:style w:type="character" w:customStyle="1" w:styleId="shorttext">
    <w:name w:val="short_text"/>
    <w:basedOn w:val="DefaultParagraphFont"/>
    <w:rsid w:val="00EA3FA4"/>
  </w:style>
  <w:style w:type="character" w:styleId="FollowedHyperlink">
    <w:name w:val="FollowedHyperlink"/>
    <w:basedOn w:val="DefaultParagraphFont"/>
    <w:uiPriority w:val="99"/>
    <w:semiHidden/>
    <w:unhideWhenUsed/>
    <w:rsid w:val="005F54A1"/>
    <w:rPr>
      <w:color w:val="800080" w:themeColor="followedHyperlink"/>
      <w:u w:val="single"/>
    </w:rPr>
  </w:style>
  <w:style w:type="paragraph" w:styleId="Revision">
    <w:name w:val="Revision"/>
    <w:hidden/>
    <w:uiPriority w:val="99"/>
    <w:semiHidden/>
    <w:rsid w:val="00685F29"/>
    <w:rPr>
      <w:rFonts w:ascii="Times New Roman" w:eastAsia="Times New Roman" w:hAnsi="Times New Roman"/>
      <w:sz w:val="24"/>
      <w:szCs w:val="24"/>
      <w:lang w:val="en-GB"/>
    </w:rPr>
  </w:style>
  <w:style w:type="paragraph" w:customStyle="1" w:styleId="marge0">
    <w:name w:val="marge"/>
    <w:basedOn w:val="Normal"/>
    <w:rsid w:val="001D1EC6"/>
    <w:pPr>
      <w:snapToGrid w:val="0"/>
      <w:spacing w:after="240"/>
      <w:jc w:val="both"/>
    </w:pPr>
    <w:rPr>
      <w:rFonts w:ascii="Arial" w:eastAsia="Calibri" w:hAnsi="Arial" w:cs="Arial"/>
      <w:sz w:val="22"/>
      <w:szCs w:val="22"/>
      <w:lang w:val="fr-FR"/>
    </w:rPr>
  </w:style>
  <w:style w:type="character" w:customStyle="1" w:styleId="atenuated">
    <w:name w:val="atenuated"/>
    <w:basedOn w:val="DefaultParagraphFont"/>
    <w:rsid w:val="00BE4515"/>
  </w:style>
  <w:style w:type="character" w:styleId="Strong">
    <w:name w:val="Strong"/>
    <w:basedOn w:val="DefaultParagraphFont"/>
    <w:uiPriority w:val="22"/>
    <w:qFormat/>
    <w:rsid w:val="00184783"/>
    <w:rPr>
      <w:b/>
      <w:bCs/>
    </w:rPr>
  </w:style>
  <w:style w:type="character" w:customStyle="1" w:styleId="Heading1Char">
    <w:name w:val="Heading 1 Char"/>
    <w:basedOn w:val="DefaultParagraphFont"/>
    <w:link w:val="Heading1"/>
    <w:uiPriority w:val="9"/>
    <w:rsid w:val="006A0426"/>
    <w:rPr>
      <w:rFonts w:ascii="Arial" w:eastAsia="Times New Roman" w:hAnsi="Arial" w:cs="Arial"/>
      <w:b/>
      <w:smallCaps/>
      <w:snapToGrid w:val="0"/>
      <w:sz w:val="22"/>
      <w:szCs w:val="22"/>
      <w:lang w:val="en-GB" w:eastAsia="en-US"/>
    </w:rPr>
  </w:style>
  <w:style w:type="character" w:customStyle="1" w:styleId="atn">
    <w:name w:val="atn"/>
    <w:basedOn w:val="DefaultParagraphFont"/>
    <w:rsid w:val="004066A1"/>
  </w:style>
  <w:style w:type="character" w:customStyle="1" w:styleId="hpschar">
    <w:name w:val="hps__char"/>
    <w:basedOn w:val="DefaultParagraphFont"/>
    <w:rsid w:val="00BD1256"/>
  </w:style>
  <w:style w:type="character" w:customStyle="1" w:styleId="normal0020tablechar">
    <w:name w:val="normal_0020table__char"/>
    <w:basedOn w:val="DefaultParagraphFont"/>
    <w:rsid w:val="00683AA8"/>
  </w:style>
  <w:style w:type="paragraph" w:styleId="EndnoteText">
    <w:name w:val="endnote text"/>
    <w:basedOn w:val="Normal"/>
    <w:link w:val="EndnoteTextChar"/>
    <w:uiPriority w:val="99"/>
    <w:semiHidden/>
    <w:unhideWhenUsed/>
    <w:rsid w:val="00F42549"/>
    <w:rPr>
      <w:sz w:val="20"/>
      <w:szCs w:val="20"/>
    </w:rPr>
  </w:style>
  <w:style w:type="character" w:customStyle="1" w:styleId="EndnoteTextChar">
    <w:name w:val="Endnote Text Char"/>
    <w:basedOn w:val="DefaultParagraphFont"/>
    <w:link w:val="EndnoteText"/>
    <w:uiPriority w:val="99"/>
    <w:semiHidden/>
    <w:rsid w:val="00F42549"/>
    <w:rPr>
      <w:rFonts w:ascii="Times New Roman" w:eastAsia="Times New Roman" w:hAnsi="Times New Roman"/>
      <w:lang w:val="en-GB"/>
    </w:rPr>
  </w:style>
  <w:style w:type="character" w:styleId="EndnoteReference">
    <w:name w:val="endnote reference"/>
    <w:basedOn w:val="DefaultParagraphFont"/>
    <w:uiPriority w:val="99"/>
    <w:semiHidden/>
    <w:unhideWhenUsed/>
    <w:rsid w:val="00F42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243997040">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534394163">
      <w:bodyDiv w:val="1"/>
      <w:marLeft w:val="0"/>
      <w:marRight w:val="0"/>
      <w:marTop w:val="0"/>
      <w:marBottom w:val="0"/>
      <w:divBdr>
        <w:top w:val="none" w:sz="0" w:space="0" w:color="auto"/>
        <w:left w:val="none" w:sz="0" w:space="0" w:color="auto"/>
        <w:bottom w:val="none" w:sz="0" w:space="0" w:color="auto"/>
        <w:right w:val="none" w:sz="0" w:space="0" w:color="auto"/>
      </w:divBdr>
    </w:div>
    <w:div w:id="585458674">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762798223">
      <w:bodyDiv w:val="1"/>
      <w:marLeft w:val="0"/>
      <w:marRight w:val="0"/>
      <w:marTop w:val="0"/>
      <w:marBottom w:val="0"/>
      <w:divBdr>
        <w:top w:val="none" w:sz="0" w:space="0" w:color="auto"/>
        <w:left w:val="none" w:sz="0" w:space="0" w:color="auto"/>
        <w:bottom w:val="none" w:sz="0" w:space="0" w:color="auto"/>
        <w:right w:val="none" w:sz="0" w:space="0" w:color="auto"/>
      </w:divBdr>
    </w:div>
    <w:div w:id="771631328">
      <w:bodyDiv w:val="1"/>
      <w:marLeft w:val="0"/>
      <w:marRight w:val="0"/>
      <w:marTop w:val="0"/>
      <w:marBottom w:val="0"/>
      <w:divBdr>
        <w:top w:val="none" w:sz="0" w:space="0" w:color="auto"/>
        <w:left w:val="none" w:sz="0" w:space="0" w:color="auto"/>
        <w:bottom w:val="none" w:sz="0" w:space="0" w:color="auto"/>
        <w:right w:val="none" w:sz="0" w:space="0" w:color="auto"/>
      </w:divBdr>
      <w:divsChild>
        <w:div w:id="803427425">
          <w:marLeft w:val="0"/>
          <w:marRight w:val="0"/>
          <w:marTop w:val="0"/>
          <w:marBottom w:val="0"/>
          <w:divBdr>
            <w:top w:val="none" w:sz="0" w:space="0" w:color="auto"/>
            <w:left w:val="none" w:sz="0" w:space="0" w:color="auto"/>
            <w:bottom w:val="none" w:sz="0" w:space="0" w:color="auto"/>
            <w:right w:val="none" w:sz="0" w:space="0" w:color="auto"/>
          </w:divBdr>
          <w:divsChild>
            <w:div w:id="1633899480">
              <w:marLeft w:val="0"/>
              <w:marRight w:val="0"/>
              <w:marTop w:val="0"/>
              <w:marBottom w:val="0"/>
              <w:divBdr>
                <w:top w:val="none" w:sz="0" w:space="0" w:color="auto"/>
                <w:left w:val="none" w:sz="0" w:space="0" w:color="auto"/>
                <w:bottom w:val="none" w:sz="0" w:space="0" w:color="auto"/>
                <w:right w:val="none" w:sz="0" w:space="0" w:color="auto"/>
              </w:divBdr>
              <w:divsChild>
                <w:div w:id="1285848782">
                  <w:marLeft w:val="0"/>
                  <w:marRight w:val="0"/>
                  <w:marTop w:val="0"/>
                  <w:marBottom w:val="0"/>
                  <w:divBdr>
                    <w:top w:val="none" w:sz="0" w:space="0" w:color="auto"/>
                    <w:left w:val="none" w:sz="0" w:space="0" w:color="auto"/>
                    <w:bottom w:val="none" w:sz="0" w:space="0" w:color="auto"/>
                    <w:right w:val="none" w:sz="0" w:space="0" w:color="auto"/>
                  </w:divBdr>
                  <w:divsChild>
                    <w:div w:id="381710666">
                      <w:marLeft w:val="0"/>
                      <w:marRight w:val="0"/>
                      <w:marTop w:val="0"/>
                      <w:marBottom w:val="0"/>
                      <w:divBdr>
                        <w:top w:val="none" w:sz="0" w:space="0" w:color="auto"/>
                        <w:left w:val="none" w:sz="0" w:space="0" w:color="auto"/>
                        <w:bottom w:val="none" w:sz="0" w:space="0" w:color="auto"/>
                        <w:right w:val="none" w:sz="0" w:space="0" w:color="auto"/>
                      </w:divBdr>
                      <w:divsChild>
                        <w:div w:id="538279101">
                          <w:marLeft w:val="0"/>
                          <w:marRight w:val="0"/>
                          <w:marTop w:val="0"/>
                          <w:marBottom w:val="0"/>
                          <w:divBdr>
                            <w:top w:val="none" w:sz="0" w:space="0" w:color="auto"/>
                            <w:left w:val="none" w:sz="0" w:space="0" w:color="auto"/>
                            <w:bottom w:val="none" w:sz="0" w:space="0" w:color="auto"/>
                            <w:right w:val="none" w:sz="0" w:space="0" w:color="auto"/>
                          </w:divBdr>
                          <w:divsChild>
                            <w:div w:id="1407612043">
                              <w:marLeft w:val="0"/>
                              <w:marRight w:val="0"/>
                              <w:marTop w:val="0"/>
                              <w:marBottom w:val="0"/>
                              <w:divBdr>
                                <w:top w:val="none" w:sz="0" w:space="0" w:color="auto"/>
                                <w:left w:val="none" w:sz="0" w:space="0" w:color="auto"/>
                                <w:bottom w:val="none" w:sz="0" w:space="0" w:color="auto"/>
                                <w:right w:val="none" w:sz="0" w:space="0" w:color="auto"/>
                              </w:divBdr>
                              <w:divsChild>
                                <w:div w:id="947271179">
                                  <w:marLeft w:val="0"/>
                                  <w:marRight w:val="0"/>
                                  <w:marTop w:val="0"/>
                                  <w:marBottom w:val="0"/>
                                  <w:divBdr>
                                    <w:top w:val="none" w:sz="0" w:space="0" w:color="auto"/>
                                    <w:left w:val="none" w:sz="0" w:space="0" w:color="auto"/>
                                    <w:bottom w:val="none" w:sz="0" w:space="0" w:color="auto"/>
                                    <w:right w:val="none" w:sz="0" w:space="0" w:color="auto"/>
                                  </w:divBdr>
                                  <w:divsChild>
                                    <w:div w:id="377895698">
                                      <w:marLeft w:val="0"/>
                                      <w:marRight w:val="0"/>
                                      <w:marTop w:val="0"/>
                                      <w:marBottom w:val="0"/>
                                      <w:divBdr>
                                        <w:top w:val="none" w:sz="0" w:space="0" w:color="auto"/>
                                        <w:left w:val="none" w:sz="0" w:space="0" w:color="auto"/>
                                        <w:bottom w:val="none" w:sz="0" w:space="0" w:color="auto"/>
                                        <w:right w:val="none" w:sz="0" w:space="0" w:color="auto"/>
                                      </w:divBdr>
                                      <w:divsChild>
                                        <w:div w:id="1247808019">
                                          <w:marLeft w:val="0"/>
                                          <w:marRight w:val="0"/>
                                          <w:marTop w:val="0"/>
                                          <w:marBottom w:val="0"/>
                                          <w:divBdr>
                                            <w:top w:val="none" w:sz="0" w:space="0" w:color="auto"/>
                                            <w:left w:val="none" w:sz="0" w:space="0" w:color="auto"/>
                                            <w:bottom w:val="none" w:sz="0" w:space="0" w:color="auto"/>
                                            <w:right w:val="none" w:sz="0" w:space="0" w:color="auto"/>
                                          </w:divBdr>
                                          <w:divsChild>
                                            <w:div w:id="711344748">
                                              <w:marLeft w:val="0"/>
                                              <w:marRight w:val="0"/>
                                              <w:marTop w:val="0"/>
                                              <w:marBottom w:val="0"/>
                                              <w:divBdr>
                                                <w:top w:val="single" w:sz="6" w:space="0" w:color="F5F5F5"/>
                                                <w:left w:val="single" w:sz="6" w:space="0" w:color="F5F5F5"/>
                                                <w:bottom w:val="single" w:sz="6" w:space="0" w:color="F5F5F5"/>
                                                <w:right w:val="single" w:sz="6" w:space="0" w:color="F5F5F5"/>
                                              </w:divBdr>
                                              <w:divsChild>
                                                <w:div w:id="133986547">
                                                  <w:marLeft w:val="0"/>
                                                  <w:marRight w:val="0"/>
                                                  <w:marTop w:val="0"/>
                                                  <w:marBottom w:val="0"/>
                                                  <w:divBdr>
                                                    <w:top w:val="none" w:sz="0" w:space="0" w:color="auto"/>
                                                    <w:left w:val="none" w:sz="0" w:space="0" w:color="auto"/>
                                                    <w:bottom w:val="none" w:sz="0" w:space="0" w:color="auto"/>
                                                    <w:right w:val="none" w:sz="0" w:space="0" w:color="auto"/>
                                                  </w:divBdr>
                                                  <w:divsChild>
                                                    <w:div w:id="9320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998189107">
      <w:bodyDiv w:val="1"/>
      <w:marLeft w:val="0"/>
      <w:marRight w:val="0"/>
      <w:marTop w:val="0"/>
      <w:marBottom w:val="0"/>
      <w:divBdr>
        <w:top w:val="none" w:sz="0" w:space="0" w:color="auto"/>
        <w:left w:val="none" w:sz="0" w:space="0" w:color="auto"/>
        <w:bottom w:val="none" w:sz="0" w:space="0" w:color="auto"/>
        <w:right w:val="none" w:sz="0" w:space="0" w:color="auto"/>
      </w:divBdr>
    </w:div>
    <w:div w:id="1027293991">
      <w:bodyDiv w:val="1"/>
      <w:marLeft w:val="0"/>
      <w:marRight w:val="0"/>
      <w:marTop w:val="0"/>
      <w:marBottom w:val="0"/>
      <w:divBdr>
        <w:top w:val="none" w:sz="0" w:space="0" w:color="auto"/>
        <w:left w:val="none" w:sz="0" w:space="0" w:color="auto"/>
        <w:bottom w:val="none" w:sz="0" w:space="0" w:color="auto"/>
        <w:right w:val="none" w:sz="0" w:space="0" w:color="auto"/>
      </w:divBdr>
      <w:divsChild>
        <w:div w:id="974144638">
          <w:marLeft w:val="0"/>
          <w:marRight w:val="0"/>
          <w:marTop w:val="0"/>
          <w:marBottom w:val="0"/>
          <w:divBdr>
            <w:top w:val="none" w:sz="0" w:space="0" w:color="auto"/>
            <w:left w:val="none" w:sz="0" w:space="0" w:color="auto"/>
            <w:bottom w:val="none" w:sz="0" w:space="0" w:color="auto"/>
            <w:right w:val="none" w:sz="0" w:space="0" w:color="auto"/>
          </w:divBdr>
          <w:divsChild>
            <w:div w:id="81993948">
              <w:marLeft w:val="0"/>
              <w:marRight w:val="0"/>
              <w:marTop w:val="0"/>
              <w:marBottom w:val="0"/>
              <w:divBdr>
                <w:top w:val="none" w:sz="0" w:space="0" w:color="auto"/>
                <w:left w:val="none" w:sz="0" w:space="0" w:color="auto"/>
                <w:bottom w:val="none" w:sz="0" w:space="0" w:color="auto"/>
                <w:right w:val="none" w:sz="0" w:space="0" w:color="auto"/>
              </w:divBdr>
              <w:divsChild>
                <w:div w:id="1704789393">
                  <w:marLeft w:val="0"/>
                  <w:marRight w:val="0"/>
                  <w:marTop w:val="0"/>
                  <w:marBottom w:val="0"/>
                  <w:divBdr>
                    <w:top w:val="none" w:sz="0" w:space="0" w:color="auto"/>
                    <w:left w:val="none" w:sz="0" w:space="0" w:color="auto"/>
                    <w:bottom w:val="none" w:sz="0" w:space="0" w:color="auto"/>
                    <w:right w:val="none" w:sz="0" w:space="0" w:color="auto"/>
                  </w:divBdr>
                  <w:divsChild>
                    <w:div w:id="1200390002">
                      <w:marLeft w:val="0"/>
                      <w:marRight w:val="0"/>
                      <w:marTop w:val="0"/>
                      <w:marBottom w:val="0"/>
                      <w:divBdr>
                        <w:top w:val="none" w:sz="0" w:space="0" w:color="auto"/>
                        <w:left w:val="none" w:sz="0" w:space="0" w:color="auto"/>
                        <w:bottom w:val="none" w:sz="0" w:space="0" w:color="auto"/>
                        <w:right w:val="none" w:sz="0" w:space="0" w:color="auto"/>
                      </w:divBdr>
                      <w:divsChild>
                        <w:div w:id="596059838">
                          <w:marLeft w:val="0"/>
                          <w:marRight w:val="0"/>
                          <w:marTop w:val="0"/>
                          <w:marBottom w:val="0"/>
                          <w:divBdr>
                            <w:top w:val="none" w:sz="0" w:space="0" w:color="auto"/>
                            <w:left w:val="none" w:sz="0" w:space="0" w:color="auto"/>
                            <w:bottom w:val="none" w:sz="0" w:space="0" w:color="auto"/>
                            <w:right w:val="none" w:sz="0" w:space="0" w:color="auto"/>
                          </w:divBdr>
                          <w:divsChild>
                            <w:div w:id="391852840">
                              <w:marLeft w:val="0"/>
                              <w:marRight w:val="0"/>
                              <w:marTop w:val="0"/>
                              <w:marBottom w:val="0"/>
                              <w:divBdr>
                                <w:top w:val="none" w:sz="0" w:space="0" w:color="auto"/>
                                <w:left w:val="none" w:sz="0" w:space="0" w:color="auto"/>
                                <w:bottom w:val="none" w:sz="0" w:space="0" w:color="auto"/>
                                <w:right w:val="none" w:sz="0" w:space="0" w:color="auto"/>
                              </w:divBdr>
                              <w:divsChild>
                                <w:div w:id="1952395168">
                                  <w:marLeft w:val="0"/>
                                  <w:marRight w:val="0"/>
                                  <w:marTop w:val="0"/>
                                  <w:marBottom w:val="0"/>
                                  <w:divBdr>
                                    <w:top w:val="none" w:sz="0" w:space="0" w:color="auto"/>
                                    <w:left w:val="none" w:sz="0" w:space="0" w:color="auto"/>
                                    <w:bottom w:val="none" w:sz="0" w:space="0" w:color="auto"/>
                                    <w:right w:val="none" w:sz="0" w:space="0" w:color="auto"/>
                                  </w:divBdr>
                                  <w:divsChild>
                                    <w:div w:id="429745302">
                                      <w:marLeft w:val="0"/>
                                      <w:marRight w:val="0"/>
                                      <w:marTop w:val="0"/>
                                      <w:marBottom w:val="0"/>
                                      <w:divBdr>
                                        <w:top w:val="none" w:sz="0" w:space="0" w:color="auto"/>
                                        <w:left w:val="none" w:sz="0" w:space="0" w:color="auto"/>
                                        <w:bottom w:val="none" w:sz="0" w:space="0" w:color="auto"/>
                                        <w:right w:val="none" w:sz="0" w:space="0" w:color="auto"/>
                                      </w:divBdr>
                                      <w:divsChild>
                                        <w:div w:id="960696188">
                                          <w:marLeft w:val="0"/>
                                          <w:marRight w:val="0"/>
                                          <w:marTop w:val="0"/>
                                          <w:marBottom w:val="0"/>
                                          <w:divBdr>
                                            <w:top w:val="none" w:sz="0" w:space="0" w:color="auto"/>
                                            <w:left w:val="none" w:sz="0" w:space="0" w:color="auto"/>
                                            <w:bottom w:val="none" w:sz="0" w:space="0" w:color="auto"/>
                                            <w:right w:val="none" w:sz="0" w:space="0" w:color="auto"/>
                                          </w:divBdr>
                                          <w:divsChild>
                                            <w:div w:id="537203711">
                                              <w:marLeft w:val="0"/>
                                              <w:marRight w:val="0"/>
                                              <w:marTop w:val="0"/>
                                              <w:marBottom w:val="0"/>
                                              <w:divBdr>
                                                <w:top w:val="single" w:sz="6" w:space="0" w:color="F5F5F5"/>
                                                <w:left w:val="single" w:sz="6" w:space="0" w:color="F5F5F5"/>
                                                <w:bottom w:val="single" w:sz="6" w:space="0" w:color="F5F5F5"/>
                                                <w:right w:val="single" w:sz="6" w:space="0" w:color="F5F5F5"/>
                                              </w:divBdr>
                                              <w:divsChild>
                                                <w:div w:id="213273699">
                                                  <w:marLeft w:val="0"/>
                                                  <w:marRight w:val="0"/>
                                                  <w:marTop w:val="0"/>
                                                  <w:marBottom w:val="0"/>
                                                  <w:divBdr>
                                                    <w:top w:val="none" w:sz="0" w:space="0" w:color="auto"/>
                                                    <w:left w:val="none" w:sz="0" w:space="0" w:color="auto"/>
                                                    <w:bottom w:val="none" w:sz="0" w:space="0" w:color="auto"/>
                                                    <w:right w:val="none" w:sz="0" w:space="0" w:color="auto"/>
                                                  </w:divBdr>
                                                  <w:divsChild>
                                                    <w:div w:id="16651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588156">
      <w:bodyDiv w:val="1"/>
      <w:marLeft w:val="0"/>
      <w:marRight w:val="0"/>
      <w:marTop w:val="0"/>
      <w:marBottom w:val="0"/>
      <w:divBdr>
        <w:top w:val="none" w:sz="0" w:space="0" w:color="auto"/>
        <w:left w:val="none" w:sz="0" w:space="0" w:color="auto"/>
        <w:bottom w:val="none" w:sz="0" w:space="0" w:color="auto"/>
        <w:right w:val="none" w:sz="0" w:space="0" w:color="auto"/>
      </w:divBdr>
    </w:div>
    <w:div w:id="1204486356">
      <w:bodyDiv w:val="1"/>
      <w:marLeft w:val="0"/>
      <w:marRight w:val="0"/>
      <w:marTop w:val="0"/>
      <w:marBottom w:val="0"/>
      <w:divBdr>
        <w:top w:val="none" w:sz="0" w:space="0" w:color="auto"/>
        <w:left w:val="none" w:sz="0" w:space="0" w:color="auto"/>
        <w:bottom w:val="none" w:sz="0" w:space="0" w:color="auto"/>
        <w:right w:val="none" w:sz="0" w:space="0" w:color="auto"/>
      </w:divBdr>
    </w:div>
    <w:div w:id="1308512360">
      <w:bodyDiv w:val="1"/>
      <w:marLeft w:val="0"/>
      <w:marRight w:val="0"/>
      <w:marTop w:val="0"/>
      <w:marBottom w:val="0"/>
      <w:divBdr>
        <w:top w:val="none" w:sz="0" w:space="0" w:color="auto"/>
        <w:left w:val="none" w:sz="0" w:space="0" w:color="auto"/>
        <w:bottom w:val="none" w:sz="0" w:space="0" w:color="auto"/>
        <w:right w:val="none" w:sz="0" w:space="0" w:color="auto"/>
      </w:divBdr>
    </w:div>
    <w:div w:id="153611980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9707509">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03521735">
      <w:bodyDiv w:val="1"/>
      <w:marLeft w:val="0"/>
      <w:marRight w:val="0"/>
      <w:marTop w:val="0"/>
      <w:marBottom w:val="0"/>
      <w:divBdr>
        <w:top w:val="none" w:sz="0" w:space="0" w:color="auto"/>
        <w:left w:val="none" w:sz="0" w:space="0" w:color="auto"/>
        <w:bottom w:val="none" w:sz="0" w:space="0" w:color="auto"/>
        <w:right w:val="none" w:sz="0" w:space="0" w:color="auto"/>
      </w:divBdr>
    </w:div>
    <w:div w:id="1942763201">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index.php?lg=fr&amp;pg=00482"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1586-E154-4D9F-952C-6E1C6293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113B7E9E</Template>
  <TotalTime>2</TotalTime>
  <Pages>9</Pages>
  <Words>3830</Words>
  <Characters>21068</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24849</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6</cp:revision>
  <cp:lastPrinted>2013-06-17T14:10:00Z</cp:lastPrinted>
  <dcterms:created xsi:type="dcterms:W3CDTF">2013-06-28T14:09:00Z</dcterms:created>
  <dcterms:modified xsi:type="dcterms:W3CDTF">2013-07-02T10:52:00Z</dcterms:modified>
</cp:coreProperties>
</file>